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AF68A2" w:rsidP="00E976CD">
      <w:pPr>
        <w:jc w:val="center"/>
        <w:rPr>
          <w:lang w:val="en-US"/>
        </w:rPr>
      </w:pPr>
      <w:r>
        <w:rPr>
          <w:lang w:val="en-US"/>
        </w:rPr>
        <w:t>version 1.1</w:t>
      </w:r>
      <w:r w:rsidR="006B6405">
        <w:rPr>
          <w:lang w:val="en-US"/>
        </w:rPr>
        <w:t>4</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7D0155">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7D0155">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7D0155">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7D0155">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7D0155">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7D0155">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7D0155">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7D0155"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 xml:space="preserve">Figure </w:t>
        </w:r>
        <w:r w:rsidR="004F4F3F" w:rsidRPr="004F4F3F">
          <w:rPr>
            <w:noProof/>
            <w:lang w:val="en-GB"/>
          </w:rPr>
          <w:t>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7D0155" w:rsidP="00296970">
      <w:pPr>
        <w:pStyle w:val="Heading1"/>
        <w:rPr>
          <w:lang w:val="en-US"/>
        </w:rPr>
      </w:pPr>
      <w:r w:rsidRPr="007D0155">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r>
                    <w:t xml:space="preserve">Figure </w:t>
                  </w:r>
                  <w:fldSimple w:instr=" SEQ Figure \* ARABIC ">
                    <w:r w:rsidR="004F4F3F">
                      <w:rPr>
                        <w:noProof/>
                      </w:rPr>
                      <w:t>1</w:t>
                    </w:r>
                  </w:fldSimple>
                  <w:bookmarkEnd w:id="3"/>
                  <w:r>
                    <w:t>: Spass-meter monitoring process</w:t>
                  </w:r>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7D0155">
        <w:rPr>
          <w:lang w:val="en-GB"/>
        </w:rPr>
        <w:fldChar w:fldCharType="begin"/>
      </w:r>
      <w:r w:rsidR="00B126FC">
        <w:rPr>
          <w:lang w:val="en-GB"/>
        </w:rPr>
        <w:instrText xml:space="preserve"> REF _Ref348597316 \r \h </w:instrText>
      </w:r>
      <w:r w:rsidR="007D0155">
        <w:rPr>
          <w:lang w:val="en-GB"/>
        </w:rPr>
      </w:r>
      <w:r w:rsidR="007D0155">
        <w:rPr>
          <w:lang w:val="en-GB"/>
        </w:rPr>
        <w:fldChar w:fldCharType="separate"/>
      </w:r>
      <w:r w:rsidR="004F4F3F">
        <w:rPr>
          <w:lang w:val="en-GB"/>
        </w:rPr>
        <w:t>5.3</w:t>
      </w:r>
      <w:r w:rsidR="007D0155">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p>
    <w:p w:rsidR="00AB449F" w:rsidRDefault="00AB449F" w:rsidP="00456335">
      <w:pPr>
        <w:jc w:val="both"/>
        <w:rPr>
          <w:lang w:val="en-US"/>
        </w:rPr>
      </w:pPr>
      <w:r>
        <w:rPr>
          <w:lang w:val="en-US"/>
        </w:rPr>
        <w:t xml:space="preserve">Below we list the basic set of configuration options. Please refer to Section </w:t>
      </w:r>
      <w:r w:rsidR="007D0155">
        <w:rPr>
          <w:lang w:val="en-US"/>
        </w:rPr>
        <w:fldChar w:fldCharType="begin"/>
      </w:r>
      <w:r>
        <w:rPr>
          <w:lang w:val="en-US"/>
        </w:rPr>
        <w:instrText xml:space="preserve"> REF _Ref357702749 \r \h </w:instrText>
      </w:r>
      <w:r w:rsidR="007D0155">
        <w:rPr>
          <w:lang w:val="en-US"/>
        </w:rPr>
      </w:r>
      <w:r w:rsidR="007D0155">
        <w:rPr>
          <w:lang w:val="en-US"/>
        </w:rPr>
        <w:fldChar w:fldCharType="separate"/>
      </w:r>
      <w:r w:rsidR="004F4F3F">
        <w:rPr>
          <w:lang w:val="en-US"/>
        </w:rPr>
        <w:t>11</w:t>
      </w:r>
      <w:r w:rsidR="007D0155">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7D0155">
              <w:fldChar w:fldCharType="begin"/>
            </w:r>
            <w:r w:rsidRPr="001202CC">
              <w:rPr>
                <w:lang w:val="en-GB"/>
              </w:rPr>
              <w:instrText xml:space="preserve"> REF _Ref348597316 \r \h </w:instrText>
            </w:r>
            <w:r w:rsidR="007D0155">
              <w:fldChar w:fldCharType="separate"/>
            </w:r>
            <w:r w:rsidR="004F4F3F">
              <w:rPr>
                <w:lang w:val="en-GB"/>
              </w:rPr>
              <w:t>5.3</w:t>
            </w:r>
            <w:r w:rsidR="007D0155">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F865BB" w:rsidRPr="00F865BB" w:rsidTr="00612B92">
        <w:tc>
          <w:tcPr>
            <w:tcW w:w="1951"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969"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612B92">
        <w:tc>
          <w:tcPr>
            <w:tcW w:w="1951" w:type="dxa"/>
          </w:tcPr>
          <w:p w:rsidR="00612B92" w:rsidRDefault="00612B92" w:rsidP="00260974">
            <w:pPr>
              <w:rPr>
                <w:lang w:val="en-US"/>
              </w:rPr>
            </w:pPr>
            <w:r w:rsidRPr="00361B85">
              <w:rPr>
                <w:rFonts w:ascii="Courier New" w:hAnsi="Courier New" w:cs="Courier New"/>
                <w:lang w:val="en-US"/>
              </w:rPr>
              <w:t>tcp</w:t>
            </w:r>
          </w:p>
        </w:tc>
        <w:tc>
          <w:tcPr>
            <w:tcW w:w="3260" w:type="dxa"/>
          </w:tcPr>
          <w:p w:rsidR="00612B92" w:rsidRDefault="00612B92" w:rsidP="00211B0D">
            <w:pPr>
              <w:rPr>
                <w:lang w:val="en-US"/>
              </w:rPr>
            </w:pPr>
            <w:r>
              <w:rPr>
                <w:lang w:val="en-US"/>
              </w:rPr>
              <w:t xml:space="preserve">Process instrumentation and </w:t>
            </w:r>
            <w:r>
              <w:rPr>
                <w:lang w:val="en-US"/>
              </w:rPr>
              <w:lastRenderedPageBreak/>
              <w:t xml:space="preserve">resource observation in this JVM and send the monitored results to the specified remote monitoring server. For details see Section </w:t>
            </w:r>
            <w:r w:rsidR="007D0155">
              <w:rPr>
                <w:lang w:val="en-US"/>
              </w:rPr>
              <w:fldChar w:fldCharType="begin"/>
            </w:r>
            <w:r>
              <w:rPr>
                <w:lang w:val="en-US"/>
              </w:rPr>
              <w:instrText xml:space="preserve"> REF _Ref297841588 \r \h </w:instrText>
            </w:r>
            <w:r w:rsidR="007D0155">
              <w:rPr>
                <w:lang w:val="en-US"/>
              </w:rPr>
            </w:r>
            <w:r w:rsidR="007D0155">
              <w:rPr>
                <w:lang w:val="en-US"/>
              </w:rPr>
              <w:fldChar w:fldCharType="separate"/>
            </w:r>
            <w:r w:rsidR="004F4F3F">
              <w:rPr>
                <w:lang w:val="en-US"/>
              </w:rPr>
              <w:t>6</w:t>
            </w:r>
            <w:r w:rsidR="007D0155">
              <w:rPr>
                <w:lang w:val="en-US"/>
              </w:rPr>
              <w:fldChar w:fldCharType="end"/>
            </w:r>
            <w:r>
              <w:rPr>
                <w:lang w:val="en-US"/>
              </w:rPr>
              <w:t>.</w:t>
            </w:r>
          </w:p>
        </w:tc>
        <w:tc>
          <w:tcPr>
            <w:tcW w:w="3969" w:type="dxa"/>
          </w:tcPr>
          <w:p w:rsidR="00612B92" w:rsidRDefault="00612B92" w:rsidP="00260974">
            <w:pPr>
              <w:rPr>
                <w:lang w:val="en-US"/>
              </w:rPr>
            </w:pPr>
            <w:r>
              <w:rPr>
                <w:lang w:val="en-US"/>
              </w:rPr>
              <w:lastRenderedPageBreak/>
              <w:t>structured string</w:t>
            </w:r>
          </w:p>
        </w:tc>
      </w:tr>
      <w:tr w:rsidR="00612B92" w:rsidTr="00612B92">
        <w:tc>
          <w:tcPr>
            <w:tcW w:w="1951" w:type="dxa"/>
          </w:tcPr>
          <w:p w:rsidR="00612B92" w:rsidRDefault="00612B92" w:rsidP="00260974">
            <w:pPr>
              <w:rPr>
                <w:lang w:val="en-US"/>
              </w:rPr>
            </w:pPr>
            <w:r w:rsidRPr="005C1C2B">
              <w:rPr>
                <w:rFonts w:ascii="Courier New" w:hAnsi="Courier New" w:cs="Courier New"/>
                <w:lang w:val="en-US"/>
              </w:rPr>
              <w:lastRenderedPageBreak/>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9722D2" w:rsidTr="00612B92">
        <w:tc>
          <w:tcPr>
            <w:tcW w:w="1951"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9722D2" w:rsidTr="00612B92">
        <w:tc>
          <w:tcPr>
            <w:tcW w:w="1951"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0D1E0E">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 the value is interpreted as absolute time interval in milliseconds</w:t>
            </w:r>
          </w:p>
        </w:tc>
        <w:tc>
          <w:tcPr>
            <w:tcW w:w="3969" w:type="dxa"/>
          </w:tcPr>
          <w:p w:rsidR="00612B92" w:rsidRDefault="00612B92" w:rsidP="006F3AC4">
            <w:pPr>
              <w:rPr>
                <w:lang w:val="en-US"/>
              </w:rPr>
            </w:pPr>
            <w:r>
              <w:rPr>
                <w:lang w:val="en-US"/>
              </w:rPr>
              <w:t>integer, default is 0</w:t>
            </w:r>
          </w:p>
        </w:tc>
      </w:tr>
      <w:tr w:rsidR="00612B92" w:rsidRPr="009722D2" w:rsidTr="00612B92">
        <w:tc>
          <w:tcPr>
            <w:tcW w:w="1951"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612B92">
        <w:tc>
          <w:tcPr>
            <w:tcW w:w="1951"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969"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612B92">
        <w:tc>
          <w:tcPr>
            <w:tcW w:w="1951" w:type="dxa"/>
          </w:tcPr>
          <w:p w:rsidR="00F106EA" w:rsidRDefault="00F106EA" w:rsidP="00260974">
            <w:pPr>
              <w:rPr>
                <w:rFonts w:ascii="Courier New" w:hAnsi="Courier New" w:cs="Courier New"/>
                <w:lang w:val="en-US"/>
              </w:rPr>
            </w:pPr>
            <w:r>
              <w:rPr>
                <w:rFonts w:ascii="Courier New" w:hAnsi="Courier New" w:cs="Courier New"/>
                <w:lang w:val="en-US"/>
              </w:rPr>
              <w:t>allClassMembe</w:t>
            </w:r>
            <w:r>
              <w:rPr>
                <w:rFonts w:ascii="Courier New" w:hAnsi="Courier New" w:cs="Courier New"/>
                <w:lang w:val="en-US"/>
              </w:rPr>
              <w:lastRenderedPageBreak/>
              <w:t>rs</w:t>
            </w:r>
          </w:p>
        </w:tc>
        <w:tc>
          <w:tcPr>
            <w:tcW w:w="3260" w:type="dxa"/>
          </w:tcPr>
          <w:p w:rsidR="00F106EA" w:rsidRDefault="00F106EA" w:rsidP="00F106EA">
            <w:pPr>
              <w:rPr>
                <w:lang w:val="en-US"/>
              </w:rPr>
            </w:pPr>
            <w:r>
              <w:rPr>
                <w:lang w:val="en-US"/>
              </w:rPr>
              <w:lastRenderedPageBreak/>
              <w:t xml:space="preserve">consider all class members for </w:t>
            </w:r>
            <w:r>
              <w:rPr>
                <w:lang w:val="en-US"/>
              </w:rPr>
              <w:lastRenderedPageBreak/>
              <w:t>instrumentation or apply configuration-dependent filters such as “plain time” (this may affect measurements on SUM level)</w:t>
            </w:r>
            <w:r w:rsidR="00EF1FF7">
              <w:rPr>
                <w:lang w:val="en-US"/>
              </w:rPr>
              <w:t xml:space="preserve"> , e.g., thread information may be missing!</w:t>
            </w:r>
          </w:p>
        </w:tc>
        <w:tc>
          <w:tcPr>
            <w:tcW w:w="3969" w:type="dxa"/>
          </w:tcPr>
          <w:p w:rsidR="00F106EA" w:rsidRPr="000A4D58" w:rsidRDefault="007B7833" w:rsidP="00260974">
            <w:pPr>
              <w:rPr>
                <w:lang w:val="en-US"/>
              </w:rPr>
            </w:pPr>
            <w:r w:rsidRPr="007B7833">
              <w:rPr>
                <w:rFonts w:ascii="Courier New" w:hAnsi="Courier New" w:cs="Courier New"/>
                <w:lang w:val="en-US"/>
              </w:rPr>
              <w:lastRenderedPageBreak/>
              <w:t>true</w:t>
            </w:r>
          </w:p>
        </w:tc>
      </w:tr>
    </w:tbl>
    <w:p w:rsidR="00886B67" w:rsidRPr="00B66003" w:rsidRDefault="00CB651E" w:rsidP="00B66003">
      <w:pPr>
        <w:rPr>
          <w:lang w:val="en-US"/>
        </w:rPr>
      </w:pPr>
      <w:r>
        <w:rPr>
          <w:lang w:val="en-US"/>
        </w:rPr>
        <w:lastRenderedPageBreak/>
        <w:t>Further options provided by SPASS-meter are either deprecated or experimental and, thus, not listed here.</w:t>
      </w:r>
    </w:p>
    <w:p w:rsidR="000F247B" w:rsidRDefault="00296970" w:rsidP="000F247B">
      <w:pPr>
        <w:pStyle w:val="Heading2"/>
        <w:rPr>
          <w:lang w:val="en-US"/>
        </w:rPr>
      </w:pPr>
      <w:bookmarkStart w:id="12" w:name="_Ref297790069"/>
      <w:bookmarkStart w:id="13" w:name="_Toc357703112"/>
      <w:r>
        <w:rPr>
          <w:lang w:val="en-US"/>
        </w:rPr>
        <w:t>Annotation-based Configuration</w:t>
      </w:r>
      <w:bookmarkEnd w:id="12"/>
      <w:bookmarkEnd w:id="13"/>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9722D2"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Pr="00FC1E52" w:rsidRDefault="00E42B81" w:rsidP="0048247D">
            <w:pPr>
              <w:pStyle w:val="ListParagraph"/>
              <w:numPr>
                <w:ilvl w:val="0"/>
                <w:numId w:val="8"/>
              </w:numPr>
              <w:ind w:left="245" w:hanging="245"/>
              <w:rPr>
                <w:lang w:val="en-US"/>
              </w:rPr>
            </w:pPr>
            <w:r w:rsidRPr="0048247D">
              <w:rPr>
                <w:rFonts w:ascii="Courier New" w:hAnsi="Courier New" w:cs="Courier New"/>
                <w:lang w:val="en-US"/>
              </w:rPr>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lastRenderedPageBreak/>
              <w:t>global configuration)</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9722D2"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9722D2"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9722D2"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9722D2"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9722D2"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9722D2"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4"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w:t>
      </w:r>
      <w:r w:rsidRPr="003D2F19">
        <w:rPr>
          <w:lang w:val="en-US"/>
        </w:rPr>
        <w:lastRenderedPageBreak/>
        <w:t xml:space="preserve">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5" w:name="_Ref348597316"/>
      <w:bookmarkStart w:id="16" w:name="_Toc357703113"/>
      <w:r w:rsidRPr="00D27AA6">
        <w:rPr>
          <w:lang w:val="en-US"/>
        </w:rPr>
        <w:t>XML</w:t>
      </w:r>
      <w:r w:rsidR="00296970">
        <w:rPr>
          <w:lang w:val="en-US"/>
        </w:rPr>
        <w:t>-based configuration</w:t>
      </w:r>
      <w:bookmarkEnd w:id="14"/>
      <w:bookmarkEnd w:id="15"/>
      <w:bookmarkEnd w:id="16"/>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7" w:name="_Toc357703114"/>
      <w:r w:rsidRPr="00F06A00">
        <w:rPr>
          <w:lang w:val="en-US"/>
        </w:rPr>
        <w:t>Structure</w:t>
      </w:r>
      <w:bookmarkEnd w:id="17"/>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7D0155">
        <w:rPr>
          <w:lang w:val="en-US"/>
        </w:rPr>
        <w:fldChar w:fldCharType="begin"/>
      </w:r>
      <w:r w:rsidR="00152222">
        <w:rPr>
          <w:lang w:val="en-US"/>
        </w:rPr>
        <w:instrText xml:space="preserve"> REF _Ref297790069 \r \h </w:instrText>
      </w:r>
      <w:r w:rsidR="007D0155">
        <w:rPr>
          <w:lang w:val="en-US"/>
        </w:rPr>
      </w:r>
      <w:r w:rsidR="007D0155">
        <w:rPr>
          <w:lang w:val="en-US"/>
        </w:rPr>
        <w:fldChar w:fldCharType="separate"/>
      </w:r>
      <w:r w:rsidR="004F4F3F">
        <w:rPr>
          <w:lang w:val="en-US"/>
        </w:rPr>
        <w:t>5.2</w:t>
      </w:r>
      <w:r w:rsidR="007D0155">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7D0155">
        <w:fldChar w:fldCharType="begin"/>
      </w:r>
      <w:r w:rsidR="001637E6" w:rsidRPr="00E42B81">
        <w:rPr>
          <w:lang w:val="en-US"/>
        </w:rPr>
        <w:instrText xml:space="preserve"> NOTEREF _Ref292046083 \h  \* MERGEFORMAT </w:instrText>
      </w:r>
      <w:r w:rsidR="007D0155">
        <w:fldChar w:fldCharType="separate"/>
      </w:r>
      <w:r w:rsidR="004F4F3F">
        <w:rPr>
          <w:b/>
          <w:bCs/>
          <w:lang w:val="en-US"/>
        </w:rPr>
        <w:t>Error! Bookmark not defined.</w:t>
      </w:r>
      <w:r w:rsidR="007D0155">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lastRenderedPageBreak/>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8" w:name="_Toc357703115"/>
      <w:r>
        <w:rPr>
          <w:lang w:val="en-US"/>
        </w:rPr>
        <w:t>Additional Information</w:t>
      </w:r>
      <w:bookmarkEnd w:id="18"/>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lastRenderedPageBreak/>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443FE9">
        <w:rPr>
          <w:rFonts w:cstheme="minorHAnsi"/>
          <w:lang w:val="en-US"/>
        </w:rPr>
        <w:t xml:space="preserve"> and </w:t>
      </w:r>
      <w:r w:rsidR="00443FE9" w:rsidRPr="00A434D0">
        <w:rPr>
          <w:rFonts w:ascii="Courier New" w:hAnsi="Courier New" w:cs="Courier New"/>
          <w:lang w:val="en-US"/>
        </w:rPr>
        <w:t>resources</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19" w:name="_Ref297841588"/>
      <w:bookmarkStart w:id="20" w:name="_Toc357703116"/>
      <w:r>
        <w:rPr>
          <w:lang w:val="en-US"/>
        </w:rPr>
        <w:t>Remote monitoring</w:t>
      </w:r>
      <w:bookmarkEnd w:id="19"/>
      <w:bookmarkEnd w:id="20"/>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As the global </w:t>
      </w:r>
      <w:r w:rsidR="007E58B7" w:rsidRPr="00005FDE">
        <w:rPr>
          <w:rFonts w:ascii="Courier New" w:hAnsi="Courier New" w:cs="Courier New"/>
          <w:lang w:val="en-US"/>
        </w:rPr>
        <w:t>tcp</w:t>
      </w:r>
      <w:r w:rsidR="007E58B7">
        <w:rPr>
          <w:lang w:val="en-US"/>
        </w:rPr>
        <w:t xml:space="preserve"> option is additional, all other parameter described in Section </w:t>
      </w:r>
      <w:r w:rsidR="007D0155">
        <w:rPr>
          <w:lang w:val="en-US"/>
        </w:rPr>
        <w:fldChar w:fldCharType="begin"/>
      </w:r>
      <w:r w:rsidR="007E58B7">
        <w:rPr>
          <w:lang w:val="en-US"/>
        </w:rPr>
        <w:instrText xml:space="preserve"> REF _Ref297790090 \r \h </w:instrText>
      </w:r>
      <w:r w:rsidR="007D0155">
        <w:rPr>
          <w:lang w:val="en-US"/>
        </w:rPr>
      </w:r>
      <w:r w:rsidR="007D0155">
        <w:rPr>
          <w:lang w:val="en-US"/>
        </w:rPr>
        <w:fldChar w:fldCharType="separate"/>
      </w:r>
      <w:r w:rsidR="004F4F3F">
        <w:rPr>
          <w:lang w:val="en-US"/>
        </w:rPr>
        <w:t>5.1</w:t>
      </w:r>
      <w:r w:rsidR="007D0155">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1" w:name="_Toc357703117"/>
      <w:r>
        <w:rPr>
          <w:lang w:val="en-US"/>
        </w:rPr>
        <w:t>Static instrumentation</w:t>
      </w:r>
      <w:bookmarkEnd w:id="21"/>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2" w:name="_Toc357703118"/>
      <w:r>
        <w:rPr>
          <w:lang w:val="en-US"/>
        </w:rPr>
        <w:t>Java Programs</w:t>
      </w:r>
      <w:bookmarkEnd w:id="22"/>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7D0155">
        <w:rPr>
          <w:rFonts w:cstheme="minorHAnsi"/>
          <w:lang w:val="en-US"/>
        </w:rPr>
        <w:fldChar w:fldCharType="begin"/>
      </w:r>
      <w:r>
        <w:rPr>
          <w:rFonts w:cstheme="minorHAnsi"/>
          <w:lang w:val="en-US"/>
        </w:rPr>
        <w:instrText xml:space="preserve"> REF _Ref297790090 \r \h </w:instrText>
      </w:r>
      <w:r w:rsidR="007D0155">
        <w:rPr>
          <w:rFonts w:cstheme="minorHAnsi"/>
          <w:lang w:val="en-US"/>
        </w:rPr>
      </w:r>
      <w:r w:rsidR="007D0155">
        <w:rPr>
          <w:rFonts w:cstheme="minorHAnsi"/>
          <w:lang w:val="en-US"/>
        </w:rPr>
        <w:fldChar w:fldCharType="separate"/>
      </w:r>
      <w:r w:rsidR="004F4F3F">
        <w:rPr>
          <w:rFonts w:cstheme="minorHAnsi"/>
          <w:lang w:val="en-US"/>
        </w:rPr>
        <w:t>5.1</w:t>
      </w:r>
      <w:r w:rsidR="007D0155">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Alternatively, the static instrumenter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lastRenderedPageBreak/>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3" w:name="_Toc357703119"/>
      <w:r>
        <w:rPr>
          <w:lang w:val="en-US"/>
        </w:rPr>
        <w:t>Android Apps</w:t>
      </w:r>
      <w:bookmarkEnd w:id="23"/>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4" w:name="_Toc357703120"/>
      <w:r>
        <w:rPr>
          <w:lang w:val="en-US"/>
        </w:rPr>
        <w:t>Monitoring results</w:t>
      </w:r>
      <w:bookmarkEnd w:id="24"/>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fldSimple w:instr=" REF _Ref350247597 \r \h  \* MERGEFORMAT ">
        <w:r w:rsidR="004F4F3F" w:rsidRPr="004F4F3F">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7D0155">
        <w:rPr>
          <w:lang w:val="en-US"/>
        </w:rPr>
        <w:fldChar w:fldCharType="begin"/>
      </w:r>
      <w:r>
        <w:rPr>
          <w:lang w:val="en-US"/>
        </w:rPr>
        <w:instrText xml:space="preserve"> REF _Ref297790069 \r \h </w:instrText>
      </w:r>
      <w:r w:rsidR="007D0155">
        <w:rPr>
          <w:lang w:val="en-US"/>
        </w:rPr>
      </w:r>
      <w:r w:rsidR="007D0155">
        <w:rPr>
          <w:lang w:val="en-US"/>
        </w:rPr>
        <w:fldChar w:fldCharType="separate"/>
      </w:r>
      <w:r w:rsidR="004F4F3F">
        <w:rPr>
          <w:lang w:val="en-US"/>
        </w:rPr>
        <w:t>5.2</w:t>
      </w:r>
      <w:r w:rsidR="007D0155">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lastRenderedPageBreak/>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5" w:name="_Ref350247597"/>
      <w:bookmarkStart w:id="26" w:name="_Toc357703121"/>
      <w:r>
        <w:rPr>
          <w:lang w:val="en-US"/>
        </w:rPr>
        <w:t xml:space="preserve">SPASS-meter </w:t>
      </w:r>
      <w:r w:rsidR="00E71F29">
        <w:rPr>
          <w:lang w:val="en-US"/>
        </w:rPr>
        <w:t>Extensions</w:t>
      </w:r>
      <w:bookmarkEnd w:id="25"/>
      <w:bookmarkEnd w:id="26"/>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7D0155">
        <w:rPr>
          <w:lang w:val="en-US"/>
        </w:rPr>
        <w:fldChar w:fldCharType="begin"/>
      </w:r>
      <w:r>
        <w:rPr>
          <w:lang w:val="en-US"/>
        </w:rPr>
        <w:instrText xml:space="preserve"> REF _Ref297790069 \r \h </w:instrText>
      </w:r>
      <w:r w:rsidR="007D0155">
        <w:rPr>
          <w:lang w:val="en-US"/>
        </w:rPr>
      </w:r>
      <w:r w:rsidR="007D0155">
        <w:rPr>
          <w:lang w:val="en-US"/>
        </w:rPr>
        <w:fldChar w:fldCharType="separate"/>
      </w:r>
      <w:r w:rsidR="004F4F3F">
        <w:rPr>
          <w:lang w:val="en-US"/>
        </w:rPr>
        <w:t>5.2</w:t>
      </w:r>
      <w:r w:rsidR="007D0155">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7D0155">
        <w:rPr>
          <w:lang w:val="en-US"/>
        </w:rPr>
        <w:fldChar w:fldCharType="begin"/>
      </w:r>
      <w:r>
        <w:rPr>
          <w:lang w:val="en-US"/>
        </w:rPr>
        <w:instrText xml:space="preserve"> REF _Ref297790069 \r \h </w:instrText>
      </w:r>
      <w:r w:rsidR="007D0155">
        <w:rPr>
          <w:lang w:val="en-US"/>
        </w:rPr>
      </w:r>
      <w:r w:rsidR="007D0155">
        <w:rPr>
          <w:lang w:val="en-US"/>
        </w:rPr>
        <w:fldChar w:fldCharType="separate"/>
      </w:r>
      <w:r w:rsidR="004F4F3F">
        <w:rPr>
          <w:lang w:val="en-US"/>
        </w:rPr>
        <w:t>5.2</w:t>
      </w:r>
      <w:r w:rsidR="007D0155">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lastRenderedPageBreak/>
        <w:t>Currently, default l</w:t>
      </w:r>
      <w:r w:rsidR="00AD6A51">
        <w:rPr>
          <w:lang w:val="en-US"/>
        </w:rPr>
        <w:t xml:space="preserve">isteners </w:t>
      </w:r>
      <w:r w:rsidR="00B94E03">
        <w:rPr>
          <w:lang w:val="en-US"/>
        </w:rPr>
        <w:t xml:space="preserve">such as JMX (see Section </w:t>
      </w:r>
      <w:r w:rsidR="007D0155">
        <w:rPr>
          <w:lang w:val="en-US"/>
        </w:rPr>
        <w:fldChar w:fldCharType="begin"/>
      </w:r>
      <w:r w:rsidR="00B94E03">
        <w:rPr>
          <w:lang w:val="en-US"/>
        </w:rPr>
        <w:instrText xml:space="preserve"> REF _Ref305779174 \r \h </w:instrText>
      </w:r>
      <w:r w:rsidR="007D0155">
        <w:rPr>
          <w:lang w:val="en-US"/>
        </w:rPr>
      </w:r>
      <w:r w:rsidR="007D0155">
        <w:rPr>
          <w:lang w:val="en-US"/>
        </w:rPr>
        <w:fldChar w:fldCharType="separate"/>
      </w:r>
      <w:r w:rsidR="004F4F3F">
        <w:rPr>
          <w:lang w:val="en-US"/>
        </w:rPr>
        <w:t>9.1</w:t>
      </w:r>
      <w:r w:rsidR="007D0155">
        <w:rPr>
          <w:lang w:val="en-US"/>
        </w:rPr>
        <w:fldChar w:fldCharType="end"/>
      </w:r>
      <w:r w:rsidR="00B94E03">
        <w:rPr>
          <w:lang w:val="en-US"/>
        </w:rPr>
        <w:t xml:space="preserve">) or WildCat (see Section </w:t>
      </w:r>
      <w:r w:rsidR="007D0155">
        <w:rPr>
          <w:lang w:val="en-US"/>
        </w:rPr>
        <w:fldChar w:fldCharType="begin"/>
      </w:r>
      <w:r w:rsidR="00B94E03">
        <w:rPr>
          <w:lang w:val="en-US"/>
        </w:rPr>
        <w:instrText xml:space="preserve"> REF _Ref348607158 \r \h </w:instrText>
      </w:r>
      <w:r w:rsidR="007D0155">
        <w:rPr>
          <w:lang w:val="en-US"/>
        </w:rPr>
      </w:r>
      <w:r w:rsidR="007D0155">
        <w:rPr>
          <w:lang w:val="en-US"/>
        </w:rPr>
        <w:fldChar w:fldCharType="separate"/>
      </w:r>
      <w:r w:rsidR="004F4F3F">
        <w:rPr>
          <w:lang w:val="en-US"/>
        </w:rPr>
        <w:t>9.3</w:t>
      </w:r>
      <w:r w:rsidR="007D0155">
        <w:rPr>
          <w:lang w:val="en-US"/>
        </w:rPr>
        <w:fldChar w:fldCharType="end"/>
      </w:r>
      <w:r w:rsidR="00B94E03">
        <w:rPr>
          <w:lang w:val="en-US"/>
        </w:rPr>
        <w:t xml:space="preserve">) </w:t>
      </w:r>
      <w:r>
        <w:rPr>
          <w:lang w:val="en-US"/>
        </w:rPr>
        <w:t xml:space="preserve">are </w:t>
      </w:r>
      <w:r w:rsidR="00AD6A51">
        <w:rPr>
          <w:lang w:val="en-US"/>
        </w:rPr>
        <w:t xml:space="preserve">registered in the </w:t>
      </w:r>
      <w:r w:rsidR="00AD6A51" w:rsidRPr="00B822A2">
        <w:rPr>
          <w:rFonts w:ascii="Courier New" w:hAnsi="Courier New" w:cs="Courier New"/>
          <w:lang w:val="en-US"/>
        </w:rPr>
        <w:t>PluginRegistry</w:t>
      </w:r>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35770312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w:t>
      </w:r>
      <w:r>
        <w:rPr>
          <w:lang w:val="en-US"/>
        </w:rPr>
        <w:lastRenderedPageBreak/>
        <w:t xml:space="preserve">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35770312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w:t>
      </w:r>
      <w:r w:rsidR="005067E1">
        <w:rPr>
          <w:lang w:val="en-US"/>
        </w:rPr>
        <w:lastRenderedPageBreak/>
        <w:t>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35770312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lastRenderedPageBreak/>
        <w:t>The following additional SPASS-meter global parameters are recognized by the WildCAT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7D0155">
        <w:rPr>
          <w:lang w:val="en-US"/>
        </w:rPr>
        <w:fldChar w:fldCharType="begin"/>
      </w:r>
      <w:r>
        <w:rPr>
          <w:lang w:val="en-US"/>
        </w:rPr>
        <w:instrText xml:space="preserve"> REF _Ref305779174 \r \h </w:instrText>
      </w:r>
      <w:r w:rsidR="007D0155">
        <w:rPr>
          <w:lang w:val="en-US"/>
        </w:rPr>
      </w:r>
      <w:r w:rsidR="007D0155">
        <w:rPr>
          <w:lang w:val="en-US"/>
        </w:rPr>
        <w:fldChar w:fldCharType="separate"/>
      </w:r>
      <w:r w:rsidR="004F4F3F">
        <w:rPr>
          <w:lang w:val="en-US"/>
        </w:rPr>
        <w:t>9.1</w:t>
      </w:r>
      <w:r w:rsidR="007D0155">
        <w:rPr>
          <w:lang w:val="en-US"/>
        </w:rPr>
        <w:fldChar w:fldCharType="end"/>
      </w:r>
      <w:r>
        <w:rPr>
          <w:lang w:val="en-US"/>
        </w:rPr>
        <w:t>.</w:t>
      </w:r>
    </w:p>
    <w:p w:rsidR="004440EB" w:rsidRDefault="004440EB" w:rsidP="004440EB">
      <w:pPr>
        <w:pStyle w:val="Heading2"/>
        <w:rPr>
          <w:lang w:val="en-US"/>
        </w:rPr>
      </w:pPr>
      <w:bookmarkStart w:id="32" w:name="_Toc357703125"/>
      <w:r>
        <w:rPr>
          <w:lang w:val="en-US"/>
        </w:rPr>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35770312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35770312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7D0155">
        <w:rPr>
          <w:lang w:val="en-GB"/>
        </w:rPr>
        <w:fldChar w:fldCharType="begin"/>
      </w:r>
      <w:r>
        <w:rPr>
          <w:lang w:val="en-GB"/>
        </w:rPr>
        <w:instrText xml:space="preserve"> REF _Ref297790090 \r \h </w:instrText>
      </w:r>
      <w:r w:rsidR="007D0155">
        <w:rPr>
          <w:lang w:val="en-GB"/>
        </w:rPr>
      </w:r>
      <w:r w:rsidR="007D0155">
        <w:rPr>
          <w:lang w:val="en-GB"/>
        </w:rPr>
        <w:fldChar w:fldCharType="separate"/>
      </w:r>
      <w:r w:rsidR="004F4F3F">
        <w:rPr>
          <w:lang w:val="en-GB"/>
        </w:rPr>
        <w:t>5.1</w:t>
      </w:r>
      <w:r w:rsidR="007D0155">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lastRenderedPageBreak/>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9722D2"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9722D2"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9722D2"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9722D2"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F865B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lastRenderedPageBreak/>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787" w:rsidRDefault="00847787" w:rsidP="005B55CE">
      <w:r>
        <w:separator/>
      </w:r>
    </w:p>
  </w:endnote>
  <w:endnote w:type="continuationSeparator" w:id="0">
    <w:p w:rsidR="00847787" w:rsidRDefault="00847787"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 xml:space="preserve">SPASS-meter manual, page </w:t>
    </w:r>
    <w:sdt>
      <w:sdtPr>
        <w:id w:val="86583022"/>
        <w:docPartObj>
          <w:docPartGallery w:val="Page Numbers (Bottom of Page)"/>
          <w:docPartUnique/>
        </w:docPartObj>
      </w:sdtPr>
      <w:sdtContent>
        <w:fldSimple w:instr=" PAGE   \* MERGEFORMAT ">
          <w:r w:rsidR="009722D2">
            <w:rPr>
              <w:noProof/>
            </w:rPr>
            <w:t>4</w:t>
          </w:r>
        </w:fldSimple>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787" w:rsidRDefault="00847787" w:rsidP="005B55CE">
      <w:r>
        <w:separator/>
      </w:r>
    </w:p>
  </w:footnote>
  <w:footnote w:type="continuationSeparator" w:id="0">
    <w:p w:rsidR="00847787" w:rsidRDefault="00847787"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dirsets or filesets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5B09"/>
    <w:rsid w:val="003B7161"/>
    <w:rsid w:val="003B7D4B"/>
    <w:rsid w:val="003B7EB1"/>
    <w:rsid w:val="003C029A"/>
    <w:rsid w:val="003C30BA"/>
    <w:rsid w:val="003C3F98"/>
    <w:rsid w:val="003C7D03"/>
    <w:rsid w:val="003D0A63"/>
    <w:rsid w:val="003D2F19"/>
    <w:rsid w:val="003D57C6"/>
    <w:rsid w:val="003E17F8"/>
    <w:rsid w:val="003E1C22"/>
    <w:rsid w:val="003E58AB"/>
    <w:rsid w:val="003F6ACB"/>
    <w:rsid w:val="004025D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55CE"/>
    <w:rsid w:val="005B59E9"/>
    <w:rsid w:val="005C1A06"/>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63D3"/>
    <w:rsid w:val="007B7833"/>
    <w:rsid w:val="007C0D81"/>
    <w:rsid w:val="007D0155"/>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CEA"/>
    <w:rsid w:val="00903ED7"/>
    <w:rsid w:val="00904080"/>
    <w:rsid w:val="00904FC0"/>
    <w:rsid w:val="00905FA8"/>
    <w:rsid w:val="009124FE"/>
    <w:rsid w:val="009160E2"/>
    <w:rsid w:val="00916B83"/>
    <w:rsid w:val="00920421"/>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CC8"/>
    <w:rsid w:val="00AF5C52"/>
    <w:rsid w:val="00AF68A2"/>
    <w:rsid w:val="00B00BCF"/>
    <w:rsid w:val="00B0254D"/>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A0938-78A0-454A-B227-D46CAF4A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6230</Words>
  <Characters>39255</Characters>
  <Application>Microsoft Office Word</Application>
  <DocSecurity>0</DocSecurity>
  <Lines>327</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868</cp:revision>
  <cp:lastPrinted>2014-07-16T12:10:00Z</cp:lastPrinted>
  <dcterms:created xsi:type="dcterms:W3CDTF">2011-05-01T18:15:00Z</dcterms:created>
  <dcterms:modified xsi:type="dcterms:W3CDTF">2015-11-23T13:42:00Z</dcterms:modified>
</cp:coreProperties>
</file>