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ТЕХНИЧЕСКОЕ ЗАДАНИЕ</w:t>
      </w:r>
    </w:p>
    <w:p>
      <w:pPr>
        <w:spacing w:after="320"/>
        <w:jc w:val="center"/>
      </w:pPr>
      <w:r>
        <w:rPr>
          <w:b/>
          <w:bCs/>
          <w:sz w:val="26"/>
          <w:szCs w:val="26"/>
        </w:rPr>
        <w:t xml:space="preserve">на закупку партии SSD-накопителей для подразделений ИТ-компании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Объект закупки</w:t>
      </w:r>
    </w:p>
    <w:p>
      <w:pPr>
        <w:spacing w:after="120" w:line="276"/>
        <w:ind w:firstLine="567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Партия твердотельных накопителей (SSD) для оснащения подразделений ИТ-компании. Требуемые диапазоны ёмкостей по подразделениям заданы техническим заданием заказчика: бухгалтерия - 240-256 ГБ, отдел разработки - 480-512 ГБ, отдел дизайна - 960-1024 ГБ, серверный сегмент - 1920-2048 ГБ, архивный сервер - 3840-4096 ГБ.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Унификация ёмкостей</w:t>
      </w:r>
    </w:p>
    <w:p>
      <w:pPr>
        <w:spacing w:after="120" w:line="276"/>
        <w:ind w:firstLine="567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Из каждого диапазона выбрано верхнее (максимальное) значение - так все накопители образуют единый геометрический ряд с шагом 2, что сокращает номенклатуру до пяти типоразмеров и упрощает учёт и взаимозаменяемость.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Бухгалтерия: диапазон 240-256 ГБ -&gt; унифицированное значение 256 ГБ (верхняя граница диапазона, кратна 2, согласована с планированием объёмов в ГиБ).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Отдел разработки: диапазон 480-512 ГБ -&gt; 512 ГБ (второй член ряда, q = 2; единый типоразмер для всех АРМ разработчиков).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Отдел дизайна: диапазон 960-1024 ГБ -&gt; 1024 ГБ (третий член ряда; работа с крупными файлами проектов).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Серверный сегмент: диапазон 1920-2048 ГБ -&gt; 2048 ГБ (четвёртый член ряда; взаимозаменяемость в дисковых группах).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Архивный сервер: диапазон 3840-4096 ГБ -&gt; 4096 ГБ (пятый член ряда; минимум единиц хранения на заданный объём).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Внешние системы и компоненты, с которыми должны быть совместимы накопители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Хост-платформа АРМ и серверов (системная плата, чипсет, слоты расширения) - унифицируется тип и версия интерфейса подключения: АРМ бухгалтерии и дизайна - SATA 3.0 (6 Гбит/с); АРМ разработки, серверный и архивный сегменты - PCIe 4.0 x4 (с обратной совместимостью с PCIe 3.0 x4).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Конструктив корпусов, дисковых корзин, салазок и объединительных плат (backplane) - унифицируется форм-фактор и габаритно-присоединительные размеры: 2,5″ / 7 мм по SFF-8201 (SATA) и M.2 2280 (PCIe); резьба крепёжных отверстий М3; два типоразмера на всю партию.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Система электропитания (блоки питания, кабельные сборки, ИБП) - унифицируется номинальное напряжение питания, тип разъёма и максимальная потребляемая мощность: 5 В ±5 % через разъём SATA power 15-pin; 3,3 В ±5 % по слоту M.2; не более 8 Вт на накопитель.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RAID-контроллеры и HBA-адаптеры серверного и архивного сегментов - унифицируется логический размер сектора и набор поддерживаемых команд управления пространством: размер сектора 512e (с возможностью переключения в 4Kn); обязательная поддержка TRIM / UNMAP и Deallocate.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Операционные системы и драйверы (Windows 10/11, Windows Server, Linux с ядром 5.x и выше) - унифицируется версия поддерживаемой спецификации протокола: NVMe 1.4 и AHCI 1.3.1; работа на штатных драйверах ОС без установки проприетарного ПО.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Система мониторинга и учёта ИТ-инфраструктуры (Zabbix, база учёта основных средств 1С) - унифицируется состав и формат идентификационных и телеметрических атрибутов: обязательный набор S.M.A.R.T. / NVMe-MI (температура, износ ресурса, объём записи TBW, число переназначенных блоков); единый формат обозначения модели и серийного номера, штриховой код на корпусе и упаковке.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7. Подсистема информационной безопасности (средства защиты информации, процедуры списания носителей) - унифицируется стандарт аппаратного шифрования и способ гарантированного удаления данных: самошифрование AES-256 по TCG Opal 2.0 (единый стандарт для всей партии); поддержка команд Sanitize и Cryptographic Erase.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Задача 2. Партия ноутбуков (100 шт., КНР)</w:t>
      </w:r>
    </w:p>
    <w:p>
      <w:pPr>
        <w:spacing w:after="120" w:line="276"/>
        <w:ind w:firstLine="567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Условие: получена партия из 100 ноутбуков от иностранного (китайского) изготовителя. Нужно выбрать схему сертификации, схему декларирования, обосновать выбор и дать алгоритм действий.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Выбор схемы декларирования - схема 4д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Обоснование: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это партия, а не серийный выпуск - подходят только "партийные" схемы (2д или 4д);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изготовитель иностранный, товар уже сделан за рубежом - импортёр не может подтвердить производственный контроль на площадке изготовителя, значит нужны доказательства весомее собственных (поэтому не 2д);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схема 4д требует испытаний в аккредитованной лаборатории из Единого реестра ЕАЭС - такой результат признаётся на территории Союза для товара незнакомого происхождения;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4"/>
          <w:szCs w:val="24"/>
        </w:rPr>
        <w:t xml:space="preserve">ноутбуки подпадают под ТР ЕАЭС 037/2016 и ТР ТС 020/2011 - обе формы требуют декларирование, а не обязательную сертификацию.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Выбор схемы сертификации - схема 9с (если понадобится)</w:t>
      </w:r>
    </w:p>
    <w:p>
      <w:pPr>
        <w:spacing w:after="120" w:line="276"/>
        <w:ind w:firstLine="567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Для ноутбуков сертификация не обязательна - действует декларирование. Но если по конкретному техрегламенту или по требованию заказчика сертификация всё же нужна, берём схему 9с: она рассчитана именно на партию ограниченного объёма от иностранного изготовителя. Подтверждение строится на анализе технической документации и протоколов испытаний изготовителя, без повторного анализа производства за рубежом.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4.3. Алгоритм действий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Определить коды ТН ВЭД и перечень технических регламентов ЕАЭС, распространяющихся на ноутбуки (ТР ЕАЭС 037/2016, ТР ТС 020/2011).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Установить обязательную форму подтверждения соответствия - декларирование по схеме 4д.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Собрать и проанализировать техническую документацию изготовителя (спецификации, схемы, инструкции, сведения о комплектующих).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Отобрать образцы из партии для испытаний (выборка от 100 шт.).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Передать образцы в аккредитованную испытательную лабораторию из Единого реестра ЕАЭС.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Получить протоколы испытаний образцов.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7. Оформить декларацию о соответствии и зарегистрировать её в реестре деклараций.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8. Нанести единый знак обращения EAC на изделия, упаковку и эксплуатационную документацию.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9. Предъявить декларацию при таможенном оформлении партии.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10. Обеспечить хранение технической документации и декларации не менее 10 лет со дня реализации последнего изделия партии.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2026-09-15T07:32:22.596Z</dcterms:created>
  <dcterms:modified xsi:type="dcterms:W3CDTF">2026-09-15T07:32:22.608Z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