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ТЕХНИЧЕСКОЕ ЗАДАНИЕ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на закупку партии SSD-накопителей для подразделений ИТ-компании</w:t>
      </w:r>
    </w:p>
    <w:p>
      <w:pPr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 Объект закупки</w:t>
      </w:r>
    </w:p>
    <w:p>
      <w:pPr>
        <w:spacing w:after="8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Партия твердотельных накопителей (SSD) для оснащения подразделений ИТ-компании. Требуемые диапазоны ёмкостей по подразделениям заданы техническим заданием заказчика: бухгалтерия — 240–256 ГБ, отдел разработки — 480–512 ГБ, отдел дизайна — 960–1024 ГБ, серверный сегмент — 1920–2048 ГБ, архивный сервер — 3840–4096 ГБ.</w:t>
      </w:r>
    </w:p>
    <w:p>
      <w:pPr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 Сегменты и следствия из задач подразделений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950"/>
        <w:gridCol w:w="3300"/>
        <w:gridCol w:w="3738"/>
      </w:tblGrid>
      <w:tr>
        <w:trPr>
          <w:cantSplit/>
          <w:tblHeader/>
        </w:trP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Подразделение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SSD, ГБ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Задачи → следствия для ПК / сервера</w:t>
            </w:r>
          </w:p>
        </w:tc>
        <w:tc>
          <w:tcPr>
            <w:tcW w:type="dxa" w:w="3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Требования к SSD</w:t>
            </w:r>
          </w:p>
        </w:tc>
      </w:tr>
      <w:tr>
        <w:trPr>
          <w:cantSplit/>
          <w:tblHeader w:val="false"/>
        </w:trP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Бухгалтерия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240–256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Word и 1С → типовой офисный ПК: интегрированная графика, 8–16 ГБ ОЗУ, процессор среднего уровня. Главное — стабильность и тихая работа.</w:t>
            </w:r>
          </w:p>
        </w:tc>
        <w:tc>
          <w:tcPr>
            <w:tcW w:type="dxa" w:w="3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Надёжность, низкое энергопотребление, интерфейс SATA 3.0, совместимость с Windows и 1С. Высокий ресурс записи не критичен.</w:t>
            </w:r>
          </w:p>
        </w:tc>
      </w:tr>
      <w:tr>
        <w:trPr>
          <w:cantSplit/>
          <w:tblHeader w:val="false"/>
        </w:trP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Отдел разработки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480–512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Код, контейнеры, СУБД → рабочая станция: многоядерный CPU, 32+ ГБ ОЗУ, быстрый накопитель, видеокарта начального уровня.</w:t>
            </w:r>
          </w:p>
        </w:tc>
        <w:tc>
          <w:tcPr>
            <w:tcW w:type="dxa" w:w="3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Высокие IOPS и низкая задержка, интерфейс NVMe (PCIe), совместимость с Linux и Docker.</w:t>
            </w:r>
          </w:p>
        </w:tc>
      </w:tr>
      <w:tr>
        <w:trPr>
          <w:cantSplit/>
          <w:tblHeader w:val="false"/>
        </w:trP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Отдел дизайна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960–1024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Графика, видео, макеты → дискретная видеокарта среднего или высокого уровня, 32–64 ГБ ОЗУ, мощный CPU. Проекты и исходники занимают много места.</w:t>
            </w:r>
          </w:p>
        </w:tc>
        <w:tc>
          <w:tcPr>
            <w:tcW w:type="dxa" w:w="3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Большая ёмкость, интерфейс NVMe (PCIe), устойчивая скорость последовательного чтения и записи, совместимость с графическим ПО.</w:t>
            </w:r>
          </w:p>
        </w:tc>
      </w:tr>
      <w:tr>
        <w:trPr>
          <w:cantSplit/>
          <w:tblHeader w:val="false"/>
        </w:trP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Серверный сегмент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1920–2048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Виртуальные машины и базы данных → серверная платформа: RAID, память ECC, удалённое управление. Видеокарта не важна.</w:t>
            </w:r>
          </w:p>
        </w:tc>
        <w:tc>
          <w:tcPr>
            <w:tcW w:type="dxa" w:w="3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Класс enterprise, высокий ресурс записи (DWPD), работа в RAID-массивах, горячая замена (hot-plug), совместимость с гипервизорами и RAID-контроллерами.</w:t>
            </w:r>
          </w:p>
        </w:tc>
      </w:tr>
      <w:tr>
        <w:trPr>
          <w:cantSplit/>
          <w:tblHeader w:val="false"/>
        </w:trP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Архивный сервер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3840–4096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Долговременное хранение → сервер хранения: минимум вычислений, максимум ёмкости, работа 24/7.</w:t>
            </w:r>
          </w:p>
        </w:tc>
        <w:tc>
          <w:tcPr>
            <w:tcW w:type="dxa" w:w="3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Максимальная ёмкость при умеренной скорости, низкое энергопотребление, поддержка TRIM и систем резервного копирования.</w:t>
            </w:r>
          </w:p>
        </w:tc>
      </w:tr>
    </w:tbl>
    <w:p>
      <w:pPr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 Унификация ёмкостей</w:t>
      </w:r>
    </w:p>
    <w:p>
      <w:pPr>
        <w:spacing w:after="8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Из каждого диапазона выбрано верхнее (максимальное) значение — так все накопители образуют единый геометрический ряд со знаменателем q = 2, что сокращает номенклатуру до пяти типоразмеров и упрощает учёт и взаимозаменяемость.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700"/>
        <w:gridCol w:w="2000"/>
        <w:gridCol w:w="3938"/>
      </w:tblGrid>
      <w:tr>
        <w:trPr>
          <w:cantSplit/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Подразделение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Диапазон, ГБ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Принято, ГБ</w:t>
            </w:r>
          </w:p>
        </w:tc>
        <w:tc>
          <w:tcPr>
            <w:tcW w:type="dxa" w:w="39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Номер члена ряда и обоснование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Бухгалтерия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240–256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256</w:t>
            </w:r>
          </w:p>
        </w:tc>
        <w:tc>
          <w:tcPr>
            <w:tcW w:type="dxa" w:w="39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Первый член ряда; верхняя граница диапазона, согласована с планированием объёмов в ГиБ.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Отдел разработки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480–512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512</w:t>
            </w:r>
          </w:p>
        </w:tc>
        <w:tc>
          <w:tcPr>
            <w:tcW w:type="dxa" w:w="39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Второй член ряда; единый типоразмер для всех АРМ разработчиков.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Отдел дизайна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960–1024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1024</w:t>
            </w:r>
          </w:p>
        </w:tc>
        <w:tc>
          <w:tcPr>
            <w:tcW w:type="dxa" w:w="39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Третий член ряда; работа с крупными файлами проектов.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Серверный сегмент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1920–2048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2048</w:t>
            </w:r>
          </w:p>
        </w:tc>
        <w:tc>
          <w:tcPr>
            <w:tcW w:type="dxa" w:w="39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Четвёртый член ряда; взаимозаменяемость в дисковых группах.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Архивный сервер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3840–4096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4096</w:t>
            </w:r>
          </w:p>
        </w:tc>
        <w:tc>
          <w:tcPr>
            <w:tcW w:type="dxa" w:w="39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Пятый член ряда; минимум единиц хранения на заданный объём.</w:t>
            </w:r>
          </w:p>
        </w:tc>
      </w:tr>
    </w:tbl>
    <w:p>
      <w:pPr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 Внешние системы и параметры унификации</w:t>
      </w:r>
    </w:p>
    <w:p>
      <w:pPr>
        <w:spacing w:after="8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Накопители должны быть совместимы со следующими внешними системами и компонентами: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2200"/>
        <w:gridCol w:w="4600"/>
        <w:gridCol w:w="2388"/>
      </w:tblGrid>
      <w:tr>
        <w:trPr>
          <w:cantSplit/>
          <w:tblHeader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№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Внешняя система / компонент</w:t>
            </w:r>
          </w:p>
        </w:tc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Параметр унификации</w:t>
            </w:r>
          </w:p>
        </w:tc>
        <w:tc>
          <w:tcPr>
            <w:tcW w:type="dxa" w:w="23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Цель унификации</w:t>
            </w: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Хост-платформа АРМ и серверов (системная плата, чипсет, слоты расширения)</w:t>
            </w:r>
          </w:p>
        </w:tc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Тип и версия интерфейса: АРМ бухгалтерии — SATA 3.0 (6 Гбит/с); АРМ разработки и дизайна, серверный и архивный сегменты — PCIe 4.0 x4 (с обратной совместимостью с PCIe 3.0 x4).</w:t>
            </w:r>
          </w:p>
        </w:tc>
        <w:tc>
          <w:tcPr>
            <w:tcW w:type="dxa" w:w="23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Единый набор интерфейсов, установка без адаптеров.</w:t>
            </w: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Корпуса, дисковые корзины, салазки, объединительные платы (backplane)</w:t>
            </w:r>
          </w:p>
        </w:tc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Форм-фактор и размеры: 2,5″ / 7 мм по SFF-8201 (SATA, бухгалтерия); M.2 2280 (PCIe, разработка и дизайн); 2,5″ / 15 мм U.2 с разъёмом SFF-8639 (PCIe, серверный и архивный сегменты, горячая замена); резьба крепёжных отверстий М3; три типоразмера на всю партию.</w:t>
            </w:r>
          </w:p>
        </w:tc>
        <w:tc>
          <w:tcPr>
            <w:tcW w:type="dxa" w:w="23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Установка в корзины и на backplane без переделок, горячая замена в серверах.</w:t>
            </w: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Система электропитания (блоки питания, кабели, ИБП)</w:t>
            </w:r>
          </w:p>
        </w:tc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Напряжение, разъём, мощность: 5 В ±5 % через SATA power 15-pin; 3,3 В ±5 % по слоту M.2; 12 В и 3,3 В по разъёму U.2; не более 8 Вт на накопитель SATA и M.2, не более 25 Вт на накопитель U.2.</w:t>
            </w:r>
          </w:p>
        </w:tc>
        <w:tc>
          <w:tcPr>
            <w:tcW w:type="dxa" w:w="23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Единый расчёт нагрузки на блоки питания и ИБП.</w:t>
            </w: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RAID-контроллеры и HBA-адаптеры; гипервизоры и резервное копирование</w:t>
            </w:r>
          </w:p>
        </w:tc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Размер сектора 512e (с возможностью переключения в 4Kn); обязательная поддержка TRIM / UNMAP и Deallocate; работа под гипервизорами (VMware ESXi, Hyper-V, Proxmox) и в системах резервного копирования (Veeam) без проприетарных драйверов.</w:t>
            </w:r>
          </w:p>
        </w:tc>
        <w:tc>
          <w:tcPr>
            <w:tcW w:type="dxa" w:w="23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Одни модели для физических серверов и ВМ, единая политика резервного копирования.</w:t>
            </w: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5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Операционные системы и драйверы (Windows 10/11, Windows Server, Linux с ядром 5.x и выше)</w:t>
            </w:r>
          </w:p>
        </w:tc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Версии спецификаций: NVMe 1.4 и AHCI 1.3.1; работа на штатных драйверах ОС без проприетарного ПО.</w:t>
            </w:r>
          </w:p>
        </w:tc>
        <w:tc>
          <w:tcPr>
            <w:tcW w:type="dxa" w:w="23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Единая политика обновлений, отсутствие стороннего ПО.</w:t>
            </w: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6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Мониторинг и учёт ИТ-инфраструктуры (Zabbix, база учёта основных средств 1С)</w:t>
            </w:r>
          </w:p>
        </w:tc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Набор S.M.A.R.T. / NVMe-MI (температура, износ, объём записи TBW, переназначенные блоки); единый формат обозначения модели и серийного номера, штриховой код на корпусе и упаковке.</w:t>
            </w:r>
          </w:p>
        </w:tc>
        <w:tc>
          <w:tcPr>
            <w:tcW w:type="dxa" w:w="23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Единые отчёты о состоянии накопителей и учёт основных средств.</w:t>
            </w: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7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Подсистема информационной безопасности (средства защиты, списание носителей)</w:t>
            </w:r>
          </w:p>
        </w:tc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Самошифрование AES-256 по TCG Opal 2.0; поддержка команд Sanitize и Cryptographic Erase.</w:t>
            </w:r>
          </w:p>
        </w:tc>
        <w:tc>
          <w:tcPr>
            <w:tcW w:type="dxa" w:w="23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Единый стандарт шифрования и гарантированного удаления данных.</w:t>
            </w:r>
          </w:p>
        </w:tc>
      </w:tr>
    </w:tbl>
    <w:p>
      <w:pPr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 Выводы</w:t>
      </w:r>
    </w:p>
    <w:p>
      <w:pPr>
        <w:spacing w:after="8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Бухгалтерии нужны стабильные офисные накопители, отделу разработки — высокие IOPS, отделу дизайна — большая ёмкость и устойчивая скорость, серверному сегменту — надёжность класса enterprise, архивному серверу — максимальная ёмкость при низком энергопотреблении.</w:t>
      </w:r>
    </w:p>
    <w:p>
      <w:pPr>
        <w:spacing w:after="8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Унификация ёмкостей, интерфейсов, форм-факторов, драйверов и метрик мониторинга сокращает номенклатуру до пяти типоразмеров по ёмкости, двух интерфейсов (SATA 3.0 и PCIe/NVMe) и трёх форм-факторов (2,5″ SATA, M.2 2280, U.2), упрощает учёт и снижает затраты на сопровождение. Параметры из разделов 3 и 4 рекомендуется закрепить в Табеле унифицированных форм (моделей) SSD и использовать как обязательные критерии при выборе поставщика.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t xml:space="preserve">– </w:t>
    </w: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sz w:val="24"/>
        <w:szCs w:val="24"/>
      </w:rPr>
      <w:t xml:space="preserve"> –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2026-10-05T18:39:57.559Z</dcterms:created>
  <dcterms:modified xsi:type="dcterms:W3CDTF">2026-10-05T18:39:57.559Z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