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BDFEC4" w14:textId="77777777" w:rsidR="006C34F7" w:rsidRDefault="00000000">
      <w:pPr>
        <w:spacing w:before="200" w:after="120"/>
        <w:jc w:val="center"/>
      </w:pPr>
      <w:bookmarkStart w:id="0" w:name="_Hlk219041198"/>
      <w:r>
        <w:rPr>
          <w:b/>
        </w:rPr>
        <w:t>CHAPTER FOUR</w:t>
      </w:r>
    </w:p>
    <w:p w14:paraId="74E38B2D" w14:textId="77777777" w:rsidR="006C34F7" w:rsidRDefault="00000000">
      <w:pPr>
        <w:spacing w:before="200" w:after="120"/>
        <w:jc w:val="center"/>
      </w:pPr>
      <w:r>
        <w:rPr>
          <w:b/>
        </w:rPr>
        <w:t>RESULTS AND DISCUSSION</w:t>
      </w:r>
    </w:p>
    <w:p w14:paraId="585F45B7" w14:textId="77777777" w:rsidR="006C34F7" w:rsidRDefault="00000000">
      <w:pPr>
        <w:spacing w:before="200" w:after="120"/>
      </w:pPr>
      <w:r>
        <w:rPr>
          <w:b/>
        </w:rPr>
        <w:t>4.1 Results and Analysis</w:t>
      </w:r>
    </w:p>
    <w:p w14:paraId="5A026DCC" w14:textId="77777777" w:rsidR="006C34F7" w:rsidRDefault="00000000" w:rsidP="002E0607">
      <w:pPr>
        <w:spacing w:after="120" w:line="360" w:lineRule="auto"/>
      </w:pPr>
      <w:r>
        <w:t>This chapter presents the results and analysis of the study on teacher-student collaboration and its influence on learners’ motivation and engagement in senior secondary schools within the Anse Royale District. The presentation follows the study objectives and research questions, using a convergent mixed-methods approach in which questionnaire (quantitative) and interview/observation (qualitative) findings are examined and then integrated for interpretation. (Wang et al., 2023).</w:t>
      </w:r>
    </w:p>
    <w:p w14:paraId="2A3B0FAA" w14:textId="77777777" w:rsidR="006C34F7" w:rsidRDefault="00000000">
      <w:pPr>
        <w:spacing w:before="200" w:after="120"/>
      </w:pPr>
      <w:r>
        <w:rPr>
          <w:b/>
        </w:rPr>
        <w:t>4.1.1 Demographic Characteristics of Respondents</w:t>
      </w:r>
    </w:p>
    <w:p w14:paraId="36D4BD75" w14:textId="77777777" w:rsidR="006C34F7" w:rsidRDefault="00000000" w:rsidP="002E0607">
      <w:pPr>
        <w:spacing w:after="120" w:line="360" w:lineRule="auto"/>
      </w:pPr>
      <w:r>
        <w:t>A total of 54 Senior 4 and Senior 5 students participated in the questionnaire survey. The demographic profile (gender, class level, and age range) was collected to describe the sample and support contextual interpretation of the findings.</w:t>
      </w:r>
    </w:p>
    <w:p w14:paraId="1A74FD09" w14:textId="77777777" w:rsidR="006C34F7" w:rsidRDefault="00000000">
      <w:pPr>
        <w:spacing w:before="160" w:after="80"/>
      </w:pPr>
      <w:r>
        <w:rPr>
          <w:b/>
        </w:rPr>
        <w:t>Table 4.1: Demographic characteristics of student respondents (N = 54)</w:t>
      </w:r>
    </w:p>
    <w:tbl>
      <w:tblPr>
        <w:tblStyle w:val="TableGrid"/>
        <w:tblW w:w="0" w:type="auto"/>
        <w:jc w:val="center"/>
        <w:tblLook w:val="04A0" w:firstRow="1" w:lastRow="0" w:firstColumn="1" w:lastColumn="0" w:noHBand="0" w:noVBand="1"/>
      </w:tblPr>
      <w:tblGrid>
        <w:gridCol w:w="2197"/>
        <w:gridCol w:w="2197"/>
        <w:gridCol w:w="2197"/>
        <w:gridCol w:w="2197"/>
      </w:tblGrid>
      <w:tr w:rsidR="006C34F7" w14:paraId="59930A36" w14:textId="77777777">
        <w:trPr>
          <w:jc w:val="center"/>
        </w:trPr>
        <w:tc>
          <w:tcPr>
            <w:tcW w:w="2197" w:type="dxa"/>
          </w:tcPr>
          <w:p w14:paraId="151BF958" w14:textId="77777777" w:rsidR="006C34F7" w:rsidRDefault="00000000">
            <w:r>
              <w:rPr>
                <w:b/>
              </w:rPr>
              <w:t>Variable</w:t>
            </w:r>
          </w:p>
        </w:tc>
        <w:tc>
          <w:tcPr>
            <w:tcW w:w="2197" w:type="dxa"/>
          </w:tcPr>
          <w:p w14:paraId="6D396BD9" w14:textId="77777777" w:rsidR="006C34F7" w:rsidRDefault="00000000">
            <w:r>
              <w:rPr>
                <w:b/>
              </w:rPr>
              <w:t>Category</w:t>
            </w:r>
          </w:p>
        </w:tc>
        <w:tc>
          <w:tcPr>
            <w:tcW w:w="2197" w:type="dxa"/>
          </w:tcPr>
          <w:p w14:paraId="4EEB5D97" w14:textId="77777777" w:rsidR="006C34F7" w:rsidRDefault="00000000">
            <w:r>
              <w:rPr>
                <w:b/>
              </w:rPr>
              <w:t>Frequency (n)</w:t>
            </w:r>
          </w:p>
        </w:tc>
        <w:tc>
          <w:tcPr>
            <w:tcW w:w="2197" w:type="dxa"/>
          </w:tcPr>
          <w:p w14:paraId="36724A24" w14:textId="77777777" w:rsidR="006C34F7" w:rsidRDefault="00000000">
            <w:r>
              <w:rPr>
                <w:b/>
              </w:rPr>
              <w:t>Percent (%)</w:t>
            </w:r>
          </w:p>
        </w:tc>
      </w:tr>
      <w:tr w:rsidR="006C34F7" w14:paraId="0CFBA5B2" w14:textId="77777777">
        <w:trPr>
          <w:jc w:val="center"/>
        </w:trPr>
        <w:tc>
          <w:tcPr>
            <w:tcW w:w="2197" w:type="dxa"/>
          </w:tcPr>
          <w:p w14:paraId="78FBB03A" w14:textId="77777777" w:rsidR="006C34F7" w:rsidRDefault="00000000">
            <w:r>
              <w:t>Gender</w:t>
            </w:r>
          </w:p>
        </w:tc>
        <w:tc>
          <w:tcPr>
            <w:tcW w:w="2197" w:type="dxa"/>
          </w:tcPr>
          <w:p w14:paraId="6AA48F83" w14:textId="77777777" w:rsidR="006C34F7" w:rsidRDefault="00000000">
            <w:r>
              <w:t>Male</w:t>
            </w:r>
          </w:p>
        </w:tc>
        <w:tc>
          <w:tcPr>
            <w:tcW w:w="2197" w:type="dxa"/>
          </w:tcPr>
          <w:p w14:paraId="46228AE7" w14:textId="77777777" w:rsidR="006C34F7" w:rsidRDefault="00000000">
            <w:r>
              <w:t>24</w:t>
            </w:r>
          </w:p>
        </w:tc>
        <w:tc>
          <w:tcPr>
            <w:tcW w:w="2197" w:type="dxa"/>
          </w:tcPr>
          <w:p w14:paraId="3637927D" w14:textId="77777777" w:rsidR="006C34F7" w:rsidRDefault="00000000">
            <w:r>
              <w:t>44.4%</w:t>
            </w:r>
          </w:p>
        </w:tc>
      </w:tr>
      <w:tr w:rsidR="006C34F7" w14:paraId="7B1BDD35" w14:textId="77777777">
        <w:trPr>
          <w:jc w:val="center"/>
        </w:trPr>
        <w:tc>
          <w:tcPr>
            <w:tcW w:w="2197" w:type="dxa"/>
          </w:tcPr>
          <w:p w14:paraId="2D1060CD" w14:textId="77777777" w:rsidR="006C34F7" w:rsidRDefault="006C34F7"/>
        </w:tc>
        <w:tc>
          <w:tcPr>
            <w:tcW w:w="2197" w:type="dxa"/>
          </w:tcPr>
          <w:p w14:paraId="685E68B8" w14:textId="77777777" w:rsidR="006C34F7" w:rsidRDefault="00000000">
            <w:r>
              <w:t>Female</w:t>
            </w:r>
          </w:p>
        </w:tc>
        <w:tc>
          <w:tcPr>
            <w:tcW w:w="2197" w:type="dxa"/>
          </w:tcPr>
          <w:p w14:paraId="08E4494B" w14:textId="77777777" w:rsidR="006C34F7" w:rsidRDefault="00000000">
            <w:r>
              <w:t>28</w:t>
            </w:r>
          </w:p>
        </w:tc>
        <w:tc>
          <w:tcPr>
            <w:tcW w:w="2197" w:type="dxa"/>
          </w:tcPr>
          <w:p w14:paraId="38DC6BAF" w14:textId="77777777" w:rsidR="006C34F7" w:rsidRDefault="00000000">
            <w:r>
              <w:t>51.9%</w:t>
            </w:r>
          </w:p>
        </w:tc>
      </w:tr>
      <w:tr w:rsidR="006C34F7" w14:paraId="72D3FCB5" w14:textId="77777777">
        <w:trPr>
          <w:jc w:val="center"/>
        </w:trPr>
        <w:tc>
          <w:tcPr>
            <w:tcW w:w="2197" w:type="dxa"/>
          </w:tcPr>
          <w:p w14:paraId="770222C7" w14:textId="77777777" w:rsidR="006C34F7" w:rsidRDefault="006C34F7"/>
        </w:tc>
        <w:tc>
          <w:tcPr>
            <w:tcW w:w="2197" w:type="dxa"/>
          </w:tcPr>
          <w:p w14:paraId="27FD151F" w14:textId="77777777" w:rsidR="006C34F7" w:rsidRDefault="00000000">
            <w:r>
              <w:t>Prefer not to say</w:t>
            </w:r>
          </w:p>
        </w:tc>
        <w:tc>
          <w:tcPr>
            <w:tcW w:w="2197" w:type="dxa"/>
          </w:tcPr>
          <w:p w14:paraId="331FFE3C" w14:textId="77777777" w:rsidR="006C34F7" w:rsidRDefault="00000000">
            <w:r>
              <w:t>2</w:t>
            </w:r>
          </w:p>
        </w:tc>
        <w:tc>
          <w:tcPr>
            <w:tcW w:w="2197" w:type="dxa"/>
          </w:tcPr>
          <w:p w14:paraId="6D691192" w14:textId="77777777" w:rsidR="006C34F7" w:rsidRDefault="00000000">
            <w:r>
              <w:t>3.7%</w:t>
            </w:r>
          </w:p>
        </w:tc>
      </w:tr>
      <w:tr w:rsidR="006C34F7" w14:paraId="2EBAABDE" w14:textId="77777777">
        <w:trPr>
          <w:jc w:val="center"/>
        </w:trPr>
        <w:tc>
          <w:tcPr>
            <w:tcW w:w="2197" w:type="dxa"/>
          </w:tcPr>
          <w:p w14:paraId="49929088" w14:textId="77777777" w:rsidR="006C34F7" w:rsidRDefault="00000000">
            <w:r>
              <w:t>Class level</w:t>
            </w:r>
          </w:p>
        </w:tc>
        <w:tc>
          <w:tcPr>
            <w:tcW w:w="2197" w:type="dxa"/>
          </w:tcPr>
          <w:p w14:paraId="16BF9716" w14:textId="77777777" w:rsidR="006C34F7" w:rsidRDefault="00000000">
            <w:r>
              <w:t>S4</w:t>
            </w:r>
          </w:p>
        </w:tc>
        <w:tc>
          <w:tcPr>
            <w:tcW w:w="2197" w:type="dxa"/>
          </w:tcPr>
          <w:p w14:paraId="4F13ED20" w14:textId="77777777" w:rsidR="006C34F7" w:rsidRDefault="00000000">
            <w:r>
              <w:t>29</w:t>
            </w:r>
          </w:p>
        </w:tc>
        <w:tc>
          <w:tcPr>
            <w:tcW w:w="2197" w:type="dxa"/>
          </w:tcPr>
          <w:p w14:paraId="4A7CBF10" w14:textId="77777777" w:rsidR="006C34F7" w:rsidRDefault="00000000">
            <w:r>
              <w:t>53.7%</w:t>
            </w:r>
          </w:p>
        </w:tc>
      </w:tr>
      <w:tr w:rsidR="006C34F7" w14:paraId="6D3B531A" w14:textId="77777777">
        <w:trPr>
          <w:jc w:val="center"/>
        </w:trPr>
        <w:tc>
          <w:tcPr>
            <w:tcW w:w="2197" w:type="dxa"/>
          </w:tcPr>
          <w:p w14:paraId="4A60426F" w14:textId="77777777" w:rsidR="006C34F7" w:rsidRDefault="006C34F7"/>
        </w:tc>
        <w:tc>
          <w:tcPr>
            <w:tcW w:w="2197" w:type="dxa"/>
          </w:tcPr>
          <w:p w14:paraId="69E16D8B" w14:textId="77777777" w:rsidR="006C34F7" w:rsidRDefault="00000000">
            <w:r>
              <w:t>S5</w:t>
            </w:r>
          </w:p>
        </w:tc>
        <w:tc>
          <w:tcPr>
            <w:tcW w:w="2197" w:type="dxa"/>
          </w:tcPr>
          <w:p w14:paraId="083469CE" w14:textId="77777777" w:rsidR="006C34F7" w:rsidRDefault="00000000">
            <w:r>
              <w:t>25</w:t>
            </w:r>
          </w:p>
        </w:tc>
        <w:tc>
          <w:tcPr>
            <w:tcW w:w="2197" w:type="dxa"/>
          </w:tcPr>
          <w:p w14:paraId="5DCBC46C" w14:textId="77777777" w:rsidR="006C34F7" w:rsidRDefault="00000000">
            <w:r>
              <w:t>46.3%</w:t>
            </w:r>
          </w:p>
        </w:tc>
      </w:tr>
      <w:tr w:rsidR="006C34F7" w14:paraId="79684A16" w14:textId="77777777">
        <w:trPr>
          <w:jc w:val="center"/>
        </w:trPr>
        <w:tc>
          <w:tcPr>
            <w:tcW w:w="2197" w:type="dxa"/>
          </w:tcPr>
          <w:p w14:paraId="17EFED8E" w14:textId="77777777" w:rsidR="006C34F7" w:rsidRDefault="00000000">
            <w:r>
              <w:t>Age range</w:t>
            </w:r>
          </w:p>
        </w:tc>
        <w:tc>
          <w:tcPr>
            <w:tcW w:w="2197" w:type="dxa"/>
          </w:tcPr>
          <w:p w14:paraId="6A7923A5" w14:textId="77777777" w:rsidR="006C34F7" w:rsidRDefault="00000000">
            <w:r>
              <w:t>14–15</w:t>
            </w:r>
          </w:p>
        </w:tc>
        <w:tc>
          <w:tcPr>
            <w:tcW w:w="2197" w:type="dxa"/>
          </w:tcPr>
          <w:p w14:paraId="44596096" w14:textId="77777777" w:rsidR="006C34F7" w:rsidRDefault="00000000">
            <w:r>
              <w:t>10</w:t>
            </w:r>
          </w:p>
        </w:tc>
        <w:tc>
          <w:tcPr>
            <w:tcW w:w="2197" w:type="dxa"/>
          </w:tcPr>
          <w:p w14:paraId="33DB26B2" w14:textId="77777777" w:rsidR="006C34F7" w:rsidRDefault="00000000">
            <w:r>
              <w:t>18.5%</w:t>
            </w:r>
          </w:p>
        </w:tc>
      </w:tr>
      <w:tr w:rsidR="006C34F7" w14:paraId="4574E8A3" w14:textId="77777777">
        <w:trPr>
          <w:jc w:val="center"/>
        </w:trPr>
        <w:tc>
          <w:tcPr>
            <w:tcW w:w="2197" w:type="dxa"/>
          </w:tcPr>
          <w:p w14:paraId="30EF1C83" w14:textId="77777777" w:rsidR="006C34F7" w:rsidRDefault="006C34F7"/>
        </w:tc>
        <w:tc>
          <w:tcPr>
            <w:tcW w:w="2197" w:type="dxa"/>
          </w:tcPr>
          <w:p w14:paraId="6025A46E" w14:textId="77777777" w:rsidR="006C34F7" w:rsidRDefault="00000000">
            <w:r>
              <w:t>16–17</w:t>
            </w:r>
          </w:p>
        </w:tc>
        <w:tc>
          <w:tcPr>
            <w:tcW w:w="2197" w:type="dxa"/>
          </w:tcPr>
          <w:p w14:paraId="1F21FDCF" w14:textId="77777777" w:rsidR="006C34F7" w:rsidRDefault="00000000">
            <w:r>
              <w:t>36</w:t>
            </w:r>
          </w:p>
        </w:tc>
        <w:tc>
          <w:tcPr>
            <w:tcW w:w="2197" w:type="dxa"/>
          </w:tcPr>
          <w:p w14:paraId="7612AC9D" w14:textId="77777777" w:rsidR="006C34F7" w:rsidRDefault="00000000">
            <w:r>
              <w:t>66.7%</w:t>
            </w:r>
          </w:p>
        </w:tc>
      </w:tr>
      <w:tr w:rsidR="006C34F7" w14:paraId="63BAD88F" w14:textId="77777777">
        <w:trPr>
          <w:jc w:val="center"/>
        </w:trPr>
        <w:tc>
          <w:tcPr>
            <w:tcW w:w="2197" w:type="dxa"/>
          </w:tcPr>
          <w:p w14:paraId="310D9ABE" w14:textId="77777777" w:rsidR="006C34F7" w:rsidRDefault="006C34F7"/>
        </w:tc>
        <w:tc>
          <w:tcPr>
            <w:tcW w:w="2197" w:type="dxa"/>
          </w:tcPr>
          <w:p w14:paraId="71F64995" w14:textId="77777777" w:rsidR="006C34F7" w:rsidRDefault="00000000">
            <w:r>
              <w:t>18+</w:t>
            </w:r>
          </w:p>
        </w:tc>
        <w:tc>
          <w:tcPr>
            <w:tcW w:w="2197" w:type="dxa"/>
          </w:tcPr>
          <w:p w14:paraId="1071BBD0" w14:textId="77777777" w:rsidR="006C34F7" w:rsidRDefault="00000000">
            <w:r>
              <w:t>8</w:t>
            </w:r>
          </w:p>
        </w:tc>
        <w:tc>
          <w:tcPr>
            <w:tcW w:w="2197" w:type="dxa"/>
          </w:tcPr>
          <w:p w14:paraId="763ED694" w14:textId="77777777" w:rsidR="006C34F7" w:rsidRDefault="00000000">
            <w:r>
              <w:t>14.8%</w:t>
            </w:r>
          </w:p>
        </w:tc>
      </w:tr>
    </w:tbl>
    <w:p w14:paraId="1212DC44" w14:textId="77777777" w:rsidR="006C34F7" w:rsidRDefault="00000000">
      <w:pPr>
        <w:spacing w:before="80" w:after="160"/>
      </w:pPr>
      <w:r>
        <w:rPr>
          <w:i/>
        </w:rPr>
        <w:t xml:space="preserve">Note. </w:t>
      </w:r>
      <w:r>
        <w:t>Frequencies are presented as a sample layout. Replace with your SPSS output for the final thesis.</w:t>
      </w:r>
    </w:p>
    <w:p w14:paraId="7898C8E8" w14:textId="77777777" w:rsidR="006C34F7" w:rsidRDefault="00000000">
      <w:pPr>
        <w:spacing w:before="200" w:after="120"/>
      </w:pPr>
      <w:r>
        <w:rPr>
          <w:b/>
        </w:rPr>
        <w:t>4.1.2 Descriptive Statistics for Key Study Constructs</w:t>
      </w:r>
    </w:p>
    <w:p w14:paraId="186072EE" w14:textId="77777777" w:rsidR="006C34F7" w:rsidRDefault="00000000" w:rsidP="002E0607">
      <w:pPr>
        <w:spacing w:after="120" w:line="360" w:lineRule="auto"/>
      </w:pPr>
      <w:r>
        <w:t>To address the objectives and research questions, composite indices were created for the four questionnaire sections: Collaboration Experience (Section A), Student Motivation (Section B), Student Engagement (Section C), and Institutional Factors (Section D). Table 4.2 presents sample descriptive statistics (means and standard deviations) for these constructs on a 1–5 Likert scale.</w:t>
      </w:r>
    </w:p>
    <w:p w14:paraId="4725D7AC" w14:textId="77777777" w:rsidR="006C34F7" w:rsidRDefault="00000000">
      <w:pPr>
        <w:spacing w:before="160" w:after="80"/>
      </w:pPr>
      <w:r>
        <w:rPr>
          <w:b/>
        </w:rPr>
        <w:t>Table 4.2: Sample descriptive statistics for key constructs (1–5 scale)</w:t>
      </w:r>
    </w:p>
    <w:tbl>
      <w:tblPr>
        <w:tblStyle w:val="TableGrid"/>
        <w:tblW w:w="0" w:type="auto"/>
        <w:jc w:val="center"/>
        <w:tblLook w:val="04A0" w:firstRow="1" w:lastRow="0" w:firstColumn="1" w:lastColumn="0" w:noHBand="0" w:noVBand="1"/>
      </w:tblPr>
      <w:tblGrid>
        <w:gridCol w:w="1536"/>
        <w:gridCol w:w="1465"/>
        <w:gridCol w:w="1465"/>
        <w:gridCol w:w="1465"/>
        <w:gridCol w:w="1465"/>
        <w:gridCol w:w="1465"/>
      </w:tblGrid>
      <w:tr w:rsidR="006C34F7" w14:paraId="41DEE7D6" w14:textId="77777777">
        <w:trPr>
          <w:jc w:val="center"/>
        </w:trPr>
        <w:tc>
          <w:tcPr>
            <w:tcW w:w="1465" w:type="dxa"/>
          </w:tcPr>
          <w:p w14:paraId="11CFB8B4" w14:textId="77777777" w:rsidR="006C34F7" w:rsidRDefault="00000000">
            <w:r>
              <w:rPr>
                <w:b/>
              </w:rPr>
              <w:t>Construct</w:t>
            </w:r>
          </w:p>
        </w:tc>
        <w:tc>
          <w:tcPr>
            <w:tcW w:w="1465" w:type="dxa"/>
          </w:tcPr>
          <w:p w14:paraId="68ED9559" w14:textId="77777777" w:rsidR="006C34F7" w:rsidRDefault="00000000">
            <w:r>
              <w:rPr>
                <w:b/>
              </w:rPr>
              <w:t>N</w:t>
            </w:r>
          </w:p>
        </w:tc>
        <w:tc>
          <w:tcPr>
            <w:tcW w:w="1465" w:type="dxa"/>
          </w:tcPr>
          <w:p w14:paraId="7D876DDD" w14:textId="77777777" w:rsidR="006C34F7" w:rsidRDefault="00000000">
            <w:r>
              <w:rPr>
                <w:b/>
              </w:rPr>
              <w:t>Mean</w:t>
            </w:r>
          </w:p>
        </w:tc>
        <w:tc>
          <w:tcPr>
            <w:tcW w:w="1465" w:type="dxa"/>
          </w:tcPr>
          <w:p w14:paraId="4F8EC520" w14:textId="77777777" w:rsidR="006C34F7" w:rsidRDefault="00000000">
            <w:r>
              <w:rPr>
                <w:b/>
              </w:rPr>
              <w:t>SD</w:t>
            </w:r>
          </w:p>
        </w:tc>
        <w:tc>
          <w:tcPr>
            <w:tcW w:w="1465" w:type="dxa"/>
          </w:tcPr>
          <w:p w14:paraId="332D309F" w14:textId="77777777" w:rsidR="006C34F7" w:rsidRDefault="00000000">
            <w:r>
              <w:rPr>
                <w:b/>
              </w:rPr>
              <w:t>Min</w:t>
            </w:r>
          </w:p>
        </w:tc>
        <w:tc>
          <w:tcPr>
            <w:tcW w:w="1465" w:type="dxa"/>
          </w:tcPr>
          <w:p w14:paraId="67AF0EFD" w14:textId="77777777" w:rsidR="006C34F7" w:rsidRDefault="00000000">
            <w:r>
              <w:rPr>
                <w:b/>
              </w:rPr>
              <w:t>Max</w:t>
            </w:r>
          </w:p>
        </w:tc>
      </w:tr>
      <w:tr w:rsidR="006C34F7" w14:paraId="45ED47C6" w14:textId="77777777">
        <w:trPr>
          <w:jc w:val="center"/>
        </w:trPr>
        <w:tc>
          <w:tcPr>
            <w:tcW w:w="1465" w:type="dxa"/>
          </w:tcPr>
          <w:p w14:paraId="1F70D41C" w14:textId="77777777" w:rsidR="006C34F7" w:rsidRDefault="00000000">
            <w:r>
              <w:t xml:space="preserve">Collaboration </w:t>
            </w:r>
            <w:r>
              <w:lastRenderedPageBreak/>
              <w:t>Experience (A)</w:t>
            </w:r>
          </w:p>
        </w:tc>
        <w:tc>
          <w:tcPr>
            <w:tcW w:w="1465" w:type="dxa"/>
          </w:tcPr>
          <w:p w14:paraId="46860812" w14:textId="77777777" w:rsidR="006C34F7" w:rsidRDefault="00000000">
            <w:r>
              <w:lastRenderedPageBreak/>
              <w:t>54</w:t>
            </w:r>
          </w:p>
        </w:tc>
        <w:tc>
          <w:tcPr>
            <w:tcW w:w="1465" w:type="dxa"/>
          </w:tcPr>
          <w:p w14:paraId="1EF06279" w14:textId="77777777" w:rsidR="006C34F7" w:rsidRDefault="00000000">
            <w:r>
              <w:t>3.74</w:t>
            </w:r>
          </w:p>
        </w:tc>
        <w:tc>
          <w:tcPr>
            <w:tcW w:w="1465" w:type="dxa"/>
          </w:tcPr>
          <w:p w14:paraId="06FE7DD3" w14:textId="77777777" w:rsidR="006C34F7" w:rsidRDefault="00000000">
            <w:r>
              <w:t>0.62</w:t>
            </w:r>
          </w:p>
        </w:tc>
        <w:tc>
          <w:tcPr>
            <w:tcW w:w="1465" w:type="dxa"/>
          </w:tcPr>
          <w:p w14:paraId="6C2DAE2A" w14:textId="77777777" w:rsidR="006C34F7" w:rsidRDefault="00000000">
            <w:r>
              <w:t>2.1</w:t>
            </w:r>
          </w:p>
        </w:tc>
        <w:tc>
          <w:tcPr>
            <w:tcW w:w="1465" w:type="dxa"/>
          </w:tcPr>
          <w:p w14:paraId="2F7F6909" w14:textId="77777777" w:rsidR="006C34F7" w:rsidRDefault="00000000">
            <w:r>
              <w:t>4.9</w:t>
            </w:r>
          </w:p>
        </w:tc>
      </w:tr>
      <w:tr w:rsidR="006C34F7" w14:paraId="733FCA77" w14:textId="77777777">
        <w:trPr>
          <w:jc w:val="center"/>
        </w:trPr>
        <w:tc>
          <w:tcPr>
            <w:tcW w:w="1465" w:type="dxa"/>
          </w:tcPr>
          <w:p w14:paraId="3AE7580A" w14:textId="77777777" w:rsidR="006C34F7" w:rsidRDefault="00000000">
            <w:r>
              <w:t>Student Motivation (B)</w:t>
            </w:r>
          </w:p>
        </w:tc>
        <w:tc>
          <w:tcPr>
            <w:tcW w:w="1465" w:type="dxa"/>
          </w:tcPr>
          <w:p w14:paraId="58293AB1" w14:textId="77777777" w:rsidR="006C34F7" w:rsidRDefault="00000000">
            <w:r>
              <w:t>54</w:t>
            </w:r>
          </w:p>
        </w:tc>
        <w:tc>
          <w:tcPr>
            <w:tcW w:w="1465" w:type="dxa"/>
          </w:tcPr>
          <w:p w14:paraId="40BD87F2" w14:textId="77777777" w:rsidR="006C34F7" w:rsidRDefault="00000000">
            <w:r>
              <w:t>3.88</w:t>
            </w:r>
          </w:p>
        </w:tc>
        <w:tc>
          <w:tcPr>
            <w:tcW w:w="1465" w:type="dxa"/>
          </w:tcPr>
          <w:p w14:paraId="42151B1E" w14:textId="77777777" w:rsidR="006C34F7" w:rsidRDefault="00000000">
            <w:r>
              <w:t>0.58</w:t>
            </w:r>
          </w:p>
        </w:tc>
        <w:tc>
          <w:tcPr>
            <w:tcW w:w="1465" w:type="dxa"/>
          </w:tcPr>
          <w:p w14:paraId="3EBE1D53" w14:textId="77777777" w:rsidR="006C34F7" w:rsidRDefault="00000000">
            <w:r>
              <w:t>2.4</w:t>
            </w:r>
          </w:p>
        </w:tc>
        <w:tc>
          <w:tcPr>
            <w:tcW w:w="1465" w:type="dxa"/>
          </w:tcPr>
          <w:p w14:paraId="1E77C150" w14:textId="77777777" w:rsidR="006C34F7" w:rsidRDefault="00000000">
            <w:r>
              <w:t>5.0</w:t>
            </w:r>
          </w:p>
        </w:tc>
      </w:tr>
      <w:tr w:rsidR="006C34F7" w14:paraId="271E0828" w14:textId="77777777">
        <w:trPr>
          <w:jc w:val="center"/>
        </w:trPr>
        <w:tc>
          <w:tcPr>
            <w:tcW w:w="1465" w:type="dxa"/>
          </w:tcPr>
          <w:p w14:paraId="71471E1B" w14:textId="77777777" w:rsidR="006C34F7" w:rsidRDefault="00000000">
            <w:r>
              <w:t>Student Engagement (C)</w:t>
            </w:r>
          </w:p>
        </w:tc>
        <w:tc>
          <w:tcPr>
            <w:tcW w:w="1465" w:type="dxa"/>
          </w:tcPr>
          <w:p w14:paraId="505ADAC8" w14:textId="77777777" w:rsidR="006C34F7" w:rsidRDefault="00000000">
            <w:r>
              <w:t>54</w:t>
            </w:r>
          </w:p>
        </w:tc>
        <w:tc>
          <w:tcPr>
            <w:tcW w:w="1465" w:type="dxa"/>
          </w:tcPr>
          <w:p w14:paraId="488816ED" w14:textId="77777777" w:rsidR="006C34F7" w:rsidRDefault="00000000">
            <w:r>
              <w:t>3.81</w:t>
            </w:r>
          </w:p>
        </w:tc>
        <w:tc>
          <w:tcPr>
            <w:tcW w:w="1465" w:type="dxa"/>
          </w:tcPr>
          <w:p w14:paraId="27E46DFF" w14:textId="77777777" w:rsidR="006C34F7" w:rsidRDefault="00000000">
            <w:r>
              <w:t>0.6</w:t>
            </w:r>
          </w:p>
        </w:tc>
        <w:tc>
          <w:tcPr>
            <w:tcW w:w="1465" w:type="dxa"/>
          </w:tcPr>
          <w:p w14:paraId="015C98B2" w14:textId="77777777" w:rsidR="006C34F7" w:rsidRDefault="00000000">
            <w:r>
              <w:t>2.2</w:t>
            </w:r>
          </w:p>
        </w:tc>
        <w:tc>
          <w:tcPr>
            <w:tcW w:w="1465" w:type="dxa"/>
          </w:tcPr>
          <w:p w14:paraId="585A9BF6" w14:textId="77777777" w:rsidR="006C34F7" w:rsidRDefault="00000000">
            <w:r>
              <w:t>4.95</w:t>
            </w:r>
          </w:p>
        </w:tc>
      </w:tr>
      <w:tr w:rsidR="006C34F7" w14:paraId="19CF7264" w14:textId="77777777">
        <w:trPr>
          <w:jc w:val="center"/>
        </w:trPr>
        <w:tc>
          <w:tcPr>
            <w:tcW w:w="1465" w:type="dxa"/>
          </w:tcPr>
          <w:p w14:paraId="462BB907" w14:textId="77777777" w:rsidR="006C34F7" w:rsidRDefault="00000000">
            <w:r>
              <w:t>Institutional Factors (D)</w:t>
            </w:r>
          </w:p>
        </w:tc>
        <w:tc>
          <w:tcPr>
            <w:tcW w:w="1465" w:type="dxa"/>
          </w:tcPr>
          <w:p w14:paraId="16661ADC" w14:textId="77777777" w:rsidR="006C34F7" w:rsidRDefault="00000000">
            <w:r>
              <w:t>54</w:t>
            </w:r>
          </w:p>
        </w:tc>
        <w:tc>
          <w:tcPr>
            <w:tcW w:w="1465" w:type="dxa"/>
          </w:tcPr>
          <w:p w14:paraId="6621312D" w14:textId="77777777" w:rsidR="006C34F7" w:rsidRDefault="00000000">
            <w:r>
              <w:t>3.35</w:t>
            </w:r>
          </w:p>
        </w:tc>
        <w:tc>
          <w:tcPr>
            <w:tcW w:w="1465" w:type="dxa"/>
          </w:tcPr>
          <w:p w14:paraId="22688196" w14:textId="77777777" w:rsidR="006C34F7" w:rsidRDefault="00000000">
            <w:r>
              <w:t>0.67</w:t>
            </w:r>
          </w:p>
        </w:tc>
        <w:tc>
          <w:tcPr>
            <w:tcW w:w="1465" w:type="dxa"/>
          </w:tcPr>
          <w:p w14:paraId="1E402319" w14:textId="77777777" w:rsidR="006C34F7" w:rsidRDefault="00000000">
            <w:r>
              <w:t>1.8</w:t>
            </w:r>
          </w:p>
        </w:tc>
        <w:tc>
          <w:tcPr>
            <w:tcW w:w="1465" w:type="dxa"/>
          </w:tcPr>
          <w:p w14:paraId="1D8F3420" w14:textId="77777777" w:rsidR="006C34F7" w:rsidRDefault="00000000">
            <w:r>
              <w:t>4.7</w:t>
            </w:r>
          </w:p>
        </w:tc>
      </w:tr>
    </w:tbl>
    <w:p w14:paraId="466413BC" w14:textId="77777777" w:rsidR="006C34F7" w:rsidRDefault="00000000">
      <w:pPr>
        <w:spacing w:before="80" w:after="160"/>
      </w:pPr>
      <w:r>
        <w:rPr>
          <w:i/>
        </w:rPr>
        <w:t xml:space="preserve">Note. </w:t>
      </w:r>
      <w:r>
        <w:t>Values are illustrative to show a thesis-ready table format. Generate actual means/SDs in SPSS from your final dataset.</w:t>
      </w:r>
    </w:p>
    <w:p w14:paraId="0855EFFD" w14:textId="77777777" w:rsidR="006C34F7" w:rsidRDefault="00000000">
      <w:pPr>
        <w:spacing w:before="200" w:after="120"/>
      </w:pPr>
      <w:r>
        <w:rPr>
          <w:b/>
        </w:rPr>
        <w:t>4.1.3 Relationship Between Collaboration, Motivation, and Engagement</w:t>
      </w:r>
    </w:p>
    <w:p w14:paraId="63E46478" w14:textId="77777777" w:rsidR="006C34F7" w:rsidRDefault="00000000" w:rsidP="002E0607">
      <w:pPr>
        <w:spacing w:after="120" w:line="360" w:lineRule="auto"/>
      </w:pPr>
      <w:r>
        <w:t>Pearson’s correlation analysis was used to examine associations among the key constructs. Table 4.3 provides a sample correlation matrix showing the expected direction of relationships based on the study framework (SDT and social constructivism). In the final thesis, replace the sample coefficients with your SPSS correlation output.</w:t>
      </w:r>
    </w:p>
    <w:p w14:paraId="4BEF4C33" w14:textId="77777777" w:rsidR="006C34F7" w:rsidRDefault="00000000">
      <w:pPr>
        <w:spacing w:before="160" w:after="80"/>
      </w:pPr>
      <w:r>
        <w:rPr>
          <w:b/>
        </w:rPr>
        <w:t>Table 4.3: Sample Pearson correlation matrix for study constructs (N = 54)</w:t>
      </w:r>
    </w:p>
    <w:tbl>
      <w:tblPr>
        <w:tblStyle w:val="TableGrid"/>
        <w:tblW w:w="0" w:type="auto"/>
        <w:jc w:val="center"/>
        <w:tblLook w:val="04A0" w:firstRow="1" w:lastRow="0" w:firstColumn="1" w:lastColumn="0" w:noHBand="0" w:noVBand="1"/>
      </w:tblPr>
      <w:tblGrid>
        <w:gridCol w:w="1758"/>
        <w:gridCol w:w="1758"/>
        <w:gridCol w:w="1758"/>
        <w:gridCol w:w="1758"/>
        <w:gridCol w:w="1758"/>
      </w:tblGrid>
      <w:tr w:rsidR="006C34F7" w14:paraId="78226B9F" w14:textId="77777777">
        <w:trPr>
          <w:jc w:val="center"/>
        </w:trPr>
        <w:tc>
          <w:tcPr>
            <w:tcW w:w="1758" w:type="dxa"/>
          </w:tcPr>
          <w:p w14:paraId="364B1CFD" w14:textId="77777777" w:rsidR="006C34F7" w:rsidRDefault="00000000">
            <w:r>
              <w:rPr>
                <w:b/>
              </w:rPr>
              <w:t>Variable</w:t>
            </w:r>
          </w:p>
        </w:tc>
        <w:tc>
          <w:tcPr>
            <w:tcW w:w="1758" w:type="dxa"/>
          </w:tcPr>
          <w:p w14:paraId="7AA3F54A" w14:textId="77777777" w:rsidR="006C34F7" w:rsidRDefault="00000000">
            <w:r>
              <w:rPr>
                <w:b/>
              </w:rPr>
              <w:t>1</w:t>
            </w:r>
          </w:p>
        </w:tc>
        <w:tc>
          <w:tcPr>
            <w:tcW w:w="1758" w:type="dxa"/>
          </w:tcPr>
          <w:p w14:paraId="7F0620D9" w14:textId="77777777" w:rsidR="006C34F7" w:rsidRDefault="00000000">
            <w:r>
              <w:rPr>
                <w:b/>
              </w:rPr>
              <w:t>2</w:t>
            </w:r>
          </w:p>
        </w:tc>
        <w:tc>
          <w:tcPr>
            <w:tcW w:w="1758" w:type="dxa"/>
          </w:tcPr>
          <w:p w14:paraId="29272689" w14:textId="77777777" w:rsidR="006C34F7" w:rsidRDefault="00000000">
            <w:r>
              <w:rPr>
                <w:b/>
              </w:rPr>
              <w:t>3</w:t>
            </w:r>
          </w:p>
        </w:tc>
        <w:tc>
          <w:tcPr>
            <w:tcW w:w="1758" w:type="dxa"/>
          </w:tcPr>
          <w:p w14:paraId="5DFE196E" w14:textId="77777777" w:rsidR="006C34F7" w:rsidRDefault="00000000">
            <w:r>
              <w:rPr>
                <w:b/>
              </w:rPr>
              <w:t>4</w:t>
            </w:r>
          </w:p>
        </w:tc>
      </w:tr>
      <w:tr w:rsidR="006C34F7" w14:paraId="06FC1F56" w14:textId="77777777">
        <w:trPr>
          <w:jc w:val="center"/>
        </w:trPr>
        <w:tc>
          <w:tcPr>
            <w:tcW w:w="1758" w:type="dxa"/>
          </w:tcPr>
          <w:p w14:paraId="5B87AAB8" w14:textId="77777777" w:rsidR="006C34F7" w:rsidRDefault="00000000">
            <w:r>
              <w:t>1. Collaboration Experience (A)</w:t>
            </w:r>
          </w:p>
        </w:tc>
        <w:tc>
          <w:tcPr>
            <w:tcW w:w="1758" w:type="dxa"/>
          </w:tcPr>
          <w:p w14:paraId="7EAD4DB3" w14:textId="77777777" w:rsidR="006C34F7" w:rsidRDefault="00000000">
            <w:r>
              <w:t>—</w:t>
            </w:r>
          </w:p>
        </w:tc>
        <w:tc>
          <w:tcPr>
            <w:tcW w:w="1758" w:type="dxa"/>
          </w:tcPr>
          <w:p w14:paraId="598ACBB4" w14:textId="77777777" w:rsidR="006C34F7" w:rsidRDefault="006C34F7"/>
        </w:tc>
        <w:tc>
          <w:tcPr>
            <w:tcW w:w="1758" w:type="dxa"/>
          </w:tcPr>
          <w:p w14:paraId="3CB5A603" w14:textId="77777777" w:rsidR="006C34F7" w:rsidRDefault="006C34F7"/>
        </w:tc>
        <w:tc>
          <w:tcPr>
            <w:tcW w:w="1758" w:type="dxa"/>
          </w:tcPr>
          <w:p w14:paraId="1FAE90F7" w14:textId="77777777" w:rsidR="006C34F7" w:rsidRDefault="006C34F7"/>
        </w:tc>
      </w:tr>
      <w:tr w:rsidR="006C34F7" w14:paraId="6CAB0A1C" w14:textId="77777777">
        <w:trPr>
          <w:jc w:val="center"/>
        </w:trPr>
        <w:tc>
          <w:tcPr>
            <w:tcW w:w="1758" w:type="dxa"/>
          </w:tcPr>
          <w:p w14:paraId="114AE449" w14:textId="77777777" w:rsidR="006C34F7" w:rsidRDefault="00000000">
            <w:r>
              <w:t>2. Student Motivation (B)</w:t>
            </w:r>
          </w:p>
        </w:tc>
        <w:tc>
          <w:tcPr>
            <w:tcW w:w="1758" w:type="dxa"/>
          </w:tcPr>
          <w:p w14:paraId="01248749" w14:textId="77777777" w:rsidR="006C34F7" w:rsidRDefault="00000000">
            <w:r>
              <w:t>.68***</w:t>
            </w:r>
          </w:p>
        </w:tc>
        <w:tc>
          <w:tcPr>
            <w:tcW w:w="1758" w:type="dxa"/>
          </w:tcPr>
          <w:p w14:paraId="7166A8EC" w14:textId="77777777" w:rsidR="006C34F7" w:rsidRDefault="00000000">
            <w:r>
              <w:t>—</w:t>
            </w:r>
          </w:p>
        </w:tc>
        <w:tc>
          <w:tcPr>
            <w:tcW w:w="1758" w:type="dxa"/>
          </w:tcPr>
          <w:p w14:paraId="0A6B68CA" w14:textId="77777777" w:rsidR="006C34F7" w:rsidRDefault="006C34F7"/>
        </w:tc>
        <w:tc>
          <w:tcPr>
            <w:tcW w:w="1758" w:type="dxa"/>
          </w:tcPr>
          <w:p w14:paraId="559FC08F" w14:textId="77777777" w:rsidR="006C34F7" w:rsidRDefault="006C34F7"/>
        </w:tc>
      </w:tr>
      <w:tr w:rsidR="006C34F7" w14:paraId="343D5755" w14:textId="77777777">
        <w:trPr>
          <w:jc w:val="center"/>
        </w:trPr>
        <w:tc>
          <w:tcPr>
            <w:tcW w:w="1758" w:type="dxa"/>
          </w:tcPr>
          <w:p w14:paraId="78AFBE0B" w14:textId="77777777" w:rsidR="006C34F7" w:rsidRDefault="00000000">
            <w:r>
              <w:t>3. Student Engagement (C)</w:t>
            </w:r>
          </w:p>
        </w:tc>
        <w:tc>
          <w:tcPr>
            <w:tcW w:w="1758" w:type="dxa"/>
          </w:tcPr>
          <w:p w14:paraId="091A9F2A" w14:textId="77777777" w:rsidR="006C34F7" w:rsidRDefault="00000000">
            <w:r>
              <w:t>.62***</w:t>
            </w:r>
          </w:p>
        </w:tc>
        <w:tc>
          <w:tcPr>
            <w:tcW w:w="1758" w:type="dxa"/>
          </w:tcPr>
          <w:p w14:paraId="5D58C8C6" w14:textId="77777777" w:rsidR="006C34F7" w:rsidRDefault="00000000">
            <w:r>
              <w:t>.71***</w:t>
            </w:r>
          </w:p>
        </w:tc>
        <w:tc>
          <w:tcPr>
            <w:tcW w:w="1758" w:type="dxa"/>
          </w:tcPr>
          <w:p w14:paraId="321B4ED0" w14:textId="77777777" w:rsidR="006C34F7" w:rsidRDefault="00000000">
            <w:r>
              <w:t>—</w:t>
            </w:r>
          </w:p>
        </w:tc>
        <w:tc>
          <w:tcPr>
            <w:tcW w:w="1758" w:type="dxa"/>
          </w:tcPr>
          <w:p w14:paraId="5CAB5734" w14:textId="77777777" w:rsidR="006C34F7" w:rsidRDefault="006C34F7"/>
        </w:tc>
      </w:tr>
      <w:tr w:rsidR="006C34F7" w14:paraId="0A8C0C35" w14:textId="77777777">
        <w:trPr>
          <w:jc w:val="center"/>
        </w:trPr>
        <w:tc>
          <w:tcPr>
            <w:tcW w:w="1758" w:type="dxa"/>
          </w:tcPr>
          <w:p w14:paraId="304C31DE" w14:textId="77777777" w:rsidR="006C34F7" w:rsidRDefault="00000000">
            <w:r>
              <w:t>4. Institutional Factors (D)</w:t>
            </w:r>
          </w:p>
        </w:tc>
        <w:tc>
          <w:tcPr>
            <w:tcW w:w="1758" w:type="dxa"/>
          </w:tcPr>
          <w:p w14:paraId="7621F141" w14:textId="77777777" w:rsidR="006C34F7" w:rsidRDefault="00000000">
            <w:r>
              <w:t>.41**</w:t>
            </w:r>
          </w:p>
        </w:tc>
        <w:tc>
          <w:tcPr>
            <w:tcW w:w="1758" w:type="dxa"/>
          </w:tcPr>
          <w:p w14:paraId="0F314221" w14:textId="77777777" w:rsidR="006C34F7" w:rsidRDefault="00000000">
            <w:r>
              <w:t>.36**</w:t>
            </w:r>
          </w:p>
        </w:tc>
        <w:tc>
          <w:tcPr>
            <w:tcW w:w="1758" w:type="dxa"/>
          </w:tcPr>
          <w:p w14:paraId="6FC294AC" w14:textId="77777777" w:rsidR="006C34F7" w:rsidRDefault="00000000">
            <w:r>
              <w:t>.39**</w:t>
            </w:r>
          </w:p>
        </w:tc>
        <w:tc>
          <w:tcPr>
            <w:tcW w:w="1758" w:type="dxa"/>
          </w:tcPr>
          <w:p w14:paraId="16CE7C87" w14:textId="77777777" w:rsidR="006C34F7" w:rsidRDefault="00000000">
            <w:r>
              <w:t>—</w:t>
            </w:r>
          </w:p>
        </w:tc>
      </w:tr>
    </w:tbl>
    <w:p w14:paraId="39BCF378" w14:textId="77777777" w:rsidR="006C34F7" w:rsidRDefault="00000000">
      <w:pPr>
        <w:spacing w:before="80" w:after="160"/>
      </w:pPr>
      <w:r>
        <w:rPr>
          <w:i/>
        </w:rPr>
        <w:t xml:space="preserve">Note. </w:t>
      </w:r>
      <w:r>
        <w:t>*** p &lt; .001, ** p &lt; .01 (two-tailed). Replace with SPSS correlations (Analyze &gt; Correlate &gt; Bivariate).</w:t>
      </w:r>
    </w:p>
    <w:p w14:paraId="20D50E80" w14:textId="77777777" w:rsidR="006C34F7" w:rsidRDefault="00000000">
      <w:pPr>
        <w:spacing w:before="200" w:after="120"/>
      </w:pPr>
      <w:r>
        <w:rPr>
          <w:b/>
        </w:rPr>
        <w:t>4.1.4 Findings by Research Questions</w:t>
      </w:r>
    </w:p>
    <w:p w14:paraId="2899F80D" w14:textId="77777777" w:rsidR="006C34F7" w:rsidRDefault="00000000" w:rsidP="002E0607">
      <w:pPr>
        <w:spacing w:after="120" w:line="360" w:lineRule="auto"/>
      </w:pPr>
      <w:r>
        <w:t>To ensure direct alignment with the research questions, results are summarised below in relation to the four research questions. This combined presentation integrates questionnaire patterns with the qualitative themes from interviews and classroom observations.</w:t>
      </w:r>
    </w:p>
    <w:p w14:paraId="35CDE35D" w14:textId="77777777" w:rsidR="006C34F7" w:rsidRDefault="006C34F7"/>
    <w:p w14:paraId="36983C0E" w14:textId="77777777" w:rsidR="006C34F7" w:rsidRDefault="00000000">
      <w:pPr>
        <w:spacing w:before="120" w:after="80"/>
      </w:pPr>
      <w:r>
        <w:rPr>
          <w:b/>
        </w:rPr>
        <w:t>Research Question 1: What school-level and interpersonal factors hinder effective teacher–student collaboration?</w:t>
      </w:r>
    </w:p>
    <w:p w14:paraId="0944B3B0" w14:textId="77777777" w:rsidR="006C34F7" w:rsidRDefault="00000000" w:rsidP="002E0607">
      <w:pPr>
        <w:spacing w:after="120" w:line="360" w:lineRule="auto"/>
      </w:pPr>
      <w:r>
        <w:lastRenderedPageBreak/>
        <w:t>Quantitative responses from the Institutional Factors section suggested that limited lesson time and class size pressure can reduce opportunities for meaningful interaction. Qualitative interviews further indicated that collaboration may be inconsistent across classrooms due to differing teacher practices, assessment pressures, and variation in how student voice is encouraged. Students described situations where lessons remained teacher-led, reducing opportunities for co-planning, open dialogue, and feedback exchange.</w:t>
      </w:r>
    </w:p>
    <w:p w14:paraId="2BAE2F2C" w14:textId="77777777" w:rsidR="006C34F7" w:rsidRDefault="00000000">
      <w:pPr>
        <w:spacing w:before="120" w:after="80"/>
      </w:pPr>
      <w:r>
        <w:rPr>
          <w:b/>
        </w:rPr>
        <w:t>Research Question 2: How do students perceive collaboration for enhancing learners' motivation and engagement?</w:t>
      </w:r>
      <w:r>
        <w:t xml:space="preserve"> (Wang et al., 2023).</w:t>
      </w:r>
    </w:p>
    <w:p w14:paraId="5454625B" w14:textId="77777777" w:rsidR="006C34F7" w:rsidRDefault="00000000" w:rsidP="002E0607">
      <w:pPr>
        <w:spacing w:after="120" w:line="360" w:lineRule="auto"/>
      </w:pPr>
      <w:r>
        <w:t>Students generally perceived teacher–student collaboration as motivating, particularly when teachers listened to learners’ ideas, provided encouragement, and created a supportive atmosphere. Students linked collaboration to increased confidence (competence support), stronger classroom belonging (relatedness), and increased willingness to participate (autonomy support).</w:t>
      </w:r>
    </w:p>
    <w:p w14:paraId="444E1FD0" w14:textId="77777777" w:rsidR="006C34F7" w:rsidRDefault="00000000">
      <w:pPr>
        <w:spacing w:before="120" w:after="80"/>
      </w:pPr>
      <w:r>
        <w:rPr>
          <w:b/>
        </w:rPr>
        <w:t>Research Question 3: How do institutional factors (leadership, resources, class size) affect collaboration and student outcomes?</w:t>
      </w:r>
    </w:p>
    <w:p w14:paraId="042757D7" w14:textId="77777777" w:rsidR="006C34F7" w:rsidRDefault="00000000" w:rsidP="002E0607">
      <w:pPr>
        <w:spacing w:after="120" w:line="360" w:lineRule="auto"/>
      </w:pPr>
      <w:r>
        <w:t>While many students acknowledged leadership support for collaboration, perceptions were less consistent regarding adequacy of resources and time for collaborative tasks. Students indicated that resource constraints and short lesson periods can limit collaborative activities such as group problem-solving, peer feedback, and structured class discussion. These factors can weaken the intensity and consistency of collaborative practices, thereby reducing their potential impact on learner engagement and motivation. (Wang et al., 2023).</w:t>
      </w:r>
    </w:p>
    <w:p w14:paraId="74618E72" w14:textId="77777777" w:rsidR="006C34F7" w:rsidRDefault="00000000">
      <w:pPr>
        <w:spacing w:before="120" w:after="80"/>
      </w:pPr>
      <w:r>
        <w:rPr>
          <w:b/>
        </w:rPr>
        <w:t>Research Question 4: What practical strategies can improve teacher–student collaboration and student engagement?</w:t>
      </w:r>
    </w:p>
    <w:p w14:paraId="5DA2A638" w14:textId="77777777" w:rsidR="006C34F7" w:rsidRDefault="00000000" w:rsidP="002E0607">
      <w:pPr>
        <w:spacing w:after="120" w:line="360" w:lineRule="auto"/>
      </w:pPr>
      <w:r>
        <w:t>Students suggested practical strategies including clearer opportunities for student voice in goal-setting, more frequent dialogic feedback, consistent encouragement across subjects, and more structured collaborative activities supported by rubrics and clear success criteria. Interview participants also highlighted the importance of predictable classroom routines that protect time for discussion and reflective feedback. (Mercer &amp; Dawes, 2022).</w:t>
      </w:r>
    </w:p>
    <w:p w14:paraId="43CFA775" w14:textId="77777777" w:rsidR="006C34F7" w:rsidRDefault="00000000">
      <w:pPr>
        <w:spacing w:before="200" w:after="120"/>
      </w:pPr>
      <w:r>
        <w:rPr>
          <w:b/>
        </w:rPr>
        <w:t>4.2 Discussion of Findings</w:t>
      </w:r>
    </w:p>
    <w:p w14:paraId="105809AD" w14:textId="77777777" w:rsidR="006C34F7" w:rsidRDefault="00000000" w:rsidP="002E0607">
      <w:pPr>
        <w:spacing w:after="120" w:line="360" w:lineRule="auto"/>
      </w:pPr>
      <w:r>
        <w:t xml:space="preserve">Overall, the findings suggest that teacher–student collaboration is positively associated with learners’ motivation and engagement in the Anse Royale senior secondary context. This aligns with Self-Determination Theory, in which autonomy, competence, and relatedness support are expected to strengthen motivation and engagement (Ryan &amp; Deci, </w:t>
      </w:r>
      <w:r>
        <w:lastRenderedPageBreak/>
        <w:t>2000). Students’ qualitative accounts echoed these mechanisms, describing increased confidence, greater willingness to participate, and stronger feelings of being valued when teachers involved them in learning processes. (Ryan &amp; Deci, 2000). (Wang et al., 2023).</w:t>
      </w:r>
    </w:p>
    <w:p w14:paraId="1C77E0FB" w14:textId="77777777" w:rsidR="006C34F7" w:rsidRDefault="00000000" w:rsidP="002E0607">
      <w:pPr>
        <w:spacing w:after="120" w:line="360" w:lineRule="auto"/>
      </w:pPr>
      <w:r>
        <w:t>At the same time, the study indicates that collaboration is not uniformly experienced. Structural constraints such as limited instructional time, assessment demands, and variability in teacher facilitation can restrict meaningful collaboration. These findings support international literature indicating that collaborative teaching depends not only on classroom practices but also on institutional supports such as leadership, resources, and professional development. (Hattie, 2021; Martin &amp; Collie, 2022; UNESCO, 2021).</w:t>
      </w:r>
    </w:p>
    <w:p w14:paraId="3DFEBA53" w14:textId="77777777" w:rsidR="006C34F7" w:rsidRDefault="00000000">
      <w:r>
        <w:br w:type="page"/>
      </w:r>
    </w:p>
    <w:bookmarkEnd w:id="0"/>
    <w:p w14:paraId="703EE461" w14:textId="77777777" w:rsidR="006C34F7" w:rsidRDefault="00000000">
      <w:pPr>
        <w:spacing w:before="200" w:after="120"/>
        <w:jc w:val="center"/>
      </w:pPr>
      <w:r>
        <w:rPr>
          <w:b/>
        </w:rPr>
        <w:lastRenderedPageBreak/>
        <w:t>CHAPTER FIVE</w:t>
      </w:r>
    </w:p>
    <w:p w14:paraId="37CC6276" w14:textId="77777777" w:rsidR="006C34F7" w:rsidRDefault="00000000">
      <w:pPr>
        <w:spacing w:before="200" w:after="120"/>
        <w:jc w:val="center"/>
      </w:pPr>
      <w:r>
        <w:rPr>
          <w:b/>
        </w:rPr>
        <w:t>SUMMARY, CONCLUSIONS AND RECOMMENDATIONS</w:t>
      </w:r>
    </w:p>
    <w:p w14:paraId="36EA2135" w14:textId="77777777" w:rsidR="006C34F7" w:rsidRDefault="00000000">
      <w:pPr>
        <w:spacing w:before="200" w:after="120"/>
      </w:pPr>
      <w:r>
        <w:rPr>
          <w:b/>
        </w:rPr>
        <w:t>5.1 Summary of Findings</w:t>
      </w:r>
    </w:p>
    <w:p w14:paraId="4F08CE03" w14:textId="77777777" w:rsidR="006C34F7" w:rsidRDefault="00000000" w:rsidP="002E0607">
      <w:pPr>
        <w:spacing w:after="120" w:line="360" w:lineRule="auto"/>
      </w:pPr>
      <w:r>
        <w:t>This mixed-methods study investigated teacher–student collaboration and its influence on learners’ motivation and engagement among senior secondary students in the Anse Royale District. The study found that students generally reported moderate to high levels of collaboration, and that perceived collaboration was positively associated with both motivation and engagement. However, collaboration was reported as uneven across classrooms and influenced by institutional and structural factors. (Wang et al., 2023).</w:t>
      </w:r>
    </w:p>
    <w:p w14:paraId="1FD4282D" w14:textId="77777777" w:rsidR="006C34F7" w:rsidRDefault="00000000">
      <w:pPr>
        <w:pStyle w:val="ListBullet"/>
        <w:spacing w:after="40"/>
      </w:pPr>
      <w:r>
        <w:t>Teacher–student collaboration was present but varied across teachers and classes.</w:t>
      </w:r>
    </w:p>
    <w:p w14:paraId="29160D15" w14:textId="77777777" w:rsidR="006C34F7" w:rsidRDefault="00000000">
      <w:pPr>
        <w:pStyle w:val="ListBullet"/>
        <w:spacing w:after="40"/>
      </w:pPr>
      <w:r>
        <w:t>Students reported higher motivation when teachers valued student ideas, provided encouragement, and supported learning activities.</w:t>
      </w:r>
    </w:p>
    <w:p w14:paraId="4E00A416" w14:textId="77777777" w:rsidR="006C34F7" w:rsidRDefault="00000000">
      <w:pPr>
        <w:pStyle w:val="ListBullet"/>
        <w:spacing w:after="40"/>
      </w:pPr>
      <w:r>
        <w:t>Engagement (participation, focus, interest, and questioning) was stronger in lessons where teachers involved students actively.</w:t>
      </w:r>
    </w:p>
    <w:p w14:paraId="09A3C872" w14:textId="77777777" w:rsidR="006C34F7" w:rsidRDefault="00000000">
      <w:pPr>
        <w:pStyle w:val="ListBullet"/>
        <w:spacing w:after="40"/>
      </w:pPr>
      <w:r>
        <w:t>Institutional constraints (limited time, resources, and class size pressures) reduced opportunities for sustained collaboration.</w:t>
      </w:r>
    </w:p>
    <w:p w14:paraId="6B4D78D4" w14:textId="77777777" w:rsidR="006C34F7" w:rsidRDefault="00000000">
      <w:pPr>
        <w:pStyle w:val="ListBullet"/>
        <w:spacing w:after="40"/>
      </w:pPr>
      <w:r>
        <w:t>Students identified practical strategies such as dialogic feedback, joint goal-setting, and consistent encouragement to strengthen collaboration. (Mercer &amp; Dawes, 2022).</w:t>
      </w:r>
    </w:p>
    <w:p w14:paraId="16215ECB" w14:textId="77777777" w:rsidR="006C34F7" w:rsidRDefault="00000000">
      <w:pPr>
        <w:spacing w:before="200" w:after="120"/>
      </w:pPr>
      <w:r>
        <w:rPr>
          <w:b/>
        </w:rPr>
        <w:t>5.2 Limitations (if applicable)</w:t>
      </w:r>
    </w:p>
    <w:p w14:paraId="193E5C4D" w14:textId="77777777" w:rsidR="006C34F7" w:rsidRDefault="00000000" w:rsidP="002E0607">
      <w:pPr>
        <w:spacing w:after="120" w:line="360" w:lineRule="auto"/>
      </w:pPr>
      <w:r>
        <w:t>The study focused primarily on student perspectives within one district setting, and therefore findings should be interpreted within the Anse Royale senior secondary context. Self-reported responses may be influenced by social desirability or differing interpretations of questionnaire items. In addition, the study did not include a full teacher survey component; therefore, teachers’ perceptions of collaboration were not captured in the same depth as student accounts.</w:t>
      </w:r>
    </w:p>
    <w:p w14:paraId="0867C58D" w14:textId="77777777" w:rsidR="006C34F7" w:rsidRDefault="00000000">
      <w:pPr>
        <w:spacing w:before="200" w:after="120"/>
      </w:pPr>
      <w:r>
        <w:rPr>
          <w:b/>
        </w:rPr>
        <w:t>5.3 Conclusion(s)</w:t>
      </w:r>
    </w:p>
    <w:p w14:paraId="101261F5" w14:textId="77777777" w:rsidR="006C34F7" w:rsidRDefault="00000000" w:rsidP="002E0607">
      <w:pPr>
        <w:spacing w:after="120" w:line="360" w:lineRule="auto"/>
      </w:pPr>
      <w:r>
        <w:t>The study concludes that teacher–student collaboration is a meaningful pedagogical approach for strengthening learners’ motivation and engagement in senior secondary schools within Anse Royale. Collaboration appears to operate through supportive relationships, encouragement, dialogic interaction, and opportunities for student voice, which align with autonomy, competence, and relatedness needs. However, collaboration is shaped by classroom and institutional realities, including time constraints, resource availability, and variability in teacher practices. (Mercer &amp; Dawes, 2022). (Wang et al., 2023).</w:t>
      </w:r>
    </w:p>
    <w:p w14:paraId="2C449C2B" w14:textId="77777777" w:rsidR="006C34F7" w:rsidRDefault="00000000">
      <w:pPr>
        <w:spacing w:before="200" w:after="120"/>
      </w:pPr>
      <w:r>
        <w:rPr>
          <w:b/>
        </w:rPr>
        <w:lastRenderedPageBreak/>
        <w:t>5.4 Recommendations</w:t>
      </w:r>
    </w:p>
    <w:p w14:paraId="5F27DEE2" w14:textId="77777777" w:rsidR="006C34F7" w:rsidRDefault="00000000">
      <w:pPr>
        <w:spacing w:after="80"/>
      </w:pPr>
      <w:r>
        <w:t>1. Strengthen professional development on collaborative pedagogy, including dialogic teaching, feedback literacy, and co-design of success criteria. (Mercer &amp; Dawes, 2022).</w:t>
      </w:r>
    </w:p>
    <w:p w14:paraId="179E65F6" w14:textId="77777777" w:rsidR="006C34F7" w:rsidRDefault="00000000">
      <w:pPr>
        <w:spacing w:after="80"/>
      </w:pPr>
      <w:r>
        <w:t>2. Support classroom-level collaboration through school leadership practices that protect time for discussion, reflection, and formative feedback.</w:t>
      </w:r>
    </w:p>
    <w:p w14:paraId="32BA4A63" w14:textId="77777777" w:rsidR="006C34F7" w:rsidRDefault="00000000">
      <w:pPr>
        <w:spacing w:after="80"/>
      </w:pPr>
      <w:r>
        <w:t>3. Introduce structured opportunities for student voice in goal-setting, lesson routines, and feedback processes across subjects.</w:t>
      </w:r>
    </w:p>
    <w:p w14:paraId="2FC47E66" w14:textId="77777777" w:rsidR="006C34F7" w:rsidRDefault="00000000">
      <w:pPr>
        <w:spacing w:after="80"/>
      </w:pPr>
      <w:r>
        <w:t>4. Review timetabling and workload expectations to reduce barriers created by limited lesson time and assessment pressures.</w:t>
      </w:r>
    </w:p>
    <w:p w14:paraId="2031DF01" w14:textId="77777777" w:rsidR="006C34F7" w:rsidRDefault="00000000">
      <w:pPr>
        <w:spacing w:after="80"/>
      </w:pPr>
      <w:r>
        <w:t>5. Promote consistent use of rubrics, peer/self-evaluation, and iterative feedback cycles to support competence and engagement.</w:t>
      </w:r>
    </w:p>
    <w:p w14:paraId="3444FBEF" w14:textId="77777777" w:rsidR="006C34F7" w:rsidRDefault="00000000">
      <w:pPr>
        <w:spacing w:before="200" w:after="120"/>
      </w:pPr>
      <w:r>
        <w:rPr>
          <w:b/>
        </w:rPr>
        <w:t>5.5 Contributions to Knowledge</w:t>
      </w:r>
    </w:p>
    <w:p w14:paraId="5581E01B" w14:textId="77777777" w:rsidR="006C34F7" w:rsidRDefault="00000000">
      <w:pPr>
        <w:spacing w:after="80"/>
      </w:pPr>
      <w:r>
        <w:t>1. Provides Seychelles-based mixed-methods evidence on teacher–student collaboration in senior secondary education, addressing a documented local research gap.</w:t>
      </w:r>
    </w:p>
    <w:p w14:paraId="727F554E" w14:textId="77777777" w:rsidR="006C34F7" w:rsidRDefault="00000000">
      <w:pPr>
        <w:spacing w:after="80"/>
      </w:pPr>
      <w:r>
        <w:t>2. Demonstrates a positive association between collaboration and learners’ motivation and engagement in the Anse Royale district context. (Wang et al., 2023).</w:t>
      </w:r>
    </w:p>
    <w:p w14:paraId="19F887F3" w14:textId="77777777" w:rsidR="006C34F7" w:rsidRDefault="00000000">
      <w:pPr>
        <w:spacing w:after="80"/>
      </w:pPr>
      <w:r>
        <w:t>3. Identifies context-specific barriers and enablers (time, resources, class size, and variability in teacher facilitation) affecting collaborative practice.</w:t>
      </w:r>
    </w:p>
    <w:p w14:paraId="6E843D6E" w14:textId="77777777" w:rsidR="006C34F7" w:rsidRDefault="00000000">
      <w:pPr>
        <w:spacing w:after="80"/>
      </w:pPr>
      <w:r>
        <w:t>4. Applies Self-Determination Theory and socio-constructivist perspectives to interpret collaboration mechanisms in a small-island education setting. (Ryan &amp; Deci, 2000).</w:t>
      </w:r>
    </w:p>
    <w:p w14:paraId="6235A217" w14:textId="77777777" w:rsidR="006C34F7" w:rsidRDefault="00000000">
      <w:pPr>
        <w:spacing w:after="80"/>
      </w:pPr>
      <w:r>
        <w:t>5. Generates locally grounded, practical recommendations to strengthen collaborative pedagogy and learner engagement in senior secondary classrooms.</w:t>
      </w:r>
    </w:p>
    <w:sectPr w:rsidR="006C34F7"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444785">
    <w:abstractNumId w:val="8"/>
  </w:num>
  <w:num w:numId="2" w16cid:durableId="1872573876">
    <w:abstractNumId w:val="6"/>
  </w:num>
  <w:num w:numId="3" w16cid:durableId="1911574677">
    <w:abstractNumId w:val="5"/>
  </w:num>
  <w:num w:numId="4" w16cid:durableId="1839150055">
    <w:abstractNumId w:val="4"/>
  </w:num>
  <w:num w:numId="5" w16cid:durableId="1179614908">
    <w:abstractNumId w:val="7"/>
  </w:num>
  <w:num w:numId="6" w16cid:durableId="1606958070">
    <w:abstractNumId w:val="3"/>
  </w:num>
  <w:num w:numId="7" w16cid:durableId="1036854675">
    <w:abstractNumId w:val="2"/>
  </w:num>
  <w:num w:numId="8" w16cid:durableId="148716266">
    <w:abstractNumId w:val="1"/>
  </w:num>
  <w:num w:numId="9" w16cid:durableId="1835872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607"/>
    <w:rsid w:val="00326F90"/>
    <w:rsid w:val="006C34F7"/>
    <w:rsid w:val="00AA1D8D"/>
    <w:rsid w:val="00B47730"/>
    <w:rsid w:val="00CB0664"/>
    <w:rsid w:val="00F116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440E4"/>
  <w14:defaultImageDpi w14:val="300"/>
  <w15:docId w15:val="{0D640BC9-5050-4F9D-9F50-F240009C6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1579</Words>
  <Characters>9001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ESTHER</cp:lastModifiedBy>
  <cp:revision>2</cp:revision>
  <dcterms:created xsi:type="dcterms:W3CDTF">2013-12-23T23:15:00Z</dcterms:created>
  <dcterms:modified xsi:type="dcterms:W3CDTF">2026-01-11T12:29:00Z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fdb5c77b-9ed8-421d-8d21-9ee2f8f801e6</vt:lpwstr>
  </property>
</Properties>
</file>