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23AD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Here are </w:t>
      </w:r>
      <w:r w:rsidRPr="007748AB">
        <w:rPr>
          <w:rFonts w:ascii="Arial" w:hAnsi="Arial" w:cs="Arial"/>
          <w:b/>
          <w:bCs/>
          <w:sz w:val="24"/>
          <w:szCs w:val="24"/>
        </w:rPr>
        <w:t>two clear, academically formulated research gaps</w:t>
      </w:r>
      <w:r w:rsidRPr="007748AB">
        <w:rPr>
          <w:rFonts w:ascii="Arial" w:hAnsi="Arial" w:cs="Arial"/>
          <w:sz w:val="24"/>
          <w:szCs w:val="24"/>
        </w:rPr>
        <w:t xml:space="preserve"> related to the topic </w:t>
      </w:r>
      <w:r w:rsidRPr="007748AB">
        <w:rPr>
          <w:rFonts w:ascii="Arial" w:hAnsi="Arial" w:cs="Arial"/>
          <w:b/>
          <w:bCs/>
          <w:sz w:val="24"/>
          <w:szCs w:val="24"/>
        </w:rPr>
        <w:t>“Integrating Technology into Nursing Education and Practice.”</w:t>
      </w:r>
      <w:r w:rsidRPr="007748AB">
        <w:rPr>
          <w:rFonts w:ascii="Arial" w:hAnsi="Arial" w:cs="Arial"/>
          <w:sz w:val="24"/>
          <w:szCs w:val="24"/>
        </w:rPr>
        <w:br/>
        <w:t>You can use these in a proposal, literature review, or justification section.</w:t>
      </w:r>
    </w:p>
    <w:p w14:paraId="1787DD8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66F32387">
          <v:rect id="_x0000_i1169" style="width:0;height:1.5pt" o:hralign="center" o:hrstd="t" o:hr="t" fillcolor="#a0a0a0" stroked="f"/>
        </w:pict>
      </w:r>
    </w:p>
    <w:p w14:paraId="5249C63A"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Research Gap 1: Limited Evidence on Long-Term Impact of Technology Integration on Clinical Competence</w:t>
      </w:r>
    </w:p>
    <w:p w14:paraId="73467E8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Although existing studies highlight the benefits of simulation tools, e-learning platforms, and digital assessment systems in nursing education, </w:t>
      </w:r>
      <w:r w:rsidRPr="007748AB">
        <w:rPr>
          <w:rFonts w:ascii="Arial" w:hAnsi="Arial" w:cs="Arial"/>
          <w:b/>
          <w:bCs/>
          <w:sz w:val="24"/>
          <w:szCs w:val="24"/>
        </w:rPr>
        <w:t>there is insufficient longitudinal evidence</w:t>
      </w:r>
      <w:r w:rsidRPr="007748AB">
        <w:rPr>
          <w:rFonts w:ascii="Arial" w:hAnsi="Arial" w:cs="Arial"/>
          <w:sz w:val="24"/>
          <w:szCs w:val="24"/>
        </w:rPr>
        <w:t xml:space="preserve"> on how these technologies influence </w:t>
      </w:r>
      <w:r w:rsidRPr="007748AB">
        <w:rPr>
          <w:rFonts w:ascii="Arial" w:hAnsi="Arial" w:cs="Arial"/>
          <w:b/>
          <w:bCs/>
          <w:sz w:val="24"/>
          <w:szCs w:val="24"/>
        </w:rPr>
        <w:t>real-world clinical competence, decision-making, and patient outcomes</w:t>
      </w:r>
      <w:r w:rsidRPr="007748AB">
        <w:rPr>
          <w:rFonts w:ascii="Arial" w:hAnsi="Arial" w:cs="Arial"/>
          <w:sz w:val="24"/>
          <w:szCs w:val="24"/>
        </w:rPr>
        <w:t xml:space="preserve"> over time.</w:t>
      </w:r>
      <w:r w:rsidRPr="007748AB">
        <w:rPr>
          <w:rFonts w:ascii="Arial" w:hAnsi="Arial" w:cs="Arial"/>
          <w:sz w:val="24"/>
          <w:szCs w:val="24"/>
        </w:rPr>
        <w:br/>
        <w:t xml:space="preserve">Most research focuses on short-term improvements in knowledge or skills immediately after training, leaving a gap in understanding whether technological interventions lead to </w:t>
      </w:r>
      <w:r w:rsidRPr="007748AB">
        <w:rPr>
          <w:rFonts w:ascii="Arial" w:hAnsi="Arial" w:cs="Arial"/>
          <w:b/>
          <w:bCs/>
          <w:sz w:val="24"/>
          <w:szCs w:val="24"/>
        </w:rPr>
        <w:t>sustained professional growth, improved clinical reasoning, or better patient care</w:t>
      </w:r>
      <w:r w:rsidRPr="007748AB">
        <w:rPr>
          <w:rFonts w:ascii="Arial" w:hAnsi="Arial" w:cs="Arial"/>
          <w:sz w:val="24"/>
          <w:szCs w:val="24"/>
        </w:rPr>
        <w:t xml:space="preserve"> once students transition into practice.</w:t>
      </w:r>
    </w:p>
    <w:p w14:paraId="7270EA9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8A6E463">
          <v:rect id="_x0000_i1170" style="width:0;height:1.5pt" o:hralign="center" o:hrstd="t" o:hr="t" fillcolor="#a0a0a0" stroked="f"/>
        </w:pict>
      </w:r>
    </w:p>
    <w:p w14:paraId="70E586B0"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Research Gap 2: Uneven Adoption and Digital Preparedness Among Nurses and Nurse Educators</w:t>
      </w:r>
    </w:p>
    <w:p w14:paraId="306CFF4E"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Current literature identifies technological tools such as electronic health records (EHRs), telehealth, mobile health apps, AI-based decision support, and virtual simulation as valuable innovations. However, research has not adequately examined </w:t>
      </w:r>
      <w:r w:rsidRPr="007748AB">
        <w:rPr>
          <w:rFonts w:ascii="Arial" w:hAnsi="Arial" w:cs="Arial"/>
          <w:b/>
          <w:bCs/>
          <w:sz w:val="24"/>
          <w:szCs w:val="24"/>
        </w:rPr>
        <w:t>variations in digital literacy, attitudes, and readiness</w:t>
      </w:r>
      <w:r w:rsidRPr="007748AB">
        <w:rPr>
          <w:rFonts w:ascii="Arial" w:hAnsi="Arial" w:cs="Arial"/>
          <w:sz w:val="24"/>
          <w:szCs w:val="24"/>
        </w:rPr>
        <w:t xml:space="preserve"> among nurses and nurse educators across different contexts—especially in </w:t>
      </w:r>
      <w:r w:rsidRPr="007748AB">
        <w:rPr>
          <w:rFonts w:ascii="Arial" w:hAnsi="Arial" w:cs="Arial"/>
          <w:b/>
          <w:bCs/>
          <w:sz w:val="24"/>
          <w:szCs w:val="24"/>
        </w:rPr>
        <w:t>resource-limited or developing settings</w:t>
      </w:r>
      <w:r w:rsidRPr="007748AB">
        <w:rPr>
          <w:rFonts w:ascii="Arial" w:hAnsi="Arial" w:cs="Arial"/>
          <w:sz w:val="24"/>
          <w:szCs w:val="24"/>
        </w:rPr>
        <w:t>.</w:t>
      </w:r>
      <w:r w:rsidRPr="007748AB">
        <w:rPr>
          <w:rFonts w:ascii="Arial" w:hAnsi="Arial" w:cs="Arial"/>
          <w:sz w:val="24"/>
          <w:szCs w:val="24"/>
        </w:rPr>
        <w:br/>
        <w:t xml:space="preserve">There is a gap concerning how disparities in training, infrastructure, and institutional support affect the </w:t>
      </w:r>
      <w:r w:rsidRPr="007748AB">
        <w:rPr>
          <w:rFonts w:ascii="Arial" w:hAnsi="Arial" w:cs="Arial"/>
          <w:b/>
          <w:bCs/>
          <w:sz w:val="24"/>
          <w:szCs w:val="24"/>
        </w:rPr>
        <w:t>effective and equitable integration</w:t>
      </w:r>
      <w:r w:rsidRPr="007748AB">
        <w:rPr>
          <w:rFonts w:ascii="Arial" w:hAnsi="Arial" w:cs="Arial"/>
          <w:sz w:val="24"/>
          <w:szCs w:val="24"/>
        </w:rPr>
        <w:t xml:space="preserve"> of technology into nursing curricula and clinical workflow.</w:t>
      </w:r>
    </w:p>
    <w:p w14:paraId="608B266E"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5594647C">
          <v:rect id="_x0000_i1171" style="width:0;height:1.5pt" o:hralign="center" o:hrstd="t" o:hr="t" fillcolor="#a0a0a0" stroked="f"/>
        </w:pict>
      </w:r>
    </w:p>
    <w:p w14:paraId="554E34A8"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If you want, I can also develop:</w:t>
      </w:r>
    </w:p>
    <w:p w14:paraId="3447040C" w14:textId="77777777" w:rsidR="007748AB" w:rsidRPr="007748AB" w:rsidRDefault="007748AB" w:rsidP="007748AB">
      <w:pPr>
        <w:spacing w:line="360" w:lineRule="auto"/>
        <w:rPr>
          <w:rFonts w:ascii="Arial" w:hAnsi="Arial" w:cs="Arial"/>
          <w:sz w:val="24"/>
          <w:szCs w:val="24"/>
        </w:rPr>
      </w:pPr>
      <w:r w:rsidRPr="007748AB">
        <w:rPr>
          <w:rFonts w:ascii="Segoe UI Emoji" w:hAnsi="Segoe UI Emoji" w:cs="Segoe UI Emoji"/>
          <w:sz w:val="24"/>
          <w:szCs w:val="24"/>
        </w:rPr>
        <w:lastRenderedPageBreak/>
        <w:t>✅</w:t>
      </w:r>
      <w:r w:rsidRPr="007748AB">
        <w:rPr>
          <w:rFonts w:ascii="Arial" w:hAnsi="Arial" w:cs="Arial"/>
          <w:sz w:val="24"/>
          <w:szCs w:val="24"/>
        </w:rPr>
        <w:t xml:space="preserve"> A </w:t>
      </w:r>
      <w:r w:rsidRPr="007748AB">
        <w:rPr>
          <w:rFonts w:ascii="Arial" w:hAnsi="Arial" w:cs="Arial"/>
          <w:b/>
          <w:bCs/>
          <w:sz w:val="24"/>
          <w:szCs w:val="24"/>
        </w:rPr>
        <w:t>full research problem statement</w:t>
      </w:r>
      <w:r w:rsidRPr="007748AB">
        <w:rPr>
          <w:rFonts w:ascii="Arial" w:hAnsi="Arial" w:cs="Arial"/>
          <w:sz w:val="24"/>
          <w:szCs w:val="24"/>
        </w:rPr>
        <w:br/>
      </w:r>
      <w:r w:rsidRPr="007748AB">
        <w:rPr>
          <w:rFonts w:ascii="Segoe UI Emoji" w:hAnsi="Segoe UI Emoji" w:cs="Segoe UI Emoji"/>
          <w:sz w:val="24"/>
          <w:szCs w:val="24"/>
        </w:rPr>
        <w:t>✅</w:t>
      </w:r>
      <w:r w:rsidRPr="007748AB">
        <w:rPr>
          <w:rFonts w:ascii="Arial" w:hAnsi="Arial" w:cs="Arial"/>
          <w:sz w:val="24"/>
          <w:szCs w:val="24"/>
        </w:rPr>
        <w:t xml:space="preserve"> Additional </w:t>
      </w:r>
      <w:r w:rsidRPr="007748AB">
        <w:rPr>
          <w:rFonts w:ascii="Arial" w:hAnsi="Arial" w:cs="Arial"/>
          <w:b/>
          <w:bCs/>
          <w:sz w:val="24"/>
          <w:szCs w:val="24"/>
        </w:rPr>
        <w:t>research gaps</w:t>
      </w:r>
      <w:r w:rsidRPr="007748AB">
        <w:rPr>
          <w:rFonts w:ascii="Arial" w:hAnsi="Arial" w:cs="Arial"/>
          <w:sz w:val="24"/>
          <w:szCs w:val="24"/>
        </w:rPr>
        <w:t xml:space="preserve"> (4–6)</w:t>
      </w:r>
      <w:r w:rsidRPr="007748AB">
        <w:rPr>
          <w:rFonts w:ascii="Arial" w:hAnsi="Arial" w:cs="Arial"/>
          <w:sz w:val="24"/>
          <w:szCs w:val="24"/>
        </w:rPr>
        <w:br/>
      </w:r>
      <w:r w:rsidRPr="007748AB">
        <w:rPr>
          <w:rFonts w:ascii="Segoe UI Emoji" w:hAnsi="Segoe UI Emoji" w:cs="Segoe UI Emoji"/>
          <w:sz w:val="24"/>
          <w:szCs w:val="24"/>
        </w:rPr>
        <w:t>✅</w:t>
      </w:r>
      <w:r w:rsidRPr="007748AB">
        <w:rPr>
          <w:rFonts w:ascii="Arial" w:hAnsi="Arial" w:cs="Arial"/>
          <w:sz w:val="24"/>
          <w:szCs w:val="24"/>
        </w:rPr>
        <w:t xml:space="preserve"> Research questions, objectives, and significance</w:t>
      </w:r>
      <w:r w:rsidRPr="007748AB">
        <w:rPr>
          <w:rFonts w:ascii="Arial" w:hAnsi="Arial" w:cs="Arial"/>
          <w:sz w:val="24"/>
          <w:szCs w:val="24"/>
        </w:rPr>
        <w:br/>
      </w:r>
      <w:r w:rsidRPr="007748AB">
        <w:rPr>
          <w:rFonts w:ascii="Segoe UI Emoji" w:hAnsi="Segoe UI Emoji" w:cs="Segoe UI Emoji"/>
          <w:sz w:val="24"/>
          <w:szCs w:val="24"/>
        </w:rPr>
        <w:t>✅</w:t>
      </w:r>
      <w:r w:rsidRPr="007748AB">
        <w:rPr>
          <w:rFonts w:ascii="Arial" w:hAnsi="Arial" w:cs="Arial"/>
          <w:sz w:val="24"/>
          <w:szCs w:val="24"/>
        </w:rPr>
        <w:t xml:space="preserve"> A full </w:t>
      </w:r>
      <w:r w:rsidRPr="007748AB">
        <w:rPr>
          <w:rFonts w:ascii="Arial" w:hAnsi="Arial" w:cs="Arial"/>
          <w:b/>
          <w:bCs/>
          <w:sz w:val="24"/>
          <w:szCs w:val="24"/>
        </w:rPr>
        <w:t>literature review section</w:t>
      </w:r>
      <w:r w:rsidRPr="007748AB">
        <w:rPr>
          <w:rFonts w:ascii="Arial" w:hAnsi="Arial" w:cs="Arial"/>
          <w:sz w:val="24"/>
          <w:szCs w:val="24"/>
        </w:rPr>
        <w:t xml:space="preserve"> with citations and DOIs</w:t>
      </w:r>
    </w:p>
    <w:p w14:paraId="2373133B"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Just let me know!</w:t>
      </w:r>
    </w:p>
    <w:p w14:paraId="10B5943B"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You said:</w:t>
      </w:r>
    </w:p>
    <w:p w14:paraId="21044E16" w14:textId="77777777" w:rsidR="007748AB" w:rsidRPr="007748AB" w:rsidRDefault="007748AB" w:rsidP="007748AB">
      <w:pPr>
        <w:spacing w:line="360" w:lineRule="auto"/>
        <w:rPr>
          <w:rFonts w:ascii="Arial" w:hAnsi="Arial" w:cs="Arial"/>
          <w:sz w:val="24"/>
          <w:szCs w:val="24"/>
        </w:rPr>
      </w:pPr>
      <w:proofErr w:type="gramStart"/>
      <w:r w:rsidRPr="007748AB">
        <w:rPr>
          <w:rFonts w:ascii="Arial" w:hAnsi="Arial" w:cs="Arial"/>
          <w:sz w:val="24"/>
          <w:szCs w:val="24"/>
        </w:rPr>
        <w:t>Yes</w:t>
      </w:r>
      <w:proofErr w:type="gramEnd"/>
      <w:r w:rsidRPr="007748AB">
        <w:rPr>
          <w:rFonts w:ascii="Arial" w:hAnsi="Arial" w:cs="Arial"/>
          <w:sz w:val="24"/>
          <w:szCs w:val="24"/>
        </w:rPr>
        <w:t xml:space="preserve"> to all the above</w:t>
      </w:r>
    </w:p>
    <w:p w14:paraId="3D3473BD"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ChatGPT said:</w:t>
      </w:r>
    </w:p>
    <w:p w14:paraId="2048FA05"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Thought for 1m 9s</w:t>
      </w:r>
    </w:p>
    <w:p w14:paraId="2AAC5BE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Nice one, let’s build the whole package around </w:t>
      </w:r>
      <w:r w:rsidRPr="007748AB">
        <w:rPr>
          <w:rFonts w:ascii="Arial" w:hAnsi="Arial" w:cs="Arial"/>
          <w:b/>
          <w:bCs/>
          <w:sz w:val="24"/>
          <w:szCs w:val="24"/>
        </w:rPr>
        <w:t>integrating technology into nursing education and practice</w:t>
      </w:r>
      <w:r w:rsidRPr="007748AB">
        <w:rPr>
          <w:rFonts w:ascii="Arial" w:hAnsi="Arial" w:cs="Arial"/>
          <w:sz w:val="24"/>
          <w:szCs w:val="24"/>
        </w:rPr>
        <w:t>.</w:t>
      </w:r>
    </w:p>
    <w:p w14:paraId="314F38D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38DFBD91">
          <v:rect id="_x0000_i1172" style="width:0;height:1.5pt" o:hralign="center" o:hrstd="t" o:hr="t" fillcolor="#a0a0a0" stroked="f"/>
        </w:pict>
      </w:r>
    </w:p>
    <w:p w14:paraId="47453EBE"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1. Possible Title (you can tweak later)</w:t>
      </w:r>
    </w:p>
    <w:p w14:paraId="4684CB4D"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“Integrating Digital Technologies into Nursing Education and Practice: Implications for Competence, Digital Literacy, and Patient Care”</w:t>
      </w:r>
    </w:p>
    <w:p w14:paraId="6F781F5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7A783951">
          <v:rect id="_x0000_i1173" style="width:0;height:1.5pt" o:hralign="center" o:hrstd="t" o:hr="t" fillcolor="#a0a0a0" stroked="f"/>
        </w:pict>
      </w:r>
    </w:p>
    <w:p w14:paraId="6E581D2E"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2. Problem Statement (≈250–300 words)</w:t>
      </w:r>
    </w:p>
    <w:p w14:paraId="45646B3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Rapid digitalisation in health care has transformed how nurses learn and deliver care, through tools such as learning management systems, high-fidelity and virtual simulations, electronic health records (EHRs), telehealth, and decision-support applications. Recent reviews show that technology-enhanced approaches (e.g., virtual simulation, VR, e-learning) can significantly improve knowledge, psychomotor skills, and learner satisfaction in nursing education. </w:t>
      </w:r>
      <w:hyperlink r:id="rId5" w:tgtFrame="_blank" w:history="1">
        <w:r w:rsidRPr="007748AB">
          <w:rPr>
            <w:rStyle w:val="Hyperlink"/>
            <w:rFonts w:ascii="Arial" w:hAnsi="Arial" w:cs="Arial"/>
            <w:sz w:val="24"/>
            <w:szCs w:val="24"/>
          </w:rPr>
          <w:t>PubMed+2SpringerLink+2</w:t>
        </w:r>
      </w:hyperlink>
      <w:r w:rsidRPr="007748AB">
        <w:rPr>
          <w:rFonts w:ascii="Arial" w:hAnsi="Arial" w:cs="Arial"/>
          <w:sz w:val="24"/>
          <w:szCs w:val="24"/>
        </w:rPr>
        <w:t xml:space="preserve"> However, much of this evidence focuses on short-term educational outcomes in well-resourced settings, with limited examination of longer-term effects on clinical reasoning, safe practice, and patient outcomes once graduates enter the workplace. </w:t>
      </w:r>
      <w:hyperlink r:id="rId6" w:tgtFrame="_blank" w:history="1">
        <w:r w:rsidRPr="007748AB">
          <w:rPr>
            <w:rStyle w:val="Hyperlink"/>
            <w:rFonts w:ascii="Arial" w:hAnsi="Arial" w:cs="Arial"/>
            <w:sz w:val="24"/>
            <w:szCs w:val="24"/>
          </w:rPr>
          <w:t>nursingsimulation.org+1</w:t>
        </w:r>
      </w:hyperlink>
    </w:p>
    <w:p w14:paraId="38720069"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lastRenderedPageBreak/>
        <w:t xml:space="preserve">In clinical practice, digital health technologies (telehealth platforms, electronic documentation, remote monitoring tools) offer opportunities to improve efficiency, access, and quality of care, yet adoption is uneven. Barriers such as inadequate infrastructure, workload pressures, low digital health literacy, and negative attitudes towards technology continue to limit meaningful integration by nurses. </w:t>
      </w:r>
      <w:hyperlink r:id="rId7" w:tgtFrame="_blank" w:history="1">
        <w:r w:rsidRPr="007748AB">
          <w:rPr>
            <w:rStyle w:val="Hyperlink"/>
            <w:rFonts w:ascii="Arial" w:hAnsi="Arial" w:cs="Arial"/>
            <w:sz w:val="24"/>
            <w:szCs w:val="24"/>
          </w:rPr>
          <w:t>PMC+1</w:t>
        </w:r>
      </w:hyperlink>
      <w:r w:rsidRPr="007748AB">
        <w:rPr>
          <w:rFonts w:ascii="Arial" w:hAnsi="Arial" w:cs="Arial"/>
          <w:sz w:val="24"/>
          <w:szCs w:val="24"/>
        </w:rPr>
        <w:t xml:space="preserve"> Evidence also suggests gaps in nurses’ and nurse educators’ digital literacy and in institutional support for technology-enabled teaching and care, particularly in resource-constrained contexts. </w:t>
      </w:r>
      <w:hyperlink r:id="rId8" w:tgtFrame="_blank" w:history="1">
        <w:r w:rsidRPr="007748AB">
          <w:rPr>
            <w:rStyle w:val="Hyperlink"/>
            <w:rFonts w:ascii="Arial" w:hAnsi="Arial" w:cs="Arial"/>
            <w:sz w:val="24"/>
            <w:szCs w:val="24"/>
          </w:rPr>
          <w:t>PMC+1</w:t>
        </w:r>
      </w:hyperlink>
    </w:p>
    <w:p w14:paraId="08869769"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Although frameworks such as the Technology Acceptance Model (TAM) and digital competence models have been applied to e-learning and digital health, there is a lack of holistic, context-specific research that links (a) technology integration in </w:t>
      </w:r>
      <w:r w:rsidRPr="007748AB">
        <w:rPr>
          <w:rFonts w:ascii="Arial" w:hAnsi="Arial" w:cs="Arial"/>
          <w:b/>
          <w:bCs/>
          <w:sz w:val="24"/>
          <w:szCs w:val="24"/>
        </w:rPr>
        <w:t>nursing education</w:t>
      </w:r>
      <w:r w:rsidRPr="007748AB">
        <w:rPr>
          <w:rFonts w:ascii="Arial" w:hAnsi="Arial" w:cs="Arial"/>
          <w:sz w:val="24"/>
          <w:szCs w:val="24"/>
        </w:rPr>
        <w:t xml:space="preserve">, (b) nurses’ </w:t>
      </w:r>
      <w:r w:rsidRPr="007748AB">
        <w:rPr>
          <w:rFonts w:ascii="Arial" w:hAnsi="Arial" w:cs="Arial"/>
          <w:b/>
          <w:bCs/>
          <w:sz w:val="24"/>
          <w:szCs w:val="24"/>
        </w:rPr>
        <w:t>digital literacy and acceptance</w:t>
      </w:r>
      <w:r w:rsidRPr="007748AB">
        <w:rPr>
          <w:rFonts w:ascii="Arial" w:hAnsi="Arial" w:cs="Arial"/>
          <w:sz w:val="24"/>
          <w:szCs w:val="24"/>
        </w:rPr>
        <w:t xml:space="preserve">, and (c) the </w:t>
      </w:r>
      <w:r w:rsidRPr="007748AB">
        <w:rPr>
          <w:rFonts w:ascii="Arial" w:hAnsi="Arial" w:cs="Arial"/>
          <w:b/>
          <w:bCs/>
          <w:sz w:val="24"/>
          <w:szCs w:val="24"/>
        </w:rPr>
        <w:t>perceived impact on clinical competence and patient care</w:t>
      </w:r>
      <w:r w:rsidRPr="007748AB">
        <w:rPr>
          <w:rFonts w:ascii="Arial" w:hAnsi="Arial" w:cs="Arial"/>
          <w:sz w:val="24"/>
          <w:szCs w:val="24"/>
        </w:rPr>
        <w:t xml:space="preserve"> across the education–practice continuum. </w:t>
      </w:r>
      <w:hyperlink r:id="rId9" w:tgtFrame="_blank" w:history="1">
        <w:r w:rsidRPr="007748AB">
          <w:rPr>
            <w:rStyle w:val="Hyperlink"/>
            <w:rFonts w:ascii="Arial" w:hAnsi="Arial" w:cs="Arial"/>
            <w:sz w:val="24"/>
            <w:szCs w:val="24"/>
          </w:rPr>
          <w:t>Frontiers+1</w:t>
        </w:r>
      </w:hyperlink>
      <w:r w:rsidRPr="007748AB">
        <w:rPr>
          <w:rFonts w:ascii="Arial" w:hAnsi="Arial" w:cs="Arial"/>
          <w:sz w:val="24"/>
          <w:szCs w:val="24"/>
        </w:rPr>
        <w:t xml:space="preserve"> This gap constrains curriculum planners, nurse leaders, and policymakers who need robust, locally relevant evidence to design strategies for sustainable and equitable technology integration.</w:t>
      </w:r>
    </w:p>
    <w:p w14:paraId="2E6B53C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Therefore, this study seeks to investigate how digital technologies are being integrated into nursing education and practice, how nurses and nurse educators experience and adopt these tools, and how such integration influences learner outcomes, professional competence, and quality of patient care.</w:t>
      </w:r>
    </w:p>
    <w:p w14:paraId="667937A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713BC9DD">
          <v:rect id="_x0000_i1174" style="width:0;height:1.5pt" o:hralign="center" o:hrstd="t" o:hr="t" fillcolor="#a0a0a0" stroked="f"/>
        </w:pict>
      </w:r>
    </w:p>
    <w:p w14:paraId="5358FD60"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3. Expanded Research Gaps (you can select 3–4 if needed)</w:t>
      </w:r>
    </w:p>
    <w:p w14:paraId="17FD2172" w14:textId="77777777" w:rsidR="007748AB" w:rsidRPr="007748AB" w:rsidRDefault="007748AB" w:rsidP="007748AB">
      <w:pPr>
        <w:numPr>
          <w:ilvl w:val="0"/>
          <w:numId w:val="1"/>
        </w:numPr>
        <w:spacing w:line="360" w:lineRule="auto"/>
        <w:rPr>
          <w:rFonts w:ascii="Arial" w:hAnsi="Arial" w:cs="Arial"/>
          <w:sz w:val="24"/>
          <w:szCs w:val="24"/>
        </w:rPr>
      </w:pPr>
      <w:r w:rsidRPr="007748AB">
        <w:rPr>
          <w:rFonts w:ascii="Arial" w:hAnsi="Arial" w:cs="Arial"/>
          <w:b/>
          <w:bCs/>
          <w:sz w:val="24"/>
          <w:szCs w:val="24"/>
        </w:rPr>
        <w:t>Long-term impact on real-world competence and patient care</w:t>
      </w:r>
    </w:p>
    <w:p w14:paraId="64F8D686" w14:textId="77777777" w:rsidR="007748AB" w:rsidRPr="007748AB" w:rsidRDefault="007748AB" w:rsidP="007748AB">
      <w:pPr>
        <w:numPr>
          <w:ilvl w:val="1"/>
          <w:numId w:val="1"/>
        </w:numPr>
        <w:spacing w:line="360" w:lineRule="auto"/>
        <w:rPr>
          <w:rFonts w:ascii="Arial" w:hAnsi="Arial" w:cs="Arial"/>
          <w:sz w:val="24"/>
          <w:szCs w:val="24"/>
        </w:rPr>
      </w:pPr>
      <w:r w:rsidRPr="007748AB">
        <w:rPr>
          <w:rFonts w:ascii="Arial" w:hAnsi="Arial" w:cs="Arial"/>
          <w:sz w:val="24"/>
          <w:szCs w:val="24"/>
        </w:rPr>
        <w:t xml:space="preserve">Most studies examine short-term gains in knowledge or skills after exposure to simulation, VR, or e-learning; there is limited longitudinal evidence on how technology-enhanced education translates into sustained clinical competence, critical thinking, and patient outcomes in actual practice. </w:t>
      </w:r>
      <w:hyperlink r:id="rId10" w:tgtFrame="_blank" w:history="1">
        <w:r w:rsidRPr="007748AB">
          <w:rPr>
            <w:rStyle w:val="Hyperlink"/>
            <w:rFonts w:ascii="Arial" w:hAnsi="Arial" w:cs="Arial"/>
            <w:sz w:val="24"/>
            <w:szCs w:val="24"/>
          </w:rPr>
          <w:t>nursingsimulation.org+1</w:t>
        </w:r>
      </w:hyperlink>
    </w:p>
    <w:p w14:paraId="394AB0CA" w14:textId="77777777" w:rsidR="007748AB" w:rsidRPr="007748AB" w:rsidRDefault="007748AB" w:rsidP="007748AB">
      <w:pPr>
        <w:numPr>
          <w:ilvl w:val="0"/>
          <w:numId w:val="1"/>
        </w:numPr>
        <w:spacing w:line="360" w:lineRule="auto"/>
        <w:rPr>
          <w:rFonts w:ascii="Arial" w:hAnsi="Arial" w:cs="Arial"/>
          <w:sz w:val="24"/>
          <w:szCs w:val="24"/>
        </w:rPr>
      </w:pPr>
      <w:r w:rsidRPr="007748AB">
        <w:rPr>
          <w:rFonts w:ascii="Arial" w:hAnsi="Arial" w:cs="Arial"/>
          <w:b/>
          <w:bCs/>
          <w:sz w:val="24"/>
          <w:szCs w:val="24"/>
        </w:rPr>
        <w:lastRenderedPageBreak/>
        <w:t>Unequal adoption and digital literacy among nurses and nurse educators</w:t>
      </w:r>
    </w:p>
    <w:p w14:paraId="016D149F" w14:textId="77777777" w:rsidR="007748AB" w:rsidRPr="007748AB" w:rsidRDefault="007748AB" w:rsidP="007748AB">
      <w:pPr>
        <w:numPr>
          <w:ilvl w:val="1"/>
          <w:numId w:val="1"/>
        </w:numPr>
        <w:spacing w:line="360" w:lineRule="auto"/>
        <w:rPr>
          <w:rFonts w:ascii="Arial" w:hAnsi="Arial" w:cs="Arial"/>
          <w:sz w:val="24"/>
          <w:szCs w:val="24"/>
        </w:rPr>
      </w:pPr>
      <w:r w:rsidRPr="007748AB">
        <w:rPr>
          <w:rFonts w:ascii="Arial" w:hAnsi="Arial" w:cs="Arial"/>
          <w:sz w:val="24"/>
          <w:szCs w:val="24"/>
        </w:rPr>
        <w:t xml:space="preserve">Research shows varying levels of digital literacy, confidence, and attitudes across age groups, institutions, and regions, but few studies deeply explore how these disparities shape the </w:t>
      </w:r>
      <w:r w:rsidRPr="007748AB">
        <w:rPr>
          <w:rFonts w:ascii="Arial" w:hAnsi="Arial" w:cs="Arial"/>
          <w:i/>
          <w:iCs/>
          <w:sz w:val="24"/>
          <w:szCs w:val="24"/>
        </w:rPr>
        <w:t>quality</w:t>
      </w:r>
      <w:r w:rsidRPr="007748AB">
        <w:rPr>
          <w:rFonts w:ascii="Arial" w:hAnsi="Arial" w:cs="Arial"/>
          <w:sz w:val="24"/>
          <w:szCs w:val="24"/>
        </w:rPr>
        <w:t xml:space="preserve"> of technology integration, especially in low- and middle-income or resource-limited contexts. </w:t>
      </w:r>
      <w:hyperlink r:id="rId11" w:tgtFrame="_blank" w:history="1">
        <w:r w:rsidRPr="007748AB">
          <w:rPr>
            <w:rStyle w:val="Hyperlink"/>
            <w:rFonts w:ascii="Arial" w:hAnsi="Arial" w:cs="Arial"/>
            <w:sz w:val="24"/>
            <w:szCs w:val="24"/>
          </w:rPr>
          <w:t>PMC+1</w:t>
        </w:r>
      </w:hyperlink>
    </w:p>
    <w:p w14:paraId="50BCC611" w14:textId="77777777" w:rsidR="007748AB" w:rsidRPr="007748AB" w:rsidRDefault="007748AB" w:rsidP="007748AB">
      <w:pPr>
        <w:numPr>
          <w:ilvl w:val="0"/>
          <w:numId w:val="1"/>
        </w:numPr>
        <w:spacing w:line="360" w:lineRule="auto"/>
        <w:rPr>
          <w:rFonts w:ascii="Arial" w:hAnsi="Arial" w:cs="Arial"/>
          <w:sz w:val="24"/>
          <w:szCs w:val="24"/>
        </w:rPr>
      </w:pPr>
      <w:r w:rsidRPr="007748AB">
        <w:rPr>
          <w:rFonts w:ascii="Arial" w:hAnsi="Arial" w:cs="Arial"/>
          <w:b/>
          <w:bCs/>
          <w:sz w:val="24"/>
          <w:szCs w:val="24"/>
        </w:rPr>
        <w:t>Fragmented understanding across the education–practice continuum</w:t>
      </w:r>
    </w:p>
    <w:p w14:paraId="75075DC1" w14:textId="77777777" w:rsidR="007748AB" w:rsidRPr="007748AB" w:rsidRDefault="007748AB" w:rsidP="007748AB">
      <w:pPr>
        <w:numPr>
          <w:ilvl w:val="1"/>
          <w:numId w:val="1"/>
        </w:numPr>
        <w:spacing w:line="360" w:lineRule="auto"/>
        <w:rPr>
          <w:rFonts w:ascii="Arial" w:hAnsi="Arial" w:cs="Arial"/>
          <w:sz w:val="24"/>
          <w:szCs w:val="24"/>
        </w:rPr>
      </w:pPr>
      <w:r w:rsidRPr="007748AB">
        <w:rPr>
          <w:rFonts w:ascii="Arial" w:hAnsi="Arial" w:cs="Arial"/>
          <w:sz w:val="24"/>
          <w:szCs w:val="24"/>
        </w:rPr>
        <w:t>Many studies focus either on pre-registration nursing students or on practising nurses; there is a lack of integrated research that follows nurses from education (classroom, lab, clinical placements) into early practice, to see how educational technologies and clinical technologies interact to support or hinder competence and transition.</w:t>
      </w:r>
    </w:p>
    <w:p w14:paraId="36A4A9C7" w14:textId="77777777" w:rsidR="007748AB" w:rsidRPr="007748AB" w:rsidRDefault="007748AB" w:rsidP="007748AB">
      <w:pPr>
        <w:numPr>
          <w:ilvl w:val="0"/>
          <w:numId w:val="1"/>
        </w:numPr>
        <w:spacing w:line="360" w:lineRule="auto"/>
        <w:rPr>
          <w:rFonts w:ascii="Arial" w:hAnsi="Arial" w:cs="Arial"/>
          <w:sz w:val="24"/>
          <w:szCs w:val="24"/>
        </w:rPr>
      </w:pPr>
      <w:r w:rsidRPr="007748AB">
        <w:rPr>
          <w:rFonts w:ascii="Arial" w:hAnsi="Arial" w:cs="Arial"/>
          <w:b/>
          <w:bCs/>
          <w:sz w:val="24"/>
          <w:szCs w:val="24"/>
        </w:rPr>
        <w:t>Limited theory-driven, context-specific implementation research</w:t>
      </w:r>
    </w:p>
    <w:p w14:paraId="66120A16" w14:textId="77777777" w:rsidR="007748AB" w:rsidRPr="007748AB" w:rsidRDefault="007748AB" w:rsidP="007748AB">
      <w:pPr>
        <w:numPr>
          <w:ilvl w:val="1"/>
          <w:numId w:val="1"/>
        </w:numPr>
        <w:spacing w:line="360" w:lineRule="auto"/>
        <w:rPr>
          <w:rFonts w:ascii="Arial" w:hAnsi="Arial" w:cs="Arial"/>
          <w:sz w:val="24"/>
          <w:szCs w:val="24"/>
        </w:rPr>
      </w:pPr>
      <w:r w:rsidRPr="007748AB">
        <w:rPr>
          <w:rFonts w:ascii="Arial" w:hAnsi="Arial" w:cs="Arial"/>
          <w:sz w:val="24"/>
          <w:szCs w:val="24"/>
        </w:rPr>
        <w:t xml:space="preserve">While TAM and related models have been applied to e-learning adoption, there is still limited use of robust theoretical frameworks to examine technology acceptance and use across both education and practice in nursing, and to account for organisational culture, leadership, and policy. </w:t>
      </w:r>
      <w:hyperlink r:id="rId12" w:tgtFrame="_blank" w:history="1">
        <w:r w:rsidRPr="007748AB">
          <w:rPr>
            <w:rStyle w:val="Hyperlink"/>
            <w:rFonts w:ascii="Arial" w:hAnsi="Arial" w:cs="Arial"/>
            <w:sz w:val="24"/>
            <w:szCs w:val="24"/>
          </w:rPr>
          <w:t>Frontiers+1</w:t>
        </w:r>
      </w:hyperlink>
    </w:p>
    <w:p w14:paraId="5D19E32E" w14:textId="77777777" w:rsidR="007748AB" w:rsidRPr="007748AB" w:rsidRDefault="007748AB" w:rsidP="007748AB">
      <w:pPr>
        <w:numPr>
          <w:ilvl w:val="0"/>
          <w:numId w:val="1"/>
        </w:numPr>
        <w:spacing w:line="360" w:lineRule="auto"/>
        <w:rPr>
          <w:rFonts w:ascii="Arial" w:hAnsi="Arial" w:cs="Arial"/>
          <w:sz w:val="24"/>
          <w:szCs w:val="24"/>
        </w:rPr>
      </w:pPr>
      <w:r w:rsidRPr="007748AB">
        <w:rPr>
          <w:rFonts w:ascii="Arial" w:hAnsi="Arial" w:cs="Arial"/>
          <w:b/>
          <w:bCs/>
          <w:sz w:val="24"/>
          <w:szCs w:val="24"/>
        </w:rPr>
        <w:t>Equity, ethics, and patient safety dimensions underexplored</w:t>
      </w:r>
    </w:p>
    <w:p w14:paraId="452D38D9" w14:textId="77777777" w:rsidR="007748AB" w:rsidRPr="007748AB" w:rsidRDefault="007748AB" w:rsidP="007748AB">
      <w:pPr>
        <w:numPr>
          <w:ilvl w:val="1"/>
          <w:numId w:val="1"/>
        </w:numPr>
        <w:spacing w:line="360" w:lineRule="auto"/>
        <w:rPr>
          <w:rFonts w:ascii="Arial" w:hAnsi="Arial" w:cs="Arial"/>
          <w:sz w:val="24"/>
          <w:szCs w:val="24"/>
        </w:rPr>
      </w:pPr>
      <w:r w:rsidRPr="007748AB">
        <w:rPr>
          <w:rFonts w:ascii="Arial" w:hAnsi="Arial" w:cs="Arial"/>
          <w:sz w:val="24"/>
          <w:szCs w:val="24"/>
        </w:rPr>
        <w:t xml:space="preserve">There is insufficient evidence on how technology integration affects equity of learning opportunities for students, digital divides among nurses, and ethical issues such as privacy, data security, and patient-nurse relationships in highly digitalised environments. </w:t>
      </w:r>
      <w:hyperlink r:id="rId13" w:tgtFrame="_blank" w:history="1">
        <w:r w:rsidRPr="007748AB">
          <w:rPr>
            <w:rStyle w:val="Hyperlink"/>
            <w:rFonts w:ascii="Arial" w:hAnsi="Arial" w:cs="Arial"/>
            <w:sz w:val="24"/>
            <w:szCs w:val="24"/>
          </w:rPr>
          <w:t>PMC+1</w:t>
        </w:r>
      </w:hyperlink>
    </w:p>
    <w:p w14:paraId="72EAAE3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DBC23CA">
          <v:rect id="_x0000_i1175" style="width:0;height:1.5pt" o:hralign="center" o:hrstd="t" o:hr="t" fillcolor="#a0a0a0" stroked="f"/>
        </w:pict>
      </w:r>
    </w:p>
    <w:p w14:paraId="3029E4C5"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4. Example Research Questions</w:t>
      </w:r>
    </w:p>
    <w:p w14:paraId="523A385A"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You can adapt these depending on your exact setting (e.g., a country, region, or specific nursing schools/hospitals):</w:t>
      </w:r>
    </w:p>
    <w:p w14:paraId="1E90A5EC" w14:textId="77777777" w:rsidR="007748AB" w:rsidRPr="007748AB" w:rsidRDefault="007748AB" w:rsidP="007748AB">
      <w:pPr>
        <w:numPr>
          <w:ilvl w:val="0"/>
          <w:numId w:val="2"/>
        </w:numPr>
        <w:spacing w:line="360" w:lineRule="auto"/>
        <w:rPr>
          <w:rFonts w:ascii="Arial" w:hAnsi="Arial" w:cs="Arial"/>
          <w:sz w:val="24"/>
          <w:szCs w:val="24"/>
        </w:rPr>
      </w:pPr>
      <w:r w:rsidRPr="007748AB">
        <w:rPr>
          <w:rFonts w:ascii="Arial" w:hAnsi="Arial" w:cs="Arial"/>
          <w:b/>
          <w:bCs/>
          <w:sz w:val="24"/>
          <w:szCs w:val="24"/>
        </w:rPr>
        <w:lastRenderedPageBreak/>
        <w:t>RQ1:</w:t>
      </w:r>
      <w:r w:rsidRPr="007748AB">
        <w:rPr>
          <w:rFonts w:ascii="Arial" w:hAnsi="Arial" w:cs="Arial"/>
          <w:sz w:val="24"/>
          <w:szCs w:val="24"/>
        </w:rPr>
        <w:t xml:space="preserve"> What types and levels of digital technologies are currently integrated into nursing education and clinical practice in [context]?</w:t>
      </w:r>
    </w:p>
    <w:p w14:paraId="2E39FE51" w14:textId="77777777" w:rsidR="007748AB" w:rsidRPr="007748AB" w:rsidRDefault="007748AB" w:rsidP="007748AB">
      <w:pPr>
        <w:numPr>
          <w:ilvl w:val="0"/>
          <w:numId w:val="2"/>
        </w:numPr>
        <w:spacing w:line="360" w:lineRule="auto"/>
        <w:rPr>
          <w:rFonts w:ascii="Arial" w:hAnsi="Arial" w:cs="Arial"/>
          <w:sz w:val="24"/>
          <w:szCs w:val="24"/>
        </w:rPr>
      </w:pPr>
      <w:r w:rsidRPr="007748AB">
        <w:rPr>
          <w:rFonts w:ascii="Arial" w:hAnsi="Arial" w:cs="Arial"/>
          <w:b/>
          <w:bCs/>
          <w:sz w:val="24"/>
          <w:szCs w:val="24"/>
        </w:rPr>
        <w:t>RQ2:</w:t>
      </w:r>
      <w:r w:rsidRPr="007748AB">
        <w:rPr>
          <w:rFonts w:ascii="Arial" w:hAnsi="Arial" w:cs="Arial"/>
          <w:sz w:val="24"/>
          <w:szCs w:val="24"/>
        </w:rPr>
        <w:t xml:space="preserve"> How do nursing students, nurse educators, and practising nurses perceive the impact of these technologies on learning outcomes, clinical competence, and quality of patient care?</w:t>
      </w:r>
    </w:p>
    <w:p w14:paraId="01DE2A05" w14:textId="77777777" w:rsidR="007748AB" w:rsidRPr="007748AB" w:rsidRDefault="007748AB" w:rsidP="007748AB">
      <w:pPr>
        <w:numPr>
          <w:ilvl w:val="0"/>
          <w:numId w:val="2"/>
        </w:numPr>
        <w:spacing w:line="360" w:lineRule="auto"/>
        <w:rPr>
          <w:rFonts w:ascii="Arial" w:hAnsi="Arial" w:cs="Arial"/>
          <w:sz w:val="24"/>
          <w:szCs w:val="24"/>
        </w:rPr>
      </w:pPr>
      <w:r w:rsidRPr="007748AB">
        <w:rPr>
          <w:rFonts w:ascii="Arial" w:hAnsi="Arial" w:cs="Arial"/>
          <w:b/>
          <w:bCs/>
          <w:sz w:val="24"/>
          <w:szCs w:val="24"/>
        </w:rPr>
        <w:t>RQ3:</w:t>
      </w:r>
      <w:r w:rsidRPr="007748AB">
        <w:rPr>
          <w:rFonts w:ascii="Arial" w:hAnsi="Arial" w:cs="Arial"/>
          <w:sz w:val="24"/>
          <w:szCs w:val="24"/>
        </w:rPr>
        <w:t xml:space="preserve"> What is the relationship between digital literacy, perceived usefulness, organisational support, and the adoption of technology in nursing education and practice?</w:t>
      </w:r>
    </w:p>
    <w:p w14:paraId="42FEA4F5" w14:textId="77777777" w:rsidR="007748AB" w:rsidRPr="007748AB" w:rsidRDefault="007748AB" w:rsidP="007748AB">
      <w:pPr>
        <w:numPr>
          <w:ilvl w:val="0"/>
          <w:numId w:val="2"/>
        </w:numPr>
        <w:spacing w:line="360" w:lineRule="auto"/>
        <w:rPr>
          <w:rFonts w:ascii="Arial" w:hAnsi="Arial" w:cs="Arial"/>
          <w:sz w:val="24"/>
          <w:szCs w:val="24"/>
        </w:rPr>
      </w:pPr>
      <w:r w:rsidRPr="007748AB">
        <w:rPr>
          <w:rFonts w:ascii="Arial" w:hAnsi="Arial" w:cs="Arial"/>
          <w:b/>
          <w:bCs/>
          <w:sz w:val="24"/>
          <w:szCs w:val="24"/>
        </w:rPr>
        <w:t>RQ4:</w:t>
      </w:r>
      <w:r w:rsidRPr="007748AB">
        <w:rPr>
          <w:rFonts w:ascii="Arial" w:hAnsi="Arial" w:cs="Arial"/>
          <w:sz w:val="24"/>
          <w:szCs w:val="24"/>
        </w:rPr>
        <w:t xml:space="preserve"> What contextual barriers and facilitators influence the sustainable and equitable integration of digital technologies into nursing curricula and nursing practice?</w:t>
      </w:r>
    </w:p>
    <w:p w14:paraId="3E0B2C1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55B5C3A3">
          <v:rect id="_x0000_i1176" style="width:0;height:1.5pt" o:hralign="center" o:hrstd="t" o:hr="t" fillcolor="#a0a0a0" stroked="f"/>
        </w:pict>
      </w:r>
    </w:p>
    <w:p w14:paraId="4DA82E99"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5. Example Research Objectives</w:t>
      </w:r>
    </w:p>
    <w:p w14:paraId="48108A29"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Aligned with the above RQs:</w:t>
      </w:r>
    </w:p>
    <w:p w14:paraId="3D9113EC" w14:textId="77777777" w:rsidR="007748AB" w:rsidRPr="007748AB" w:rsidRDefault="007748AB" w:rsidP="007748AB">
      <w:pPr>
        <w:numPr>
          <w:ilvl w:val="0"/>
          <w:numId w:val="3"/>
        </w:numPr>
        <w:spacing w:line="360" w:lineRule="auto"/>
        <w:rPr>
          <w:rFonts w:ascii="Arial" w:hAnsi="Arial" w:cs="Arial"/>
          <w:sz w:val="24"/>
          <w:szCs w:val="24"/>
        </w:rPr>
      </w:pPr>
      <w:r w:rsidRPr="007748AB">
        <w:rPr>
          <w:rFonts w:ascii="Arial" w:hAnsi="Arial" w:cs="Arial"/>
          <w:b/>
          <w:bCs/>
          <w:sz w:val="24"/>
          <w:szCs w:val="24"/>
        </w:rPr>
        <w:t>To map</w:t>
      </w:r>
      <w:r w:rsidRPr="007748AB">
        <w:rPr>
          <w:rFonts w:ascii="Arial" w:hAnsi="Arial" w:cs="Arial"/>
          <w:sz w:val="24"/>
          <w:szCs w:val="24"/>
        </w:rPr>
        <w:t xml:space="preserve"> the types and extent of digital technologies used in nursing education and practice in [context].</w:t>
      </w:r>
    </w:p>
    <w:p w14:paraId="01B61416" w14:textId="77777777" w:rsidR="007748AB" w:rsidRPr="007748AB" w:rsidRDefault="007748AB" w:rsidP="007748AB">
      <w:pPr>
        <w:numPr>
          <w:ilvl w:val="0"/>
          <w:numId w:val="3"/>
        </w:numPr>
        <w:spacing w:line="360" w:lineRule="auto"/>
        <w:rPr>
          <w:rFonts w:ascii="Arial" w:hAnsi="Arial" w:cs="Arial"/>
          <w:sz w:val="24"/>
          <w:szCs w:val="24"/>
        </w:rPr>
      </w:pPr>
      <w:r w:rsidRPr="007748AB">
        <w:rPr>
          <w:rFonts w:ascii="Arial" w:hAnsi="Arial" w:cs="Arial"/>
          <w:b/>
          <w:bCs/>
          <w:sz w:val="24"/>
          <w:szCs w:val="24"/>
        </w:rPr>
        <w:t>To assess</w:t>
      </w:r>
      <w:r w:rsidRPr="007748AB">
        <w:rPr>
          <w:rFonts w:ascii="Arial" w:hAnsi="Arial" w:cs="Arial"/>
          <w:sz w:val="24"/>
          <w:szCs w:val="24"/>
        </w:rPr>
        <w:t xml:space="preserve"> nursing students’, nurse educators’, and practising nurses’ perceptions of how these technologies influence learning, clinical competence, and patient care.</w:t>
      </w:r>
    </w:p>
    <w:p w14:paraId="412D512E" w14:textId="77777777" w:rsidR="007748AB" w:rsidRPr="007748AB" w:rsidRDefault="007748AB" w:rsidP="007748AB">
      <w:pPr>
        <w:numPr>
          <w:ilvl w:val="0"/>
          <w:numId w:val="3"/>
        </w:numPr>
        <w:spacing w:line="360" w:lineRule="auto"/>
        <w:rPr>
          <w:rFonts w:ascii="Arial" w:hAnsi="Arial" w:cs="Arial"/>
          <w:sz w:val="24"/>
          <w:szCs w:val="24"/>
        </w:rPr>
      </w:pPr>
      <w:r w:rsidRPr="007748AB">
        <w:rPr>
          <w:rFonts w:ascii="Arial" w:hAnsi="Arial" w:cs="Arial"/>
          <w:b/>
          <w:bCs/>
          <w:sz w:val="24"/>
          <w:szCs w:val="24"/>
        </w:rPr>
        <w:t>To examine</w:t>
      </w:r>
      <w:r w:rsidRPr="007748AB">
        <w:rPr>
          <w:rFonts w:ascii="Arial" w:hAnsi="Arial" w:cs="Arial"/>
          <w:sz w:val="24"/>
          <w:szCs w:val="24"/>
        </w:rPr>
        <w:t xml:space="preserve"> the association between digital literacy, perceived usefulness, organisational support, and behavioural intention to use technology.</w:t>
      </w:r>
    </w:p>
    <w:p w14:paraId="02902C9B" w14:textId="77777777" w:rsidR="007748AB" w:rsidRPr="007748AB" w:rsidRDefault="007748AB" w:rsidP="007748AB">
      <w:pPr>
        <w:numPr>
          <w:ilvl w:val="0"/>
          <w:numId w:val="3"/>
        </w:numPr>
        <w:spacing w:line="360" w:lineRule="auto"/>
        <w:rPr>
          <w:rFonts w:ascii="Arial" w:hAnsi="Arial" w:cs="Arial"/>
          <w:sz w:val="24"/>
          <w:szCs w:val="24"/>
        </w:rPr>
      </w:pPr>
      <w:r w:rsidRPr="007748AB">
        <w:rPr>
          <w:rFonts w:ascii="Arial" w:hAnsi="Arial" w:cs="Arial"/>
          <w:b/>
          <w:bCs/>
          <w:sz w:val="24"/>
          <w:szCs w:val="24"/>
        </w:rPr>
        <w:t>To identify</w:t>
      </w:r>
      <w:r w:rsidRPr="007748AB">
        <w:rPr>
          <w:rFonts w:ascii="Arial" w:hAnsi="Arial" w:cs="Arial"/>
          <w:sz w:val="24"/>
          <w:szCs w:val="24"/>
        </w:rPr>
        <w:t xml:space="preserve"> key barriers and facilitators to integrating digital technologies across the education–practice continuum.</w:t>
      </w:r>
    </w:p>
    <w:p w14:paraId="700BE716" w14:textId="77777777" w:rsidR="007748AB" w:rsidRPr="007748AB" w:rsidRDefault="007748AB" w:rsidP="007748AB">
      <w:pPr>
        <w:numPr>
          <w:ilvl w:val="0"/>
          <w:numId w:val="3"/>
        </w:numPr>
        <w:spacing w:line="360" w:lineRule="auto"/>
        <w:rPr>
          <w:rFonts w:ascii="Arial" w:hAnsi="Arial" w:cs="Arial"/>
          <w:sz w:val="24"/>
          <w:szCs w:val="24"/>
        </w:rPr>
      </w:pPr>
      <w:r w:rsidRPr="007748AB">
        <w:rPr>
          <w:rFonts w:ascii="Arial" w:hAnsi="Arial" w:cs="Arial"/>
          <w:b/>
          <w:bCs/>
          <w:sz w:val="24"/>
          <w:szCs w:val="24"/>
        </w:rPr>
        <w:t>To propose</w:t>
      </w:r>
      <w:r w:rsidRPr="007748AB">
        <w:rPr>
          <w:rFonts w:ascii="Arial" w:hAnsi="Arial" w:cs="Arial"/>
          <w:sz w:val="24"/>
          <w:szCs w:val="24"/>
        </w:rPr>
        <w:t xml:space="preserve"> evidence-based recommendations for curriculum development, professional development, and institutional policies that support effective technology integration.</w:t>
      </w:r>
    </w:p>
    <w:p w14:paraId="13AD1A5A"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391F3A74">
          <v:rect id="_x0000_i1177" style="width:0;height:1.5pt" o:hralign="center" o:hrstd="t" o:hr="t" fillcolor="#a0a0a0" stroked="f"/>
        </w:pict>
      </w:r>
    </w:p>
    <w:p w14:paraId="72D8B3B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lastRenderedPageBreak/>
        <w:t>6. Significance of the Study</w:t>
      </w:r>
    </w:p>
    <w:p w14:paraId="7E72E56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6.1. Significance for Nursing Education</w:t>
      </w:r>
    </w:p>
    <w:p w14:paraId="18D727D7" w14:textId="77777777" w:rsidR="007748AB" w:rsidRPr="007748AB" w:rsidRDefault="007748AB" w:rsidP="007748AB">
      <w:pPr>
        <w:numPr>
          <w:ilvl w:val="0"/>
          <w:numId w:val="4"/>
        </w:numPr>
        <w:spacing w:line="360" w:lineRule="auto"/>
        <w:rPr>
          <w:rFonts w:ascii="Arial" w:hAnsi="Arial" w:cs="Arial"/>
          <w:sz w:val="24"/>
          <w:szCs w:val="24"/>
        </w:rPr>
      </w:pPr>
      <w:r w:rsidRPr="007748AB">
        <w:rPr>
          <w:rFonts w:ascii="Arial" w:hAnsi="Arial" w:cs="Arial"/>
          <w:sz w:val="24"/>
          <w:szCs w:val="24"/>
        </w:rPr>
        <w:t xml:space="preserve">Provides empirical evidence to guide </w:t>
      </w:r>
      <w:r w:rsidRPr="007748AB">
        <w:rPr>
          <w:rFonts w:ascii="Arial" w:hAnsi="Arial" w:cs="Arial"/>
          <w:b/>
          <w:bCs/>
          <w:sz w:val="24"/>
          <w:szCs w:val="24"/>
        </w:rPr>
        <w:t>curriculum reform</w:t>
      </w:r>
      <w:r w:rsidRPr="007748AB">
        <w:rPr>
          <w:rFonts w:ascii="Arial" w:hAnsi="Arial" w:cs="Arial"/>
          <w:sz w:val="24"/>
          <w:szCs w:val="24"/>
        </w:rPr>
        <w:t xml:space="preserve"> (e.g., structured integration of virtual simulation, e-learning, VR or metaverse tools, and informatics content). </w:t>
      </w:r>
      <w:hyperlink r:id="rId14" w:tgtFrame="_blank" w:history="1">
        <w:r w:rsidRPr="007748AB">
          <w:rPr>
            <w:rStyle w:val="Hyperlink"/>
            <w:rFonts w:ascii="Arial" w:hAnsi="Arial" w:cs="Arial"/>
            <w:sz w:val="24"/>
            <w:szCs w:val="24"/>
          </w:rPr>
          <w:t>curationis.org.za+1</w:t>
        </w:r>
      </w:hyperlink>
    </w:p>
    <w:p w14:paraId="112015FC" w14:textId="77777777" w:rsidR="007748AB" w:rsidRPr="007748AB" w:rsidRDefault="007748AB" w:rsidP="007748AB">
      <w:pPr>
        <w:numPr>
          <w:ilvl w:val="0"/>
          <w:numId w:val="4"/>
        </w:numPr>
        <w:spacing w:line="360" w:lineRule="auto"/>
        <w:rPr>
          <w:rFonts w:ascii="Arial" w:hAnsi="Arial" w:cs="Arial"/>
          <w:sz w:val="24"/>
          <w:szCs w:val="24"/>
        </w:rPr>
      </w:pPr>
      <w:r w:rsidRPr="007748AB">
        <w:rPr>
          <w:rFonts w:ascii="Arial" w:hAnsi="Arial" w:cs="Arial"/>
          <w:sz w:val="24"/>
          <w:szCs w:val="24"/>
        </w:rPr>
        <w:t xml:space="preserve">Helps schools of nursing design targeted </w:t>
      </w:r>
      <w:r w:rsidRPr="007748AB">
        <w:rPr>
          <w:rFonts w:ascii="Arial" w:hAnsi="Arial" w:cs="Arial"/>
          <w:b/>
          <w:bCs/>
          <w:sz w:val="24"/>
          <w:szCs w:val="24"/>
        </w:rPr>
        <w:t>digital literacy and pedagogy training</w:t>
      </w:r>
      <w:r w:rsidRPr="007748AB">
        <w:rPr>
          <w:rFonts w:ascii="Arial" w:hAnsi="Arial" w:cs="Arial"/>
          <w:sz w:val="24"/>
          <w:szCs w:val="24"/>
        </w:rPr>
        <w:t xml:space="preserve"> for educators and students.</w:t>
      </w:r>
    </w:p>
    <w:p w14:paraId="16F824D7"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6.2. Significance for Clinical Practice</w:t>
      </w:r>
    </w:p>
    <w:p w14:paraId="48A9F9BD" w14:textId="77777777" w:rsidR="007748AB" w:rsidRPr="007748AB" w:rsidRDefault="007748AB" w:rsidP="007748AB">
      <w:pPr>
        <w:numPr>
          <w:ilvl w:val="0"/>
          <w:numId w:val="5"/>
        </w:numPr>
        <w:spacing w:line="360" w:lineRule="auto"/>
        <w:rPr>
          <w:rFonts w:ascii="Arial" w:hAnsi="Arial" w:cs="Arial"/>
          <w:sz w:val="24"/>
          <w:szCs w:val="24"/>
        </w:rPr>
      </w:pPr>
      <w:r w:rsidRPr="007748AB">
        <w:rPr>
          <w:rFonts w:ascii="Arial" w:hAnsi="Arial" w:cs="Arial"/>
          <w:sz w:val="24"/>
          <w:szCs w:val="24"/>
        </w:rPr>
        <w:t xml:space="preserve">Clarifies how educational and clinical technologies (EHRs, telehealth, remote monitoring) support or hinder nurses’ </w:t>
      </w:r>
      <w:r w:rsidRPr="007748AB">
        <w:rPr>
          <w:rFonts w:ascii="Arial" w:hAnsi="Arial" w:cs="Arial"/>
          <w:b/>
          <w:bCs/>
          <w:sz w:val="24"/>
          <w:szCs w:val="24"/>
        </w:rPr>
        <w:t>clinical reasoning, efficiency, documentation, and patient safety</w:t>
      </w:r>
      <w:r w:rsidRPr="007748AB">
        <w:rPr>
          <w:rFonts w:ascii="Arial" w:hAnsi="Arial" w:cs="Arial"/>
          <w:sz w:val="24"/>
          <w:szCs w:val="24"/>
        </w:rPr>
        <w:t xml:space="preserve">. </w:t>
      </w:r>
      <w:hyperlink r:id="rId15" w:tgtFrame="_blank" w:history="1">
        <w:r w:rsidRPr="007748AB">
          <w:rPr>
            <w:rStyle w:val="Hyperlink"/>
            <w:rFonts w:ascii="Arial" w:hAnsi="Arial" w:cs="Arial"/>
            <w:sz w:val="24"/>
            <w:szCs w:val="24"/>
          </w:rPr>
          <w:t>PMC+1</w:t>
        </w:r>
      </w:hyperlink>
    </w:p>
    <w:p w14:paraId="3BDE92E4" w14:textId="77777777" w:rsidR="007748AB" w:rsidRPr="007748AB" w:rsidRDefault="007748AB" w:rsidP="007748AB">
      <w:pPr>
        <w:numPr>
          <w:ilvl w:val="0"/>
          <w:numId w:val="5"/>
        </w:numPr>
        <w:spacing w:line="360" w:lineRule="auto"/>
        <w:rPr>
          <w:rFonts w:ascii="Arial" w:hAnsi="Arial" w:cs="Arial"/>
          <w:sz w:val="24"/>
          <w:szCs w:val="24"/>
        </w:rPr>
      </w:pPr>
      <w:r w:rsidRPr="007748AB">
        <w:rPr>
          <w:rFonts w:ascii="Arial" w:hAnsi="Arial" w:cs="Arial"/>
          <w:sz w:val="24"/>
          <w:szCs w:val="24"/>
        </w:rPr>
        <w:t>Informs workforce development plans and continuing professional development (CPD) focused on digital competencies.</w:t>
      </w:r>
    </w:p>
    <w:p w14:paraId="64B5F663"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6.3. Significance for Policy and Leadership</w:t>
      </w:r>
    </w:p>
    <w:p w14:paraId="33BA31B2" w14:textId="77777777" w:rsidR="007748AB" w:rsidRPr="007748AB" w:rsidRDefault="007748AB" w:rsidP="007748AB">
      <w:pPr>
        <w:numPr>
          <w:ilvl w:val="0"/>
          <w:numId w:val="6"/>
        </w:numPr>
        <w:spacing w:line="360" w:lineRule="auto"/>
        <w:rPr>
          <w:rFonts w:ascii="Arial" w:hAnsi="Arial" w:cs="Arial"/>
          <w:sz w:val="24"/>
          <w:szCs w:val="24"/>
        </w:rPr>
      </w:pPr>
      <w:r w:rsidRPr="007748AB">
        <w:rPr>
          <w:rFonts w:ascii="Arial" w:hAnsi="Arial" w:cs="Arial"/>
          <w:sz w:val="24"/>
          <w:szCs w:val="24"/>
        </w:rPr>
        <w:t xml:space="preserve">Generates context-specific evidence to guide </w:t>
      </w:r>
      <w:r w:rsidRPr="007748AB">
        <w:rPr>
          <w:rFonts w:ascii="Arial" w:hAnsi="Arial" w:cs="Arial"/>
          <w:b/>
          <w:bCs/>
          <w:sz w:val="24"/>
          <w:szCs w:val="24"/>
        </w:rPr>
        <w:t>institutional and national policies</w:t>
      </w:r>
      <w:r w:rsidRPr="007748AB">
        <w:rPr>
          <w:rFonts w:ascii="Arial" w:hAnsi="Arial" w:cs="Arial"/>
          <w:sz w:val="24"/>
          <w:szCs w:val="24"/>
        </w:rPr>
        <w:t xml:space="preserve"> on investment in simulation labs, telehealth, infrastructure, and digital health governance. </w:t>
      </w:r>
      <w:hyperlink r:id="rId16" w:tgtFrame="_blank" w:history="1">
        <w:r w:rsidRPr="007748AB">
          <w:rPr>
            <w:rStyle w:val="Hyperlink"/>
            <w:rFonts w:ascii="Arial" w:hAnsi="Arial" w:cs="Arial"/>
            <w:sz w:val="24"/>
            <w:szCs w:val="24"/>
          </w:rPr>
          <w:t>ICN - International Council of Nurses</w:t>
        </w:r>
      </w:hyperlink>
    </w:p>
    <w:p w14:paraId="09114B90" w14:textId="77777777" w:rsidR="007748AB" w:rsidRPr="007748AB" w:rsidRDefault="007748AB" w:rsidP="007748AB">
      <w:pPr>
        <w:numPr>
          <w:ilvl w:val="0"/>
          <w:numId w:val="6"/>
        </w:numPr>
        <w:spacing w:line="360" w:lineRule="auto"/>
        <w:rPr>
          <w:rFonts w:ascii="Arial" w:hAnsi="Arial" w:cs="Arial"/>
          <w:sz w:val="24"/>
          <w:szCs w:val="24"/>
        </w:rPr>
      </w:pPr>
      <w:r w:rsidRPr="007748AB">
        <w:rPr>
          <w:rFonts w:ascii="Arial" w:hAnsi="Arial" w:cs="Arial"/>
          <w:sz w:val="24"/>
          <w:szCs w:val="24"/>
        </w:rPr>
        <w:t>Supports alignment with international recommendations on digital health and nursing education.</w:t>
      </w:r>
    </w:p>
    <w:p w14:paraId="778C9B3E"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6.4. Significance for Research</w:t>
      </w:r>
    </w:p>
    <w:p w14:paraId="682C81BF" w14:textId="77777777" w:rsidR="007748AB" w:rsidRPr="007748AB" w:rsidRDefault="007748AB" w:rsidP="007748AB">
      <w:pPr>
        <w:numPr>
          <w:ilvl w:val="0"/>
          <w:numId w:val="7"/>
        </w:numPr>
        <w:spacing w:line="360" w:lineRule="auto"/>
        <w:rPr>
          <w:rFonts w:ascii="Arial" w:hAnsi="Arial" w:cs="Arial"/>
          <w:sz w:val="24"/>
          <w:szCs w:val="24"/>
        </w:rPr>
      </w:pPr>
      <w:r w:rsidRPr="007748AB">
        <w:rPr>
          <w:rFonts w:ascii="Arial" w:hAnsi="Arial" w:cs="Arial"/>
          <w:sz w:val="24"/>
          <w:szCs w:val="24"/>
        </w:rPr>
        <w:t xml:space="preserve">Addresses theoretical and methodological gaps by applying models such as </w:t>
      </w:r>
      <w:r w:rsidRPr="007748AB">
        <w:rPr>
          <w:rFonts w:ascii="Arial" w:hAnsi="Arial" w:cs="Arial"/>
          <w:b/>
          <w:bCs/>
          <w:sz w:val="24"/>
          <w:szCs w:val="24"/>
        </w:rPr>
        <w:t>TAM/UTAUT and digital competence frameworks</w:t>
      </w:r>
      <w:r w:rsidRPr="007748AB">
        <w:rPr>
          <w:rFonts w:ascii="Arial" w:hAnsi="Arial" w:cs="Arial"/>
          <w:sz w:val="24"/>
          <w:szCs w:val="24"/>
        </w:rPr>
        <w:t xml:space="preserve"> to integrated education–practice contexts. </w:t>
      </w:r>
      <w:hyperlink r:id="rId17" w:tgtFrame="_blank" w:history="1">
        <w:r w:rsidRPr="007748AB">
          <w:rPr>
            <w:rStyle w:val="Hyperlink"/>
            <w:rFonts w:ascii="Arial" w:hAnsi="Arial" w:cs="Arial"/>
            <w:sz w:val="24"/>
            <w:szCs w:val="24"/>
          </w:rPr>
          <w:t>Frontiers+1</w:t>
        </w:r>
      </w:hyperlink>
    </w:p>
    <w:p w14:paraId="0E7A6FB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7E123FBD">
          <v:rect id="_x0000_i1178" style="width:0;height:1.5pt" o:hralign="center" o:hrstd="t" o:hr="t" fillcolor="#a0a0a0" stroked="f"/>
        </w:pict>
      </w:r>
    </w:p>
    <w:p w14:paraId="0A1C14C6"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7. Brief Literature Review (structured, with citations &amp; DOIs)</w:t>
      </w:r>
    </w:p>
    <w:p w14:paraId="7255B53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7.1. Technology in Nursing Education</w:t>
      </w:r>
    </w:p>
    <w:p w14:paraId="5D16BFA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lastRenderedPageBreak/>
        <w:t xml:space="preserve">Integrative and systematic reviews show growing use of technology for teaching and learning in nursing, including learning management systems, virtual simulations, and online resources. Gause et al. (2022) found that technology in nursing education supports flexible access, active learning, and enhanced engagement, but its use is often unsystematic and highly dependent on institutional support and educator competence. </w:t>
      </w:r>
      <w:hyperlink r:id="rId18" w:tgtFrame="_blank" w:history="1">
        <w:r w:rsidRPr="007748AB">
          <w:rPr>
            <w:rStyle w:val="Hyperlink"/>
            <w:rFonts w:ascii="Arial" w:hAnsi="Arial" w:cs="Arial"/>
            <w:sz w:val="24"/>
            <w:szCs w:val="24"/>
          </w:rPr>
          <w:t>curationis.org.za</w:t>
        </w:r>
      </w:hyperlink>
    </w:p>
    <w:p w14:paraId="4CC41382"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Virtual simulation and VR are among the most researched modalities. Foronda et al. (2020) conducted a systematic review spanning 1996–2018 and concluded that virtual simulation is an effective pedagogy that improves knowledge, skills, and affective outcomes in nursing students, while calling for more robust designs and clearer integration into curricula (DOI: </w:t>
      </w:r>
      <w:r w:rsidRPr="007748AB">
        <w:rPr>
          <w:rFonts w:ascii="Arial" w:hAnsi="Arial" w:cs="Arial"/>
          <w:b/>
          <w:bCs/>
          <w:sz w:val="24"/>
          <w:szCs w:val="24"/>
        </w:rPr>
        <w:t>10.1097/SIH.0000000000000411</w:t>
      </w:r>
      <w:r w:rsidRPr="007748AB">
        <w:rPr>
          <w:rFonts w:ascii="Arial" w:hAnsi="Arial" w:cs="Arial"/>
          <w:sz w:val="24"/>
          <w:szCs w:val="24"/>
        </w:rPr>
        <w:t xml:space="preserve">). </w:t>
      </w:r>
      <w:hyperlink r:id="rId19" w:tgtFrame="_blank" w:history="1">
        <w:r w:rsidRPr="007748AB">
          <w:rPr>
            <w:rStyle w:val="Hyperlink"/>
            <w:rFonts w:ascii="Arial" w:hAnsi="Arial" w:cs="Arial"/>
            <w:sz w:val="24"/>
            <w:szCs w:val="24"/>
          </w:rPr>
          <w:t>PubMed</w:t>
        </w:r>
      </w:hyperlink>
      <w:r w:rsidRPr="007748AB">
        <w:rPr>
          <w:rFonts w:ascii="Arial" w:hAnsi="Arial" w:cs="Arial"/>
          <w:sz w:val="24"/>
          <w:szCs w:val="24"/>
        </w:rPr>
        <w:t xml:space="preserve"> Liu et al. (2023) showed in a meta-analysis that VR-based instruction significantly enhances theoretical knowledge, psychomotor skills, and learner satisfaction compared with traditional methods, although gains in critical thinking were less clear (BMC Medical Education, 23:710, DOI: </w:t>
      </w:r>
      <w:r w:rsidRPr="007748AB">
        <w:rPr>
          <w:rFonts w:ascii="Arial" w:hAnsi="Arial" w:cs="Arial"/>
          <w:b/>
          <w:bCs/>
          <w:sz w:val="24"/>
          <w:szCs w:val="24"/>
        </w:rPr>
        <w:t>10.1186/s12909-023-04662-x</w:t>
      </w:r>
      <w:r w:rsidRPr="007748AB">
        <w:rPr>
          <w:rFonts w:ascii="Arial" w:hAnsi="Arial" w:cs="Arial"/>
          <w:sz w:val="24"/>
          <w:szCs w:val="24"/>
        </w:rPr>
        <w:t xml:space="preserve">). </w:t>
      </w:r>
      <w:hyperlink r:id="rId20" w:tgtFrame="_blank" w:history="1">
        <w:r w:rsidRPr="007748AB">
          <w:rPr>
            <w:rStyle w:val="Hyperlink"/>
            <w:rFonts w:ascii="Arial" w:hAnsi="Arial" w:cs="Arial"/>
            <w:sz w:val="24"/>
            <w:szCs w:val="24"/>
          </w:rPr>
          <w:t>SpringerLink</w:t>
        </w:r>
      </w:hyperlink>
      <w:r w:rsidRPr="007748AB">
        <w:rPr>
          <w:rFonts w:ascii="Arial" w:hAnsi="Arial" w:cs="Arial"/>
          <w:sz w:val="24"/>
          <w:szCs w:val="24"/>
        </w:rPr>
        <w:t xml:space="preserve"> Sim et al. (2022) similarly reported that virtual simulation can promote clinical reasoning among nursing students and nurses, but highlighted variability in design quality and outcome measures. </w:t>
      </w:r>
      <w:hyperlink r:id="rId21" w:tgtFrame="_blank" w:history="1">
        <w:r w:rsidRPr="007748AB">
          <w:rPr>
            <w:rStyle w:val="Hyperlink"/>
            <w:rFonts w:ascii="Arial" w:hAnsi="Arial" w:cs="Arial"/>
            <w:sz w:val="24"/>
            <w:szCs w:val="24"/>
          </w:rPr>
          <w:t>nursingsimulation.org</w:t>
        </w:r>
      </w:hyperlink>
    </w:p>
    <w:p w14:paraId="192D3CE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More recent work emphasises </w:t>
      </w:r>
      <w:r w:rsidRPr="007748AB">
        <w:rPr>
          <w:rFonts w:ascii="Arial" w:hAnsi="Arial" w:cs="Arial"/>
          <w:b/>
          <w:bCs/>
          <w:sz w:val="24"/>
          <w:szCs w:val="24"/>
        </w:rPr>
        <w:t>high-technology simulation laboratories</w:t>
      </w:r>
      <w:r w:rsidRPr="007748AB">
        <w:rPr>
          <w:rFonts w:ascii="Arial" w:hAnsi="Arial" w:cs="Arial"/>
          <w:sz w:val="24"/>
          <w:szCs w:val="24"/>
        </w:rPr>
        <w:t xml:space="preserve"> and technology-based approaches to enhance clinical learning opportunities in real-world contexts. </w:t>
      </w:r>
      <w:proofErr w:type="spellStart"/>
      <w:r w:rsidRPr="007748AB">
        <w:rPr>
          <w:rFonts w:ascii="Arial" w:hAnsi="Arial" w:cs="Arial"/>
          <w:sz w:val="24"/>
          <w:szCs w:val="24"/>
        </w:rPr>
        <w:t>Motsaanaka</w:t>
      </w:r>
      <w:proofErr w:type="spellEnd"/>
      <w:r w:rsidRPr="007748AB">
        <w:rPr>
          <w:rFonts w:ascii="Arial" w:hAnsi="Arial" w:cs="Arial"/>
          <w:sz w:val="24"/>
          <w:szCs w:val="24"/>
        </w:rPr>
        <w:t xml:space="preserve"> et al. (2024) described how nurse educators and clinical facilitators view simulation and technology as critical for bridging theory–practice gaps, but also pointed to cost and infrastructure challenges (Int. J. Africa Nursing Sciences, DOI: </w:t>
      </w:r>
      <w:r w:rsidRPr="007748AB">
        <w:rPr>
          <w:rFonts w:ascii="Arial" w:hAnsi="Arial" w:cs="Arial"/>
          <w:b/>
          <w:bCs/>
          <w:sz w:val="24"/>
          <w:szCs w:val="24"/>
        </w:rPr>
        <w:t>10.1016/j.ijans.2024.100790</w:t>
      </w:r>
      <w:r w:rsidRPr="007748AB">
        <w:rPr>
          <w:rFonts w:ascii="Arial" w:hAnsi="Arial" w:cs="Arial"/>
          <w:sz w:val="24"/>
          <w:szCs w:val="24"/>
        </w:rPr>
        <w:t xml:space="preserve">). </w:t>
      </w:r>
      <w:hyperlink r:id="rId22" w:tgtFrame="_blank" w:history="1">
        <w:r w:rsidRPr="007748AB">
          <w:rPr>
            <w:rStyle w:val="Hyperlink"/>
            <w:rFonts w:ascii="Arial" w:hAnsi="Arial" w:cs="Arial"/>
            <w:sz w:val="24"/>
            <w:szCs w:val="24"/>
          </w:rPr>
          <w:t>ResearchGate</w:t>
        </w:r>
      </w:hyperlink>
    </w:p>
    <w:p w14:paraId="7785C86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7.2. Technology, Digital Literacy, and e-Learning Adoption</w:t>
      </w:r>
    </w:p>
    <w:p w14:paraId="6266D00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Digital literacy is increasingly recognised as central to successful technology adoption in nursing. Studies show that higher levels of digital literacy among nursing students and nurses are associated with better use of electronic documentation, communication, and evidence retrieval. </w:t>
      </w:r>
      <w:hyperlink r:id="rId23" w:tgtFrame="_blank" w:history="1">
        <w:r w:rsidRPr="007748AB">
          <w:rPr>
            <w:rStyle w:val="Hyperlink"/>
            <w:rFonts w:ascii="Arial" w:hAnsi="Arial" w:cs="Arial"/>
            <w:sz w:val="24"/>
            <w:szCs w:val="24"/>
          </w:rPr>
          <w:t>DergiPark+1</w:t>
        </w:r>
      </w:hyperlink>
      <w:r w:rsidRPr="007748AB">
        <w:rPr>
          <w:rFonts w:ascii="Arial" w:hAnsi="Arial" w:cs="Arial"/>
          <w:sz w:val="24"/>
          <w:szCs w:val="24"/>
        </w:rPr>
        <w:t xml:space="preserve"> Amin et al. (2025) found that digital literacy and positive metaverse perspectives significantly predicted academic motivation among </w:t>
      </w:r>
      <w:r w:rsidRPr="007748AB">
        <w:rPr>
          <w:rFonts w:ascii="Arial" w:hAnsi="Arial" w:cs="Arial"/>
          <w:sz w:val="24"/>
          <w:szCs w:val="24"/>
        </w:rPr>
        <w:lastRenderedPageBreak/>
        <w:t xml:space="preserve">undergraduate nursing students, suggesting that immersive and technology-rich environments can enhance engagement when digital skills are present (BMC Nursing, 24:1113, DOI: </w:t>
      </w:r>
      <w:r w:rsidRPr="007748AB">
        <w:rPr>
          <w:rFonts w:ascii="Arial" w:hAnsi="Arial" w:cs="Arial"/>
          <w:b/>
          <w:bCs/>
          <w:sz w:val="24"/>
          <w:szCs w:val="24"/>
        </w:rPr>
        <w:t>10.1186/s12912-025-03681-x</w:t>
      </w:r>
      <w:r w:rsidRPr="007748AB">
        <w:rPr>
          <w:rFonts w:ascii="Arial" w:hAnsi="Arial" w:cs="Arial"/>
          <w:sz w:val="24"/>
          <w:szCs w:val="24"/>
        </w:rPr>
        <w:t xml:space="preserve">). </w:t>
      </w:r>
      <w:hyperlink r:id="rId24" w:tgtFrame="_blank" w:history="1">
        <w:r w:rsidRPr="007748AB">
          <w:rPr>
            <w:rStyle w:val="Hyperlink"/>
            <w:rFonts w:ascii="Arial" w:hAnsi="Arial" w:cs="Arial"/>
            <w:sz w:val="24"/>
            <w:szCs w:val="24"/>
          </w:rPr>
          <w:t>PubMed</w:t>
        </w:r>
      </w:hyperlink>
    </w:p>
    <w:p w14:paraId="1D47222A"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Using the Technology Acceptance Model (TAM), Alshammari et al. (2025) reported that perceived usefulness and performance expectancy were key predictors of e-learning adoption in nursing education, with digital and information literacy playing important supportive roles (Frontiers in Education, 10:1632298, DOI: </w:t>
      </w:r>
      <w:r w:rsidRPr="007748AB">
        <w:rPr>
          <w:rFonts w:ascii="Arial" w:hAnsi="Arial" w:cs="Arial"/>
          <w:b/>
          <w:bCs/>
          <w:sz w:val="24"/>
          <w:szCs w:val="24"/>
        </w:rPr>
        <w:t>10.3389/feduc.2025.1632298</w:t>
      </w:r>
      <w:r w:rsidRPr="007748AB">
        <w:rPr>
          <w:rFonts w:ascii="Arial" w:hAnsi="Arial" w:cs="Arial"/>
          <w:sz w:val="24"/>
          <w:szCs w:val="24"/>
        </w:rPr>
        <w:t xml:space="preserve">). </w:t>
      </w:r>
      <w:hyperlink r:id="rId25" w:tgtFrame="_blank" w:history="1">
        <w:r w:rsidRPr="007748AB">
          <w:rPr>
            <w:rStyle w:val="Hyperlink"/>
            <w:rFonts w:ascii="Arial" w:hAnsi="Arial" w:cs="Arial"/>
            <w:sz w:val="24"/>
            <w:szCs w:val="24"/>
          </w:rPr>
          <w:t>Frontiers</w:t>
        </w:r>
      </w:hyperlink>
      <w:r w:rsidRPr="007748AB">
        <w:rPr>
          <w:rFonts w:ascii="Arial" w:hAnsi="Arial" w:cs="Arial"/>
          <w:sz w:val="24"/>
          <w:szCs w:val="24"/>
        </w:rPr>
        <w:t xml:space="preserve"> These findings reinforce the need for theoretical, model-based approaches to understand technology integration in nursing education.</w:t>
      </w:r>
    </w:p>
    <w:p w14:paraId="4CF670A3"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7.3. Technology Integration in Nursing Practice</w:t>
      </w:r>
    </w:p>
    <w:p w14:paraId="254BECB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In practice settings, digital health technologies—such as telehealth, remote monitoring, EHRs, and clinical decision-support systems—have been linked to enhanced access and quality of care but also substantial implementation challenges. A large review by Borges do Nascimento et al. (2023) found that infrastructure issues, psychological barriers, and workload concerns are major obstacles to digital health adoption among healthcare professionals, while training and perceived effectiveness are key facilitators (</w:t>
      </w:r>
      <w:proofErr w:type="spellStart"/>
      <w:r w:rsidRPr="007748AB">
        <w:rPr>
          <w:rFonts w:ascii="Arial" w:hAnsi="Arial" w:cs="Arial"/>
          <w:sz w:val="24"/>
          <w:szCs w:val="24"/>
        </w:rPr>
        <w:t>npj</w:t>
      </w:r>
      <w:proofErr w:type="spellEnd"/>
      <w:r w:rsidRPr="007748AB">
        <w:rPr>
          <w:rFonts w:ascii="Arial" w:hAnsi="Arial" w:cs="Arial"/>
          <w:sz w:val="24"/>
          <w:szCs w:val="24"/>
        </w:rPr>
        <w:t xml:space="preserve"> Digital Medicine, 6(1), DOI: </w:t>
      </w:r>
      <w:r w:rsidRPr="007748AB">
        <w:rPr>
          <w:rFonts w:ascii="Arial" w:hAnsi="Arial" w:cs="Arial"/>
          <w:b/>
          <w:bCs/>
          <w:sz w:val="24"/>
          <w:szCs w:val="24"/>
        </w:rPr>
        <w:t>10.1038/s41746-023-00899-4</w:t>
      </w:r>
      <w:r w:rsidRPr="007748AB">
        <w:rPr>
          <w:rFonts w:ascii="Arial" w:hAnsi="Arial" w:cs="Arial"/>
          <w:sz w:val="24"/>
          <w:szCs w:val="24"/>
        </w:rPr>
        <w:t xml:space="preserve">). </w:t>
      </w:r>
      <w:hyperlink r:id="rId26" w:tgtFrame="_blank" w:history="1">
        <w:r w:rsidRPr="007748AB">
          <w:rPr>
            <w:rStyle w:val="Hyperlink"/>
            <w:rFonts w:ascii="Arial" w:hAnsi="Arial" w:cs="Arial"/>
            <w:sz w:val="24"/>
            <w:szCs w:val="24"/>
          </w:rPr>
          <w:t>PMC</w:t>
        </w:r>
      </w:hyperlink>
    </w:p>
    <w:p w14:paraId="6CC4F79A"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Studies assessing digital health literacy among nurses indicate wide variation across contexts; higher digital health literacy is associated with safer, more efficient care and better support for patient self-management. </w:t>
      </w:r>
      <w:hyperlink r:id="rId27" w:tgtFrame="_blank" w:history="1">
        <w:r w:rsidRPr="007748AB">
          <w:rPr>
            <w:rStyle w:val="Hyperlink"/>
            <w:rFonts w:ascii="Arial" w:hAnsi="Arial" w:cs="Arial"/>
            <w:sz w:val="24"/>
            <w:szCs w:val="24"/>
          </w:rPr>
          <w:t>Electronic Journal of General Medicine+1</w:t>
        </w:r>
      </w:hyperlink>
      <w:r w:rsidRPr="007748AB">
        <w:rPr>
          <w:rFonts w:ascii="Arial" w:hAnsi="Arial" w:cs="Arial"/>
          <w:sz w:val="24"/>
          <w:szCs w:val="24"/>
        </w:rPr>
        <w:t xml:space="preserve"> The International Council of Nurses (ICN) has called for research on the impact of digital technologies on health outcomes, efficiency, safety, and ethical practice in nursing, and for policies that ensure adequate education and professional development in digital health. </w:t>
      </w:r>
      <w:hyperlink r:id="rId28" w:tgtFrame="_blank" w:history="1">
        <w:r w:rsidRPr="007748AB">
          <w:rPr>
            <w:rStyle w:val="Hyperlink"/>
            <w:rFonts w:ascii="Arial" w:hAnsi="Arial" w:cs="Arial"/>
            <w:sz w:val="24"/>
            <w:szCs w:val="24"/>
          </w:rPr>
          <w:t>ICN - International Council of Nurses</w:t>
        </w:r>
      </w:hyperlink>
    </w:p>
    <w:p w14:paraId="5B5BC7F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7.4. Synthesis</w:t>
      </w:r>
    </w:p>
    <w:p w14:paraId="6B12C2F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Overall, the literature provides strong evidence that technology-enhanced learning (virtual simulation, VR, e-learning) benefits nursing students’ knowledge and skills, and that digital health tools can improve aspects of nursing care. However, evidence is still </w:t>
      </w:r>
      <w:r w:rsidRPr="007748AB">
        <w:rPr>
          <w:rFonts w:ascii="Arial" w:hAnsi="Arial" w:cs="Arial"/>
          <w:sz w:val="24"/>
          <w:szCs w:val="24"/>
        </w:rPr>
        <w:lastRenderedPageBreak/>
        <w:t>limited regarding long-term impacts on clinical competence and patient outcomes, particularly in resource-constrained settings; the role of digital literacy and organisational support in bridging the education–practice gap; and comprehensive, theory-informed models for integrating technology across the nursing education–practice continuum. These gaps justify the proposed study.</w:t>
      </w:r>
    </w:p>
    <w:p w14:paraId="49CE6A1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D24406E">
          <v:rect id="_x0000_i1179" style="width:0;height:1.5pt" o:hralign="center" o:hrstd="t" o:hr="t" fillcolor="#a0a0a0" stroked="f"/>
        </w:pict>
      </w:r>
    </w:p>
    <w:p w14:paraId="0EC84DE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If you tell me </w:t>
      </w:r>
      <w:r w:rsidRPr="007748AB">
        <w:rPr>
          <w:rFonts w:ascii="Arial" w:hAnsi="Arial" w:cs="Arial"/>
          <w:b/>
          <w:bCs/>
          <w:sz w:val="24"/>
          <w:szCs w:val="24"/>
        </w:rPr>
        <w:t>your exact context</w:t>
      </w:r>
      <w:r w:rsidRPr="007748AB">
        <w:rPr>
          <w:rFonts w:ascii="Arial" w:hAnsi="Arial" w:cs="Arial"/>
          <w:sz w:val="24"/>
          <w:szCs w:val="24"/>
        </w:rPr>
        <w:t xml:space="preserve"> (e.g., country/region, level of nurses, whether you prefer a </w:t>
      </w:r>
      <w:r w:rsidRPr="007748AB">
        <w:rPr>
          <w:rFonts w:ascii="Arial" w:hAnsi="Arial" w:cs="Arial"/>
          <w:i/>
          <w:iCs/>
          <w:sz w:val="24"/>
          <w:szCs w:val="24"/>
        </w:rPr>
        <w:t>quantitative</w:t>
      </w:r>
      <w:r w:rsidRPr="007748AB">
        <w:rPr>
          <w:rFonts w:ascii="Arial" w:hAnsi="Arial" w:cs="Arial"/>
          <w:sz w:val="24"/>
          <w:szCs w:val="24"/>
        </w:rPr>
        <w:t xml:space="preserve">, </w:t>
      </w:r>
      <w:r w:rsidRPr="007748AB">
        <w:rPr>
          <w:rFonts w:ascii="Arial" w:hAnsi="Arial" w:cs="Arial"/>
          <w:i/>
          <w:iCs/>
          <w:sz w:val="24"/>
          <w:szCs w:val="24"/>
        </w:rPr>
        <w:t>qualitative</w:t>
      </w:r>
      <w:r w:rsidRPr="007748AB">
        <w:rPr>
          <w:rFonts w:ascii="Arial" w:hAnsi="Arial" w:cs="Arial"/>
          <w:sz w:val="24"/>
          <w:szCs w:val="24"/>
        </w:rPr>
        <w:t xml:space="preserve">, or </w:t>
      </w:r>
      <w:r w:rsidRPr="007748AB">
        <w:rPr>
          <w:rFonts w:ascii="Arial" w:hAnsi="Arial" w:cs="Arial"/>
          <w:i/>
          <w:iCs/>
          <w:sz w:val="24"/>
          <w:szCs w:val="24"/>
        </w:rPr>
        <w:t>mixed-methods</w:t>
      </w:r>
      <w:r w:rsidRPr="007748AB">
        <w:rPr>
          <w:rFonts w:ascii="Arial" w:hAnsi="Arial" w:cs="Arial"/>
          <w:sz w:val="24"/>
          <w:szCs w:val="24"/>
        </w:rPr>
        <w:t xml:space="preserve"> design), I can next:</w:t>
      </w:r>
    </w:p>
    <w:p w14:paraId="3562033E" w14:textId="77777777" w:rsidR="007748AB" w:rsidRPr="007748AB" w:rsidRDefault="007748AB" w:rsidP="007748AB">
      <w:pPr>
        <w:numPr>
          <w:ilvl w:val="0"/>
          <w:numId w:val="8"/>
        </w:numPr>
        <w:spacing w:line="360" w:lineRule="auto"/>
        <w:rPr>
          <w:rFonts w:ascii="Arial" w:hAnsi="Arial" w:cs="Arial"/>
          <w:sz w:val="24"/>
          <w:szCs w:val="24"/>
        </w:rPr>
      </w:pPr>
      <w:r w:rsidRPr="007748AB">
        <w:rPr>
          <w:rFonts w:ascii="Arial" w:hAnsi="Arial" w:cs="Arial"/>
          <w:sz w:val="24"/>
          <w:szCs w:val="24"/>
        </w:rPr>
        <w:t xml:space="preserve">Turn this into a </w:t>
      </w:r>
      <w:r w:rsidRPr="007748AB">
        <w:rPr>
          <w:rFonts w:ascii="Arial" w:hAnsi="Arial" w:cs="Arial"/>
          <w:b/>
          <w:bCs/>
          <w:sz w:val="24"/>
          <w:szCs w:val="24"/>
        </w:rPr>
        <w:t>full proposal outline</w:t>
      </w:r>
      <w:r w:rsidRPr="007748AB">
        <w:rPr>
          <w:rFonts w:ascii="Arial" w:hAnsi="Arial" w:cs="Arial"/>
          <w:sz w:val="24"/>
          <w:szCs w:val="24"/>
        </w:rPr>
        <w:t xml:space="preserve"> (methodology, population, sampling, tools, data analysis),</w:t>
      </w:r>
    </w:p>
    <w:p w14:paraId="0C233752" w14:textId="77777777" w:rsidR="007748AB" w:rsidRPr="007748AB" w:rsidRDefault="007748AB" w:rsidP="007748AB">
      <w:pPr>
        <w:numPr>
          <w:ilvl w:val="0"/>
          <w:numId w:val="8"/>
        </w:numPr>
        <w:spacing w:line="360" w:lineRule="auto"/>
        <w:rPr>
          <w:rFonts w:ascii="Arial" w:hAnsi="Arial" w:cs="Arial"/>
          <w:sz w:val="24"/>
          <w:szCs w:val="24"/>
        </w:rPr>
      </w:pPr>
      <w:r w:rsidRPr="007748AB">
        <w:rPr>
          <w:rFonts w:ascii="Arial" w:hAnsi="Arial" w:cs="Arial"/>
          <w:sz w:val="24"/>
          <w:szCs w:val="24"/>
        </w:rPr>
        <w:t xml:space="preserve">Draft </w:t>
      </w:r>
      <w:r w:rsidRPr="007748AB">
        <w:rPr>
          <w:rFonts w:ascii="Arial" w:hAnsi="Arial" w:cs="Arial"/>
          <w:b/>
          <w:bCs/>
          <w:sz w:val="24"/>
          <w:szCs w:val="24"/>
        </w:rPr>
        <w:t>hypotheses</w:t>
      </w:r>
      <w:r w:rsidRPr="007748AB">
        <w:rPr>
          <w:rFonts w:ascii="Arial" w:hAnsi="Arial" w:cs="Arial"/>
          <w:sz w:val="24"/>
          <w:szCs w:val="24"/>
        </w:rPr>
        <w:t xml:space="preserve"> (if quantitative), and</w:t>
      </w:r>
    </w:p>
    <w:p w14:paraId="3E0DF771" w14:textId="77777777" w:rsidR="007748AB" w:rsidRPr="007748AB" w:rsidRDefault="007748AB" w:rsidP="007748AB">
      <w:pPr>
        <w:numPr>
          <w:ilvl w:val="0"/>
          <w:numId w:val="8"/>
        </w:numPr>
        <w:spacing w:line="360" w:lineRule="auto"/>
        <w:rPr>
          <w:rFonts w:ascii="Arial" w:hAnsi="Arial" w:cs="Arial"/>
          <w:sz w:val="24"/>
          <w:szCs w:val="24"/>
        </w:rPr>
      </w:pPr>
      <w:r w:rsidRPr="007748AB">
        <w:rPr>
          <w:rFonts w:ascii="Arial" w:hAnsi="Arial" w:cs="Arial"/>
          <w:sz w:val="24"/>
          <w:szCs w:val="24"/>
        </w:rPr>
        <w:t>Help you tailor everything to match your university’s format (e.g., APA 7 or Harvard, word limits, chapters).</w:t>
      </w:r>
    </w:p>
    <w:p w14:paraId="38DA7BC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You said:</w:t>
      </w:r>
    </w:p>
    <w:p w14:paraId="30CC2178"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with the topic "Integrating Digital Technologies into Nursing Education and Practice: Implications for Competence, Digital Literacy, and Patient </w:t>
      </w:r>
      <w:proofErr w:type="spellStart"/>
      <w:proofErr w:type="gramStart"/>
      <w:r w:rsidRPr="007748AB">
        <w:rPr>
          <w:rFonts w:ascii="Arial" w:hAnsi="Arial" w:cs="Arial"/>
          <w:sz w:val="24"/>
          <w:szCs w:val="24"/>
        </w:rPr>
        <w:t>Care”Long</w:t>
      </w:r>
      <w:proofErr w:type="spellEnd"/>
      <w:proofErr w:type="gramEnd"/>
      <w:r w:rsidRPr="007748AB">
        <w:rPr>
          <w:rFonts w:ascii="Arial" w:hAnsi="Arial" w:cs="Arial"/>
          <w:sz w:val="24"/>
          <w:szCs w:val="24"/>
        </w:rPr>
        <w:t>-Term Impact of Technology Integration on Clinical Competence</w:t>
      </w:r>
    </w:p>
    <w:p w14:paraId="222CC2B3"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ChatGPT said:</w:t>
      </w:r>
    </w:p>
    <w:p w14:paraId="2A361928"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Below is a well-written </w:t>
      </w:r>
      <w:r w:rsidRPr="007748AB">
        <w:rPr>
          <w:rFonts w:ascii="Arial" w:hAnsi="Arial" w:cs="Arial"/>
          <w:b/>
          <w:bCs/>
          <w:sz w:val="24"/>
          <w:szCs w:val="24"/>
        </w:rPr>
        <w:t>research gap section</w:t>
      </w:r>
      <w:r w:rsidRPr="007748AB">
        <w:rPr>
          <w:rFonts w:ascii="Arial" w:hAnsi="Arial" w:cs="Arial"/>
          <w:sz w:val="24"/>
          <w:szCs w:val="24"/>
        </w:rPr>
        <w:t xml:space="preserve"> specifically on:</w:t>
      </w:r>
    </w:p>
    <w:p w14:paraId="786FDBF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“Long-Term Impact of Technology Integration on Clinical Competence”</w:t>
      </w:r>
    </w:p>
    <w:p w14:paraId="7657452F"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under the broader topic:</w:t>
      </w:r>
      <w:r w:rsidRPr="007748AB">
        <w:rPr>
          <w:rFonts w:ascii="Arial" w:hAnsi="Arial" w:cs="Arial"/>
          <w:sz w:val="24"/>
          <w:szCs w:val="24"/>
        </w:rPr>
        <w:br/>
      </w:r>
      <w:r w:rsidRPr="007748AB">
        <w:rPr>
          <w:rFonts w:ascii="Arial" w:hAnsi="Arial" w:cs="Arial"/>
          <w:b/>
          <w:bCs/>
          <w:sz w:val="24"/>
          <w:szCs w:val="24"/>
        </w:rPr>
        <w:t>“Integrating Digital Technologies into Nursing Education and Practice: Implications for Competence, Digital Literacy, and Patient Care.”</w:t>
      </w:r>
    </w:p>
    <w:p w14:paraId="0D0618F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You can insert this directly into your literature review or justification chapter.</w:t>
      </w:r>
    </w:p>
    <w:p w14:paraId="3DF9273B"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2C87EBA">
          <v:rect id="_x0000_i1180" style="width:0;height:1.5pt" o:hralign="center" o:hrstd="t" o:hr="t" fillcolor="#a0a0a0" stroked="f"/>
        </w:pict>
      </w:r>
    </w:p>
    <w:p w14:paraId="1A62D84E"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lastRenderedPageBreak/>
        <w:t>Research Gap: Long-Term Impact of Technology Integration on Clinical Competence</w:t>
      </w:r>
    </w:p>
    <w:p w14:paraId="5D10E1F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Although digital technologies—such as virtual simulation, high-fidelity manikins, e-learning platforms, electronic health records (EHRs), telehealth systems, and artificial intelligence–supported tools—have become central to contemporary nursing education and practice, the </w:t>
      </w:r>
      <w:r w:rsidRPr="007748AB">
        <w:rPr>
          <w:rFonts w:ascii="Arial" w:hAnsi="Arial" w:cs="Arial"/>
          <w:b/>
          <w:bCs/>
          <w:sz w:val="24"/>
          <w:szCs w:val="24"/>
        </w:rPr>
        <w:t>long-term influence</w:t>
      </w:r>
      <w:r w:rsidRPr="007748AB">
        <w:rPr>
          <w:rFonts w:ascii="Arial" w:hAnsi="Arial" w:cs="Arial"/>
          <w:sz w:val="24"/>
          <w:szCs w:val="24"/>
        </w:rPr>
        <w:t xml:space="preserve"> of these technologies on nurses’ clinical competence remains insufficiently understood. Existing studies consistently show that simulation, virtual reality (VR), and online learning enhance short-term knowledge acquisition, technical skills, and learner confidence (Foronda et al., 2020; Liu et al., 2023). However, most of this research is conducted immediately after training interventions, with limited follow-up to determine whether these improvements are </w:t>
      </w:r>
      <w:r w:rsidRPr="007748AB">
        <w:rPr>
          <w:rFonts w:ascii="Arial" w:hAnsi="Arial" w:cs="Arial"/>
          <w:b/>
          <w:bCs/>
          <w:sz w:val="24"/>
          <w:szCs w:val="24"/>
        </w:rPr>
        <w:t>retained</w:t>
      </w:r>
      <w:r w:rsidRPr="007748AB">
        <w:rPr>
          <w:rFonts w:ascii="Arial" w:hAnsi="Arial" w:cs="Arial"/>
          <w:sz w:val="24"/>
          <w:szCs w:val="24"/>
        </w:rPr>
        <w:t xml:space="preserve">, </w:t>
      </w:r>
      <w:r w:rsidRPr="007748AB">
        <w:rPr>
          <w:rFonts w:ascii="Arial" w:hAnsi="Arial" w:cs="Arial"/>
          <w:b/>
          <w:bCs/>
          <w:sz w:val="24"/>
          <w:szCs w:val="24"/>
        </w:rPr>
        <w:t>translated into real clinical settings</w:t>
      </w:r>
      <w:r w:rsidRPr="007748AB">
        <w:rPr>
          <w:rFonts w:ascii="Arial" w:hAnsi="Arial" w:cs="Arial"/>
          <w:sz w:val="24"/>
          <w:szCs w:val="24"/>
        </w:rPr>
        <w:t xml:space="preserve">, or </w:t>
      </w:r>
      <w:r w:rsidRPr="007748AB">
        <w:rPr>
          <w:rFonts w:ascii="Arial" w:hAnsi="Arial" w:cs="Arial"/>
          <w:b/>
          <w:bCs/>
          <w:sz w:val="24"/>
          <w:szCs w:val="24"/>
        </w:rPr>
        <w:t>positively affect patient outcomes</w:t>
      </w:r>
      <w:r w:rsidRPr="007748AB">
        <w:rPr>
          <w:rFonts w:ascii="Arial" w:hAnsi="Arial" w:cs="Arial"/>
          <w:sz w:val="24"/>
          <w:szCs w:val="24"/>
        </w:rPr>
        <w:t xml:space="preserve"> over time.</w:t>
      </w:r>
    </w:p>
    <w:p w14:paraId="6BB941A1"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Furthermore, the transition from classroom-based technological learning to real-world clinical environments introduces multiple variables—workplace culture, workload, mentorship quality, digital infrastructure, and support systems—that are rarely examined in current studies. There is little evidence on how graduates who were trained with immersive technologies perform in </w:t>
      </w:r>
      <w:r w:rsidRPr="007748AB">
        <w:rPr>
          <w:rFonts w:ascii="Arial" w:hAnsi="Arial" w:cs="Arial"/>
          <w:b/>
          <w:bCs/>
          <w:sz w:val="24"/>
          <w:szCs w:val="24"/>
        </w:rPr>
        <w:t>actual clinical reasoning</w:t>
      </w:r>
      <w:r w:rsidRPr="007748AB">
        <w:rPr>
          <w:rFonts w:ascii="Arial" w:hAnsi="Arial" w:cs="Arial"/>
          <w:sz w:val="24"/>
          <w:szCs w:val="24"/>
        </w:rPr>
        <w:t xml:space="preserve">, </w:t>
      </w:r>
      <w:r w:rsidRPr="007748AB">
        <w:rPr>
          <w:rFonts w:ascii="Arial" w:hAnsi="Arial" w:cs="Arial"/>
          <w:b/>
          <w:bCs/>
          <w:sz w:val="24"/>
          <w:szCs w:val="24"/>
        </w:rPr>
        <w:t>interprofessional communication</w:t>
      </w:r>
      <w:r w:rsidRPr="007748AB">
        <w:rPr>
          <w:rFonts w:ascii="Arial" w:hAnsi="Arial" w:cs="Arial"/>
          <w:sz w:val="24"/>
          <w:szCs w:val="24"/>
        </w:rPr>
        <w:t xml:space="preserve">, </w:t>
      </w:r>
      <w:r w:rsidRPr="007748AB">
        <w:rPr>
          <w:rFonts w:ascii="Arial" w:hAnsi="Arial" w:cs="Arial"/>
          <w:b/>
          <w:bCs/>
          <w:sz w:val="24"/>
          <w:szCs w:val="24"/>
        </w:rPr>
        <w:t>clinical documentation</w:t>
      </w:r>
      <w:r w:rsidRPr="007748AB">
        <w:rPr>
          <w:rFonts w:ascii="Arial" w:hAnsi="Arial" w:cs="Arial"/>
          <w:sz w:val="24"/>
          <w:szCs w:val="24"/>
        </w:rPr>
        <w:t xml:space="preserve">, and </w:t>
      </w:r>
      <w:r w:rsidRPr="007748AB">
        <w:rPr>
          <w:rFonts w:ascii="Arial" w:hAnsi="Arial" w:cs="Arial"/>
          <w:b/>
          <w:bCs/>
          <w:sz w:val="24"/>
          <w:szCs w:val="24"/>
        </w:rPr>
        <w:t>patient safety practices</w:t>
      </w:r>
      <w:r w:rsidRPr="007748AB">
        <w:rPr>
          <w:rFonts w:ascii="Arial" w:hAnsi="Arial" w:cs="Arial"/>
          <w:sz w:val="24"/>
          <w:szCs w:val="24"/>
        </w:rPr>
        <w:t xml:space="preserve"> months or years after qualification. Additionally, existing literature often focuses on students rather than practising nurses, creating a gap in understanding how continuous integration of digital tools across a nurse’s career affects long-term clinical competence and care quality.</w:t>
      </w:r>
    </w:p>
    <w:p w14:paraId="3D179E39"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This gap highlights the need for longitudinal, context-specific research that tracks learners from technological training environments into clinical practice and examines how sustained technology use contributes to competence development, critical thinking, and patient outcomes.</w:t>
      </w:r>
    </w:p>
    <w:p w14:paraId="4E1DB75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30B252FA">
          <v:rect id="_x0000_i1181" style="width:0;height:1.5pt" o:hralign="center" o:hrstd="t" o:hr="t" fillcolor="#a0a0a0" stroked="f"/>
        </w:pict>
      </w:r>
    </w:p>
    <w:p w14:paraId="65104FA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Would you like me to:</w:t>
      </w:r>
    </w:p>
    <w:p w14:paraId="3DCC0CC9" w14:textId="77777777" w:rsidR="007748AB" w:rsidRPr="007748AB" w:rsidRDefault="007748AB" w:rsidP="007748AB">
      <w:pPr>
        <w:spacing w:line="360" w:lineRule="auto"/>
        <w:rPr>
          <w:rFonts w:ascii="Arial" w:hAnsi="Arial" w:cs="Arial"/>
          <w:sz w:val="24"/>
          <w:szCs w:val="24"/>
        </w:rPr>
      </w:pPr>
      <w:r w:rsidRPr="007748AB">
        <w:rPr>
          <w:rFonts w:ascii="Segoe UI Emoji" w:hAnsi="Segoe UI Emoji" w:cs="Segoe UI Emoji"/>
          <w:sz w:val="24"/>
          <w:szCs w:val="24"/>
        </w:rPr>
        <w:lastRenderedPageBreak/>
        <w:t>✅</w:t>
      </w:r>
      <w:r w:rsidRPr="007748AB">
        <w:rPr>
          <w:rFonts w:ascii="Arial" w:hAnsi="Arial" w:cs="Arial"/>
          <w:sz w:val="24"/>
          <w:szCs w:val="24"/>
        </w:rPr>
        <w:t xml:space="preserve"> Add </w:t>
      </w:r>
      <w:r w:rsidRPr="007748AB">
        <w:rPr>
          <w:rFonts w:ascii="Arial" w:hAnsi="Arial" w:cs="Arial"/>
          <w:b/>
          <w:bCs/>
          <w:sz w:val="24"/>
          <w:szCs w:val="24"/>
        </w:rPr>
        <w:t>in-text citations and full reference list (APA or Harvard)</w:t>
      </w:r>
      <w:r w:rsidRPr="007748AB">
        <w:rPr>
          <w:rFonts w:ascii="Arial" w:hAnsi="Arial" w:cs="Arial"/>
          <w:sz w:val="24"/>
          <w:szCs w:val="24"/>
        </w:rPr>
        <w:t>?</w:t>
      </w:r>
      <w:r w:rsidRPr="007748AB">
        <w:rPr>
          <w:rFonts w:ascii="Arial" w:hAnsi="Arial" w:cs="Arial"/>
          <w:sz w:val="24"/>
          <w:szCs w:val="24"/>
        </w:rPr>
        <w:br/>
      </w:r>
      <w:r w:rsidRPr="007748AB">
        <w:rPr>
          <w:rFonts w:ascii="Segoe UI Emoji" w:hAnsi="Segoe UI Emoji" w:cs="Segoe UI Emoji"/>
          <w:sz w:val="24"/>
          <w:szCs w:val="24"/>
        </w:rPr>
        <w:t>✅</w:t>
      </w:r>
      <w:r w:rsidRPr="007748AB">
        <w:rPr>
          <w:rFonts w:ascii="Arial" w:hAnsi="Arial" w:cs="Arial"/>
          <w:sz w:val="24"/>
          <w:szCs w:val="24"/>
        </w:rPr>
        <w:t xml:space="preserve"> Turn this into a </w:t>
      </w:r>
      <w:r w:rsidRPr="007748AB">
        <w:rPr>
          <w:rFonts w:ascii="Arial" w:hAnsi="Arial" w:cs="Arial"/>
          <w:b/>
          <w:bCs/>
          <w:sz w:val="24"/>
          <w:szCs w:val="24"/>
        </w:rPr>
        <w:t>theoretical gap</w:t>
      </w:r>
      <w:r w:rsidRPr="007748AB">
        <w:rPr>
          <w:rFonts w:ascii="Arial" w:hAnsi="Arial" w:cs="Arial"/>
          <w:sz w:val="24"/>
          <w:szCs w:val="24"/>
        </w:rPr>
        <w:t xml:space="preserve">, </w:t>
      </w:r>
      <w:r w:rsidRPr="007748AB">
        <w:rPr>
          <w:rFonts w:ascii="Arial" w:hAnsi="Arial" w:cs="Arial"/>
          <w:b/>
          <w:bCs/>
          <w:sz w:val="24"/>
          <w:szCs w:val="24"/>
        </w:rPr>
        <w:t>methodological gap</w:t>
      </w:r>
      <w:r w:rsidRPr="007748AB">
        <w:rPr>
          <w:rFonts w:ascii="Arial" w:hAnsi="Arial" w:cs="Arial"/>
          <w:sz w:val="24"/>
          <w:szCs w:val="24"/>
        </w:rPr>
        <w:t xml:space="preserve">, or </w:t>
      </w:r>
      <w:r w:rsidRPr="007748AB">
        <w:rPr>
          <w:rFonts w:ascii="Arial" w:hAnsi="Arial" w:cs="Arial"/>
          <w:b/>
          <w:bCs/>
          <w:sz w:val="24"/>
          <w:szCs w:val="24"/>
        </w:rPr>
        <w:t>contextual gap</w:t>
      </w:r>
      <w:r w:rsidRPr="007748AB">
        <w:rPr>
          <w:rFonts w:ascii="Arial" w:hAnsi="Arial" w:cs="Arial"/>
          <w:sz w:val="24"/>
          <w:szCs w:val="24"/>
        </w:rPr>
        <w:t xml:space="preserve"> as well?</w:t>
      </w:r>
      <w:r w:rsidRPr="007748AB">
        <w:rPr>
          <w:rFonts w:ascii="Arial" w:hAnsi="Arial" w:cs="Arial"/>
          <w:sz w:val="24"/>
          <w:szCs w:val="24"/>
        </w:rPr>
        <w:br/>
      </w:r>
      <w:r w:rsidRPr="007748AB">
        <w:rPr>
          <w:rFonts w:ascii="Segoe UI Emoji" w:hAnsi="Segoe UI Emoji" w:cs="Segoe UI Emoji"/>
          <w:sz w:val="24"/>
          <w:szCs w:val="24"/>
        </w:rPr>
        <w:t>✅</w:t>
      </w:r>
      <w:r w:rsidRPr="007748AB">
        <w:rPr>
          <w:rFonts w:ascii="Arial" w:hAnsi="Arial" w:cs="Arial"/>
          <w:sz w:val="24"/>
          <w:szCs w:val="24"/>
        </w:rPr>
        <w:t xml:space="preserve"> Expand into a </w:t>
      </w:r>
      <w:r w:rsidRPr="007748AB">
        <w:rPr>
          <w:rFonts w:ascii="Arial" w:hAnsi="Arial" w:cs="Arial"/>
          <w:b/>
          <w:bCs/>
          <w:sz w:val="24"/>
          <w:szCs w:val="24"/>
        </w:rPr>
        <w:t>full subsection of the literature review</w:t>
      </w:r>
      <w:r w:rsidRPr="007748AB">
        <w:rPr>
          <w:rFonts w:ascii="Arial" w:hAnsi="Arial" w:cs="Arial"/>
          <w:sz w:val="24"/>
          <w:szCs w:val="24"/>
        </w:rPr>
        <w:t xml:space="preserve"> with 300–500 words?</w:t>
      </w:r>
    </w:p>
    <w:p w14:paraId="58135C6D"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You said:</w:t>
      </w:r>
    </w:p>
    <w:p w14:paraId="79CDA08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with the topic "Integrating Digital Technologies into Nursing Education and Practice," develop a full proposal on the research gap "Long-Term Impact of Technology Integration on Clinical Competence" Mixed method studies. Please add reference intext and end text, with </w:t>
      </w:r>
      <w:proofErr w:type="spellStart"/>
      <w:r w:rsidRPr="007748AB">
        <w:rPr>
          <w:rFonts w:ascii="Arial" w:hAnsi="Arial" w:cs="Arial"/>
          <w:sz w:val="24"/>
          <w:szCs w:val="24"/>
        </w:rPr>
        <w:t>doi</w:t>
      </w:r>
      <w:proofErr w:type="spellEnd"/>
      <w:r w:rsidRPr="007748AB">
        <w:rPr>
          <w:rFonts w:ascii="Arial" w:hAnsi="Arial" w:cs="Arial"/>
          <w:sz w:val="24"/>
          <w:szCs w:val="24"/>
        </w:rPr>
        <w:t xml:space="preserve"> or websites if available</w:t>
      </w:r>
    </w:p>
    <w:p w14:paraId="60946090"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ChatGPT said:</w:t>
      </w:r>
    </w:p>
    <w:p w14:paraId="3749688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Thought for 1m 33s</w:t>
      </w:r>
    </w:p>
    <w:p w14:paraId="163BD252"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Here’s a full, mixed-methods proposal you can adapt to your school’s template. You can copy–paste and then adjust the context (country, sites, word limits, etc.).</w:t>
      </w:r>
    </w:p>
    <w:p w14:paraId="10004E0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44261D82">
          <v:rect id="_x0000_i1182" style="width:0;height:1.5pt" o:hralign="center" o:hrstd="t" o:hr="t" fillcolor="#a0a0a0" stroked="f"/>
        </w:pict>
      </w:r>
    </w:p>
    <w:p w14:paraId="76BD81B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Title</w:t>
      </w:r>
    </w:p>
    <w:p w14:paraId="5F26EF6C"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Integrating Digital Technologies into Nursing Education and Practice: Long-Term Impact on Clinical Competence</w:t>
      </w:r>
    </w:p>
    <w:p w14:paraId="73BBF240"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0546D228">
          <v:rect id="_x0000_i1183" style="width:0;height:1.5pt" o:hralign="center" o:hrstd="t" o:hr="t" fillcolor="#a0a0a0" stroked="f"/>
        </w:pict>
      </w:r>
    </w:p>
    <w:p w14:paraId="0C49704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1. Background and Rationale</w:t>
      </w:r>
    </w:p>
    <w:p w14:paraId="7865CE9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Digital technologies such as learning management systems, high-fidelity and virtual simulation, virtual reality (VR), e-learning platforms, electronic health records (EHRs), telehealth, and mobile apps are now central to contemporary nursing education and practice. Systematic reviews consistently show that simulation, virtual simulation and VR enhance nursing students’ knowledge, psychomotor skills, and self-confidence compared with traditional teaching. </w:t>
      </w:r>
      <w:hyperlink r:id="rId29" w:tgtFrame="_blank" w:history="1">
        <w:r w:rsidRPr="007748AB">
          <w:rPr>
            <w:rStyle w:val="Hyperlink"/>
            <w:rFonts w:ascii="Arial" w:hAnsi="Arial" w:cs="Arial"/>
            <w:sz w:val="24"/>
            <w:szCs w:val="24"/>
          </w:rPr>
          <w:t>nursingsimulation.org+3PubMed+3PubMed+3</w:t>
        </w:r>
      </w:hyperlink>
    </w:p>
    <w:p w14:paraId="74B2DBBB"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Virtual simulation and VR also support clinical reasoning and judgment, although results vary depending on instructional design. </w:t>
      </w:r>
      <w:hyperlink r:id="rId30" w:tgtFrame="_blank" w:history="1">
        <w:r w:rsidRPr="007748AB">
          <w:rPr>
            <w:rStyle w:val="Hyperlink"/>
            <w:rFonts w:ascii="Arial" w:hAnsi="Arial" w:cs="Arial"/>
            <w:sz w:val="24"/>
            <w:szCs w:val="24"/>
          </w:rPr>
          <w:t>nursingsimulation.org+1</w:t>
        </w:r>
      </w:hyperlink>
      <w:r w:rsidRPr="007748AB">
        <w:rPr>
          <w:rFonts w:ascii="Arial" w:hAnsi="Arial" w:cs="Arial"/>
          <w:sz w:val="24"/>
          <w:szCs w:val="24"/>
        </w:rPr>
        <w:t xml:space="preserve"> Emerging evidence </w:t>
      </w:r>
      <w:r w:rsidRPr="007748AB">
        <w:rPr>
          <w:rFonts w:ascii="Arial" w:hAnsi="Arial" w:cs="Arial"/>
          <w:sz w:val="24"/>
          <w:szCs w:val="24"/>
        </w:rPr>
        <w:lastRenderedPageBreak/>
        <w:t xml:space="preserve">suggests that simulation-based education can help bridge the theory–practice gap and improve readiness for clinical practice. </w:t>
      </w:r>
      <w:hyperlink r:id="rId31" w:tgtFrame="_blank" w:history="1">
        <w:r w:rsidRPr="007748AB">
          <w:rPr>
            <w:rStyle w:val="Hyperlink"/>
            <w:rFonts w:ascii="Arial" w:hAnsi="Arial" w:cs="Arial"/>
            <w:sz w:val="24"/>
            <w:szCs w:val="24"/>
          </w:rPr>
          <w:t>PMC+1</w:t>
        </w:r>
      </w:hyperlink>
    </w:p>
    <w:p w14:paraId="0CA4785E"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In clinical settings, digital health tools such as EHRs, clinical decision-support systems, telehealth, and mobile documentation systems are promoted to improve safety, efficiency and access to care. Position statements from the International Council of Nurses (ICN) and national bodies emphasise the need for digital health and informatics competencies for all nurses and student nurses. </w:t>
      </w:r>
      <w:hyperlink r:id="rId32" w:tgtFrame="_blank" w:history="1">
        <w:r w:rsidRPr="007748AB">
          <w:rPr>
            <w:rStyle w:val="Hyperlink"/>
            <w:rFonts w:ascii="Arial" w:hAnsi="Arial" w:cs="Arial"/>
            <w:sz w:val="24"/>
            <w:szCs w:val="24"/>
          </w:rPr>
          <w:t>HL Prod CA OC Download+3ICN - International Council of Nurses+3ICN - International Council of Nurses+3</w:t>
        </w:r>
      </w:hyperlink>
    </w:p>
    <w:p w14:paraId="1CAA6320"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However, most empirical studies on technology in nursing education measure </w:t>
      </w:r>
      <w:r w:rsidRPr="007748AB">
        <w:rPr>
          <w:rFonts w:ascii="Arial" w:hAnsi="Arial" w:cs="Arial"/>
          <w:b/>
          <w:bCs/>
          <w:sz w:val="24"/>
          <w:szCs w:val="24"/>
        </w:rPr>
        <w:t>short-term outcomes</w:t>
      </w:r>
      <w:r w:rsidRPr="007748AB">
        <w:rPr>
          <w:rFonts w:ascii="Arial" w:hAnsi="Arial" w:cs="Arial"/>
          <w:sz w:val="24"/>
          <w:szCs w:val="24"/>
        </w:rPr>
        <w:t xml:space="preserve"> (e.g., knowledge scores immediately post-simulation, satisfaction with e-learning) and are conducted in well-resourced contexts. </w:t>
      </w:r>
      <w:hyperlink r:id="rId33" w:tgtFrame="_blank" w:history="1">
        <w:r w:rsidRPr="007748AB">
          <w:rPr>
            <w:rStyle w:val="Hyperlink"/>
            <w:rFonts w:ascii="Arial" w:hAnsi="Arial" w:cs="Arial"/>
            <w:sz w:val="24"/>
            <w:szCs w:val="24"/>
          </w:rPr>
          <w:t>PubMed+2OAMJMS+2</w:t>
        </w:r>
      </w:hyperlink>
      <w:r w:rsidRPr="007748AB">
        <w:rPr>
          <w:rFonts w:ascii="Arial" w:hAnsi="Arial" w:cs="Arial"/>
          <w:sz w:val="24"/>
          <w:szCs w:val="24"/>
        </w:rPr>
        <w:t xml:space="preserve"> There is limited longitudinal research examining whether technology-enhanced learning translates into </w:t>
      </w:r>
      <w:r w:rsidRPr="007748AB">
        <w:rPr>
          <w:rFonts w:ascii="Arial" w:hAnsi="Arial" w:cs="Arial"/>
          <w:b/>
          <w:bCs/>
          <w:sz w:val="24"/>
          <w:szCs w:val="24"/>
        </w:rPr>
        <w:t>sustained clinical competence</w:t>
      </w:r>
      <w:r w:rsidRPr="007748AB">
        <w:rPr>
          <w:rFonts w:ascii="Arial" w:hAnsi="Arial" w:cs="Arial"/>
          <w:sz w:val="24"/>
          <w:szCs w:val="24"/>
        </w:rPr>
        <w:t xml:space="preserve"> and safe practice once graduates enter the workforce. A small number of follow-up studies on immersive ward-based simulation demonstrate that graduates draw on simulation experiences during their transition to practice, but these focus on perceptions rather than robust, multi-dimensional competence outcomes over time. </w:t>
      </w:r>
      <w:hyperlink r:id="rId34" w:tgtFrame="_blank" w:history="1">
        <w:r w:rsidRPr="007748AB">
          <w:rPr>
            <w:rStyle w:val="Hyperlink"/>
            <w:rFonts w:ascii="Arial" w:hAnsi="Arial" w:cs="Arial"/>
            <w:sz w:val="24"/>
            <w:szCs w:val="24"/>
          </w:rPr>
          <w:t>Edith Cowan University+2ScienceDirect+2</w:t>
        </w:r>
      </w:hyperlink>
    </w:p>
    <w:p w14:paraId="4FA98636"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At the same time, studies on digital literacy among nursing students and nurse educators reveal wide variation in digital skills and highlight that digital literacy is a key determinant of effective technology use in education and practice. </w:t>
      </w:r>
      <w:hyperlink r:id="rId35" w:tgtFrame="_blank" w:history="1">
        <w:r w:rsidRPr="007748AB">
          <w:rPr>
            <w:rStyle w:val="Hyperlink"/>
            <w:rFonts w:ascii="Arial" w:hAnsi="Arial" w:cs="Arial"/>
            <w:sz w:val="24"/>
            <w:szCs w:val="24"/>
          </w:rPr>
          <w:t>ResearchGate+3SpringerLink+3PMC+3</w:t>
        </w:r>
      </w:hyperlink>
      <w:r w:rsidRPr="007748AB">
        <w:rPr>
          <w:rFonts w:ascii="Arial" w:hAnsi="Arial" w:cs="Arial"/>
          <w:sz w:val="24"/>
          <w:szCs w:val="24"/>
        </w:rPr>
        <w:t xml:space="preserve"> These findings indicate that the </w:t>
      </w:r>
      <w:r w:rsidRPr="007748AB">
        <w:rPr>
          <w:rFonts w:ascii="Arial" w:hAnsi="Arial" w:cs="Arial"/>
          <w:b/>
          <w:bCs/>
          <w:sz w:val="24"/>
          <w:szCs w:val="24"/>
        </w:rPr>
        <w:t>long-term impact</w:t>
      </w:r>
      <w:r w:rsidRPr="007748AB">
        <w:rPr>
          <w:rFonts w:ascii="Arial" w:hAnsi="Arial" w:cs="Arial"/>
          <w:sz w:val="24"/>
          <w:szCs w:val="24"/>
        </w:rPr>
        <w:t xml:space="preserve"> of technology integration on clinical competence is likely shaped by digital literacy, acceptance of technology, and organisational support, yet this interaction is not well understood.</w:t>
      </w:r>
    </w:p>
    <w:p w14:paraId="358E9950"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This proposal therefore focuses on the research gap: </w:t>
      </w:r>
      <w:r w:rsidRPr="007748AB">
        <w:rPr>
          <w:rFonts w:ascii="Arial" w:hAnsi="Arial" w:cs="Arial"/>
          <w:b/>
          <w:bCs/>
          <w:sz w:val="24"/>
          <w:szCs w:val="24"/>
        </w:rPr>
        <w:t>What is the long-term impact of technology integration in nursing education and practice on nurses’ clinical competence, and how is this shaped by digital literacy and contextual factors?</w:t>
      </w:r>
    </w:p>
    <w:p w14:paraId="3A9C67C8"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08F8F86A">
          <v:rect id="_x0000_i1184" style="width:0;height:1.5pt" o:hralign="center" o:hrstd="t" o:hr="t" fillcolor="#a0a0a0" stroked="f"/>
        </w:pict>
      </w:r>
    </w:p>
    <w:p w14:paraId="1D4635B5"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2. Problem Statement</w:t>
      </w:r>
    </w:p>
    <w:p w14:paraId="2987104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lastRenderedPageBreak/>
        <w:t xml:space="preserve">Despite strong evidence that digital technologies can enhance short-term learning outcomes in nursing programmes, it remains unclear whether these benefits are </w:t>
      </w:r>
      <w:r w:rsidRPr="007748AB">
        <w:rPr>
          <w:rFonts w:ascii="Arial" w:hAnsi="Arial" w:cs="Arial"/>
          <w:b/>
          <w:bCs/>
          <w:sz w:val="24"/>
          <w:szCs w:val="24"/>
        </w:rPr>
        <w:t>maintained and translated into real-world clinical competence</w:t>
      </w:r>
      <w:r w:rsidRPr="007748AB">
        <w:rPr>
          <w:rFonts w:ascii="Arial" w:hAnsi="Arial" w:cs="Arial"/>
          <w:sz w:val="24"/>
          <w:szCs w:val="24"/>
        </w:rPr>
        <w:t xml:space="preserve"> over time. Most studies evaluate immediate or short-term outcomes (e.g., pre- and post-simulation tests, end-of-course evaluations), leaving a gap in understanding how technology-enhanced education affects </w:t>
      </w:r>
      <w:r w:rsidRPr="007748AB">
        <w:rPr>
          <w:rFonts w:ascii="Arial" w:hAnsi="Arial" w:cs="Arial"/>
          <w:b/>
          <w:bCs/>
          <w:sz w:val="24"/>
          <w:szCs w:val="24"/>
        </w:rPr>
        <w:t>early-career nurses’ competence, clinical reasoning, and patient care</w:t>
      </w:r>
      <w:r w:rsidRPr="007748AB">
        <w:rPr>
          <w:rFonts w:ascii="Arial" w:hAnsi="Arial" w:cs="Arial"/>
          <w:sz w:val="24"/>
          <w:szCs w:val="24"/>
        </w:rPr>
        <w:t xml:space="preserve"> after months or years of practice. </w:t>
      </w:r>
      <w:hyperlink r:id="rId36" w:tgtFrame="_blank" w:history="1">
        <w:r w:rsidRPr="007748AB">
          <w:rPr>
            <w:rStyle w:val="Hyperlink"/>
            <w:rFonts w:ascii="Arial" w:hAnsi="Arial" w:cs="Arial"/>
            <w:sz w:val="24"/>
            <w:szCs w:val="24"/>
          </w:rPr>
          <w:t>MDPI+3PubMed+3PubMed+3</w:t>
        </w:r>
      </w:hyperlink>
    </w:p>
    <w:p w14:paraId="3D8793F6"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Existing longitudinal or follow-up studies of immersive simulation suggest that graduates use prior simulation learning as a reference point for teamwork, communication, and time management in clinical practice. However, these studies often involve small samples, focus on subjective perceptions, and rarely combine competence measures, digital literacy assessment, and workplace context variables. </w:t>
      </w:r>
      <w:hyperlink r:id="rId37" w:tgtFrame="_blank" w:history="1">
        <w:r w:rsidRPr="007748AB">
          <w:rPr>
            <w:rStyle w:val="Hyperlink"/>
            <w:rFonts w:ascii="Arial" w:hAnsi="Arial" w:cs="Arial"/>
            <w:sz w:val="24"/>
            <w:szCs w:val="24"/>
          </w:rPr>
          <w:t>Edith Cowan University+1</w:t>
        </w:r>
      </w:hyperlink>
      <w:r w:rsidRPr="007748AB">
        <w:rPr>
          <w:rFonts w:ascii="Arial" w:hAnsi="Arial" w:cs="Arial"/>
          <w:sz w:val="24"/>
          <w:szCs w:val="24"/>
        </w:rPr>
        <w:t xml:space="preserve"> Meanwhile, policy documents call for improved digital health competencies in the nursing workforce, but there is insufficient empirical evidence to show how specific forms of technology integration during training influence subsequent competence in digitally enabled care environments. </w:t>
      </w:r>
      <w:hyperlink r:id="rId38" w:tgtFrame="_blank" w:history="1">
        <w:r w:rsidRPr="007748AB">
          <w:rPr>
            <w:rStyle w:val="Hyperlink"/>
            <w:rFonts w:ascii="Arial" w:hAnsi="Arial" w:cs="Arial"/>
            <w:sz w:val="24"/>
            <w:szCs w:val="24"/>
          </w:rPr>
          <w:t>ICN - International Council of Nurses+2CASN+2</w:t>
        </w:r>
      </w:hyperlink>
    </w:p>
    <w:p w14:paraId="154411FF"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Without robust, mixed-methods evidence on long-term outcomes, curriculum planners, nurse educators, and health-care leaders may invest heavily in technologies without knowing which strategies truly improve clinical competence and patient care beyond graduation. This study seeks to address this gap.</w:t>
      </w:r>
    </w:p>
    <w:p w14:paraId="6F731E01"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525EB09B">
          <v:rect id="_x0000_i1185" style="width:0;height:1.5pt" o:hralign="center" o:hrstd="t" o:hr="t" fillcolor="#a0a0a0" stroked="f"/>
        </w:pict>
      </w:r>
    </w:p>
    <w:p w14:paraId="2E52F94F"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3. Purpose of the Study</w:t>
      </w:r>
    </w:p>
    <w:p w14:paraId="403329B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The purpose of this mixed-methods study is to </w:t>
      </w:r>
      <w:r w:rsidRPr="007748AB">
        <w:rPr>
          <w:rFonts w:ascii="Arial" w:hAnsi="Arial" w:cs="Arial"/>
          <w:b/>
          <w:bCs/>
          <w:sz w:val="24"/>
          <w:szCs w:val="24"/>
        </w:rPr>
        <w:t>examine the long-term impact of technology integration in nursing education on early-career nurses’ clinical competence</w:t>
      </w:r>
      <w:r w:rsidRPr="007748AB">
        <w:rPr>
          <w:rFonts w:ascii="Arial" w:hAnsi="Arial" w:cs="Arial"/>
          <w:sz w:val="24"/>
          <w:szCs w:val="24"/>
        </w:rPr>
        <w:t>, and to explore how digital literacy, technology acceptance, and workplace conditions influence this relationship.</w:t>
      </w:r>
    </w:p>
    <w:p w14:paraId="05D4E991"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5AA09B2">
          <v:rect id="_x0000_i1186" style="width:0;height:1.5pt" o:hralign="center" o:hrstd="t" o:hr="t" fillcolor="#a0a0a0" stroked="f"/>
        </w:pict>
      </w:r>
    </w:p>
    <w:p w14:paraId="5411121A"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4. Objectives</w:t>
      </w:r>
    </w:p>
    <w:p w14:paraId="2DF052A7" w14:textId="77777777" w:rsidR="007748AB" w:rsidRPr="007748AB" w:rsidRDefault="007748AB" w:rsidP="007748AB">
      <w:pPr>
        <w:numPr>
          <w:ilvl w:val="0"/>
          <w:numId w:val="9"/>
        </w:numPr>
        <w:spacing w:line="360" w:lineRule="auto"/>
        <w:rPr>
          <w:rFonts w:ascii="Arial" w:hAnsi="Arial" w:cs="Arial"/>
          <w:sz w:val="24"/>
          <w:szCs w:val="24"/>
        </w:rPr>
      </w:pPr>
      <w:r w:rsidRPr="007748AB">
        <w:rPr>
          <w:rFonts w:ascii="Arial" w:hAnsi="Arial" w:cs="Arial"/>
          <w:b/>
          <w:bCs/>
          <w:sz w:val="24"/>
          <w:szCs w:val="24"/>
        </w:rPr>
        <w:lastRenderedPageBreak/>
        <w:t>To describe</w:t>
      </w:r>
      <w:r w:rsidRPr="007748AB">
        <w:rPr>
          <w:rFonts w:ascii="Arial" w:hAnsi="Arial" w:cs="Arial"/>
          <w:sz w:val="24"/>
          <w:szCs w:val="24"/>
        </w:rPr>
        <w:t xml:space="preserve"> the extent and nature of digital technology integration experienced by nurses during their pre-registration education (e.g., simulation, VR, e-learning, EHR training).</w:t>
      </w:r>
    </w:p>
    <w:p w14:paraId="779F9706" w14:textId="77777777" w:rsidR="007748AB" w:rsidRPr="007748AB" w:rsidRDefault="007748AB" w:rsidP="007748AB">
      <w:pPr>
        <w:numPr>
          <w:ilvl w:val="0"/>
          <w:numId w:val="9"/>
        </w:numPr>
        <w:spacing w:line="360" w:lineRule="auto"/>
        <w:rPr>
          <w:rFonts w:ascii="Arial" w:hAnsi="Arial" w:cs="Arial"/>
          <w:sz w:val="24"/>
          <w:szCs w:val="24"/>
        </w:rPr>
      </w:pPr>
      <w:r w:rsidRPr="007748AB">
        <w:rPr>
          <w:rFonts w:ascii="Arial" w:hAnsi="Arial" w:cs="Arial"/>
          <w:b/>
          <w:bCs/>
          <w:sz w:val="24"/>
          <w:szCs w:val="24"/>
        </w:rPr>
        <w:t>To assess</w:t>
      </w:r>
      <w:r w:rsidRPr="007748AB">
        <w:rPr>
          <w:rFonts w:ascii="Arial" w:hAnsi="Arial" w:cs="Arial"/>
          <w:sz w:val="24"/>
          <w:szCs w:val="24"/>
        </w:rPr>
        <w:t xml:space="preserve"> the clinical competence of early-career nurses (e.g., within 1–3 years post-registration) across key domains of practice.</w:t>
      </w:r>
    </w:p>
    <w:p w14:paraId="4071B086" w14:textId="77777777" w:rsidR="007748AB" w:rsidRPr="007748AB" w:rsidRDefault="007748AB" w:rsidP="007748AB">
      <w:pPr>
        <w:numPr>
          <w:ilvl w:val="0"/>
          <w:numId w:val="9"/>
        </w:numPr>
        <w:spacing w:line="360" w:lineRule="auto"/>
        <w:rPr>
          <w:rFonts w:ascii="Arial" w:hAnsi="Arial" w:cs="Arial"/>
          <w:sz w:val="24"/>
          <w:szCs w:val="24"/>
        </w:rPr>
      </w:pPr>
      <w:r w:rsidRPr="007748AB">
        <w:rPr>
          <w:rFonts w:ascii="Arial" w:hAnsi="Arial" w:cs="Arial"/>
          <w:b/>
          <w:bCs/>
          <w:sz w:val="24"/>
          <w:szCs w:val="24"/>
        </w:rPr>
        <w:t>To examine</w:t>
      </w:r>
      <w:r w:rsidRPr="007748AB">
        <w:rPr>
          <w:rFonts w:ascii="Arial" w:hAnsi="Arial" w:cs="Arial"/>
          <w:sz w:val="24"/>
          <w:szCs w:val="24"/>
        </w:rPr>
        <w:t xml:space="preserve"> the relationship between exposure to technology-enhanced education, digital literacy, technology acceptance, and current clinical competence.</w:t>
      </w:r>
    </w:p>
    <w:p w14:paraId="648DDB85" w14:textId="77777777" w:rsidR="007748AB" w:rsidRPr="007748AB" w:rsidRDefault="007748AB" w:rsidP="007748AB">
      <w:pPr>
        <w:numPr>
          <w:ilvl w:val="0"/>
          <w:numId w:val="9"/>
        </w:numPr>
        <w:spacing w:line="360" w:lineRule="auto"/>
        <w:rPr>
          <w:rFonts w:ascii="Arial" w:hAnsi="Arial" w:cs="Arial"/>
          <w:sz w:val="24"/>
          <w:szCs w:val="24"/>
        </w:rPr>
      </w:pPr>
      <w:r w:rsidRPr="007748AB">
        <w:rPr>
          <w:rFonts w:ascii="Arial" w:hAnsi="Arial" w:cs="Arial"/>
          <w:b/>
          <w:bCs/>
          <w:sz w:val="24"/>
          <w:szCs w:val="24"/>
        </w:rPr>
        <w:t>To explore qualitatively</w:t>
      </w:r>
      <w:r w:rsidRPr="007748AB">
        <w:rPr>
          <w:rFonts w:ascii="Arial" w:hAnsi="Arial" w:cs="Arial"/>
          <w:sz w:val="24"/>
          <w:szCs w:val="24"/>
        </w:rPr>
        <w:t xml:space="preserve"> how early-career nurses and nurse educators perceive the long-term influence of technology-enhanced learning on real-world practice and patient care.</w:t>
      </w:r>
    </w:p>
    <w:p w14:paraId="312B6B2A" w14:textId="77777777" w:rsidR="007748AB" w:rsidRPr="007748AB" w:rsidRDefault="007748AB" w:rsidP="007748AB">
      <w:pPr>
        <w:numPr>
          <w:ilvl w:val="0"/>
          <w:numId w:val="9"/>
        </w:numPr>
        <w:spacing w:line="360" w:lineRule="auto"/>
        <w:rPr>
          <w:rFonts w:ascii="Arial" w:hAnsi="Arial" w:cs="Arial"/>
          <w:sz w:val="24"/>
          <w:szCs w:val="24"/>
        </w:rPr>
      </w:pPr>
      <w:r w:rsidRPr="007748AB">
        <w:rPr>
          <w:rFonts w:ascii="Arial" w:hAnsi="Arial" w:cs="Arial"/>
          <w:b/>
          <w:bCs/>
          <w:sz w:val="24"/>
          <w:szCs w:val="24"/>
        </w:rPr>
        <w:t>To generate recommendations</w:t>
      </w:r>
      <w:r w:rsidRPr="007748AB">
        <w:rPr>
          <w:rFonts w:ascii="Arial" w:hAnsi="Arial" w:cs="Arial"/>
          <w:sz w:val="24"/>
          <w:szCs w:val="24"/>
        </w:rPr>
        <w:t xml:space="preserve"> for integrating digital technologies in nursing curricula and clinical environments to support sustained clinical competence.</w:t>
      </w:r>
    </w:p>
    <w:p w14:paraId="69BAE8A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3742ADE8">
          <v:rect id="_x0000_i1187" style="width:0;height:1.5pt" o:hralign="center" o:hrstd="t" o:hr="t" fillcolor="#a0a0a0" stroked="f"/>
        </w:pict>
      </w:r>
    </w:p>
    <w:p w14:paraId="427CF416"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5. Research Questions and Hypotheses</w:t>
      </w:r>
    </w:p>
    <w:p w14:paraId="4EACD585"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5.1 Research Questions</w:t>
      </w:r>
    </w:p>
    <w:p w14:paraId="57882DE0" w14:textId="77777777" w:rsidR="007748AB" w:rsidRPr="007748AB" w:rsidRDefault="007748AB" w:rsidP="007748AB">
      <w:pPr>
        <w:numPr>
          <w:ilvl w:val="0"/>
          <w:numId w:val="10"/>
        </w:numPr>
        <w:spacing w:line="360" w:lineRule="auto"/>
        <w:rPr>
          <w:rFonts w:ascii="Arial" w:hAnsi="Arial" w:cs="Arial"/>
          <w:sz w:val="24"/>
          <w:szCs w:val="24"/>
        </w:rPr>
      </w:pPr>
      <w:r w:rsidRPr="007748AB">
        <w:rPr>
          <w:rFonts w:ascii="Arial" w:hAnsi="Arial" w:cs="Arial"/>
          <w:b/>
          <w:bCs/>
          <w:sz w:val="24"/>
          <w:szCs w:val="24"/>
        </w:rPr>
        <w:t>RQ1:</w:t>
      </w:r>
      <w:r w:rsidRPr="007748AB">
        <w:rPr>
          <w:rFonts w:ascii="Arial" w:hAnsi="Arial" w:cs="Arial"/>
          <w:sz w:val="24"/>
          <w:szCs w:val="24"/>
        </w:rPr>
        <w:t xml:space="preserve"> What types and levels of digital technologies did early-career nurses experience during their nursing education, and how frequently were these used?</w:t>
      </w:r>
    </w:p>
    <w:p w14:paraId="1E54CD0F" w14:textId="77777777" w:rsidR="007748AB" w:rsidRPr="007748AB" w:rsidRDefault="007748AB" w:rsidP="007748AB">
      <w:pPr>
        <w:numPr>
          <w:ilvl w:val="0"/>
          <w:numId w:val="10"/>
        </w:numPr>
        <w:spacing w:line="360" w:lineRule="auto"/>
        <w:rPr>
          <w:rFonts w:ascii="Arial" w:hAnsi="Arial" w:cs="Arial"/>
          <w:sz w:val="24"/>
          <w:szCs w:val="24"/>
        </w:rPr>
      </w:pPr>
      <w:r w:rsidRPr="007748AB">
        <w:rPr>
          <w:rFonts w:ascii="Arial" w:hAnsi="Arial" w:cs="Arial"/>
          <w:b/>
          <w:bCs/>
          <w:sz w:val="24"/>
          <w:szCs w:val="24"/>
        </w:rPr>
        <w:t>RQ2:</w:t>
      </w:r>
      <w:r w:rsidRPr="007748AB">
        <w:rPr>
          <w:rFonts w:ascii="Arial" w:hAnsi="Arial" w:cs="Arial"/>
          <w:sz w:val="24"/>
          <w:szCs w:val="24"/>
        </w:rPr>
        <w:t xml:space="preserve"> What is the current level of clinical competence among early-career nurses, and which competence domains are strongest or weakest?</w:t>
      </w:r>
    </w:p>
    <w:p w14:paraId="364B7465" w14:textId="77777777" w:rsidR="007748AB" w:rsidRPr="007748AB" w:rsidRDefault="007748AB" w:rsidP="007748AB">
      <w:pPr>
        <w:numPr>
          <w:ilvl w:val="0"/>
          <w:numId w:val="10"/>
        </w:numPr>
        <w:spacing w:line="360" w:lineRule="auto"/>
        <w:rPr>
          <w:rFonts w:ascii="Arial" w:hAnsi="Arial" w:cs="Arial"/>
          <w:sz w:val="24"/>
          <w:szCs w:val="24"/>
        </w:rPr>
      </w:pPr>
      <w:r w:rsidRPr="007748AB">
        <w:rPr>
          <w:rFonts w:ascii="Arial" w:hAnsi="Arial" w:cs="Arial"/>
          <w:b/>
          <w:bCs/>
          <w:sz w:val="24"/>
          <w:szCs w:val="24"/>
        </w:rPr>
        <w:t>RQ3:</w:t>
      </w:r>
      <w:r w:rsidRPr="007748AB">
        <w:rPr>
          <w:rFonts w:ascii="Arial" w:hAnsi="Arial" w:cs="Arial"/>
          <w:sz w:val="24"/>
          <w:szCs w:val="24"/>
        </w:rPr>
        <w:t xml:space="preserve"> What is the association between the extent of technology integration in education, digital literacy, technology acceptance, and clinical competence in practice?</w:t>
      </w:r>
    </w:p>
    <w:p w14:paraId="07BD0629" w14:textId="77777777" w:rsidR="007748AB" w:rsidRPr="007748AB" w:rsidRDefault="007748AB" w:rsidP="007748AB">
      <w:pPr>
        <w:numPr>
          <w:ilvl w:val="0"/>
          <w:numId w:val="10"/>
        </w:numPr>
        <w:spacing w:line="360" w:lineRule="auto"/>
        <w:rPr>
          <w:rFonts w:ascii="Arial" w:hAnsi="Arial" w:cs="Arial"/>
          <w:sz w:val="24"/>
          <w:szCs w:val="24"/>
        </w:rPr>
      </w:pPr>
      <w:r w:rsidRPr="007748AB">
        <w:rPr>
          <w:rFonts w:ascii="Arial" w:hAnsi="Arial" w:cs="Arial"/>
          <w:b/>
          <w:bCs/>
          <w:sz w:val="24"/>
          <w:szCs w:val="24"/>
        </w:rPr>
        <w:t>RQ4 (Qualitative):</w:t>
      </w:r>
      <w:r w:rsidRPr="007748AB">
        <w:rPr>
          <w:rFonts w:ascii="Arial" w:hAnsi="Arial" w:cs="Arial"/>
          <w:sz w:val="24"/>
          <w:szCs w:val="24"/>
        </w:rPr>
        <w:t xml:space="preserve"> How do early-career nurses and nurse educators describe the long-term impact of technology-enhanced learning on clinical reasoning, decision-making, and patient care?</w:t>
      </w:r>
    </w:p>
    <w:p w14:paraId="79A20099" w14:textId="77777777" w:rsidR="007748AB" w:rsidRPr="007748AB" w:rsidRDefault="007748AB" w:rsidP="007748AB">
      <w:pPr>
        <w:numPr>
          <w:ilvl w:val="0"/>
          <w:numId w:val="10"/>
        </w:numPr>
        <w:spacing w:line="360" w:lineRule="auto"/>
        <w:rPr>
          <w:rFonts w:ascii="Arial" w:hAnsi="Arial" w:cs="Arial"/>
          <w:sz w:val="24"/>
          <w:szCs w:val="24"/>
        </w:rPr>
      </w:pPr>
      <w:r w:rsidRPr="007748AB">
        <w:rPr>
          <w:rFonts w:ascii="Arial" w:hAnsi="Arial" w:cs="Arial"/>
          <w:b/>
          <w:bCs/>
          <w:sz w:val="24"/>
          <w:szCs w:val="24"/>
        </w:rPr>
        <w:lastRenderedPageBreak/>
        <w:t>RQ5 (Qualitative):</w:t>
      </w:r>
      <w:r w:rsidRPr="007748AB">
        <w:rPr>
          <w:rFonts w:ascii="Arial" w:hAnsi="Arial" w:cs="Arial"/>
          <w:sz w:val="24"/>
          <w:szCs w:val="24"/>
        </w:rPr>
        <w:t xml:space="preserve"> What contextual factors (e.g., organisational support, infrastructure, preceptorship) facilitate or hinder the transfer of technology-enhanced learning to clinical practice?</w:t>
      </w:r>
    </w:p>
    <w:p w14:paraId="56FDE62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5.2 Example Hypotheses (Quantitative Strand)</w:t>
      </w:r>
    </w:p>
    <w:p w14:paraId="6572D6F5" w14:textId="77777777" w:rsidR="007748AB" w:rsidRPr="007748AB" w:rsidRDefault="007748AB" w:rsidP="007748AB">
      <w:pPr>
        <w:numPr>
          <w:ilvl w:val="0"/>
          <w:numId w:val="11"/>
        </w:numPr>
        <w:spacing w:line="360" w:lineRule="auto"/>
        <w:rPr>
          <w:rFonts w:ascii="Arial" w:hAnsi="Arial" w:cs="Arial"/>
          <w:sz w:val="24"/>
          <w:szCs w:val="24"/>
        </w:rPr>
      </w:pPr>
      <w:r w:rsidRPr="007748AB">
        <w:rPr>
          <w:rFonts w:ascii="Arial" w:hAnsi="Arial" w:cs="Arial"/>
          <w:b/>
          <w:bCs/>
          <w:sz w:val="24"/>
          <w:szCs w:val="24"/>
        </w:rPr>
        <w:t>H1:</w:t>
      </w:r>
      <w:r w:rsidRPr="007748AB">
        <w:rPr>
          <w:rFonts w:ascii="Arial" w:hAnsi="Arial" w:cs="Arial"/>
          <w:sz w:val="24"/>
          <w:szCs w:val="24"/>
        </w:rPr>
        <w:t xml:space="preserve"> Higher exposure to technology-enhanced learning (e.g., simulation hours, VR use, online modules) during education is positively associated with higher clinical competence scores among early-career nurses.</w:t>
      </w:r>
    </w:p>
    <w:p w14:paraId="01AD53B8" w14:textId="77777777" w:rsidR="007748AB" w:rsidRPr="007748AB" w:rsidRDefault="007748AB" w:rsidP="007748AB">
      <w:pPr>
        <w:numPr>
          <w:ilvl w:val="0"/>
          <w:numId w:val="11"/>
        </w:numPr>
        <w:spacing w:line="360" w:lineRule="auto"/>
        <w:rPr>
          <w:rFonts w:ascii="Arial" w:hAnsi="Arial" w:cs="Arial"/>
          <w:sz w:val="24"/>
          <w:szCs w:val="24"/>
        </w:rPr>
      </w:pPr>
      <w:r w:rsidRPr="007748AB">
        <w:rPr>
          <w:rFonts w:ascii="Arial" w:hAnsi="Arial" w:cs="Arial"/>
          <w:b/>
          <w:bCs/>
          <w:sz w:val="24"/>
          <w:szCs w:val="24"/>
        </w:rPr>
        <w:t>H2:</w:t>
      </w:r>
      <w:r w:rsidRPr="007748AB">
        <w:rPr>
          <w:rFonts w:ascii="Arial" w:hAnsi="Arial" w:cs="Arial"/>
          <w:sz w:val="24"/>
          <w:szCs w:val="24"/>
        </w:rPr>
        <w:t xml:space="preserve"> Digital literacy mediates the relationship between exposure to technology-enhanced learning and clinical competence.</w:t>
      </w:r>
    </w:p>
    <w:p w14:paraId="71715DBB" w14:textId="77777777" w:rsidR="007748AB" w:rsidRPr="007748AB" w:rsidRDefault="007748AB" w:rsidP="007748AB">
      <w:pPr>
        <w:numPr>
          <w:ilvl w:val="0"/>
          <w:numId w:val="11"/>
        </w:numPr>
        <w:spacing w:line="360" w:lineRule="auto"/>
        <w:rPr>
          <w:rFonts w:ascii="Arial" w:hAnsi="Arial" w:cs="Arial"/>
          <w:sz w:val="24"/>
          <w:szCs w:val="24"/>
        </w:rPr>
      </w:pPr>
      <w:r w:rsidRPr="007748AB">
        <w:rPr>
          <w:rFonts w:ascii="Arial" w:hAnsi="Arial" w:cs="Arial"/>
          <w:b/>
          <w:bCs/>
          <w:sz w:val="24"/>
          <w:szCs w:val="24"/>
        </w:rPr>
        <w:t>H3:</w:t>
      </w:r>
      <w:r w:rsidRPr="007748AB">
        <w:rPr>
          <w:rFonts w:ascii="Arial" w:hAnsi="Arial" w:cs="Arial"/>
          <w:sz w:val="24"/>
          <w:szCs w:val="24"/>
        </w:rPr>
        <w:t xml:space="preserve"> Perceived usefulness and ease of use of digital technologies (technology acceptance) are positively associated with clinical competence in practice.</w:t>
      </w:r>
    </w:p>
    <w:p w14:paraId="2525CF5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1416789F">
          <v:rect id="_x0000_i1188" style="width:0;height:1.5pt" o:hralign="center" o:hrstd="t" o:hr="t" fillcolor="#a0a0a0" stroked="f"/>
        </w:pict>
      </w:r>
    </w:p>
    <w:p w14:paraId="3690FA1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6. Significance of the Study</w:t>
      </w:r>
    </w:p>
    <w:p w14:paraId="72D69C31" w14:textId="77777777" w:rsidR="007748AB" w:rsidRPr="007748AB" w:rsidRDefault="007748AB" w:rsidP="007748AB">
      <w:pPr>
        <w:numPr>
          <w:ilvl w:val="0"/>
          <w:numId w:val="12"/>
        </w:numPr>
        <w:spacing w:line="360" w:lineRule="auto"/>
        <w:rPr>
          <w:rFonts w:ascii="Arial" w:hAnsi="Arial" w:cs="Arial"/>
          <w:sz w:val="24"/>
          <w:szCs w:val="24"/>
        </w:rPr>
      </w:pPr>
      <w:r w:rsidRPr="007748AB">
        <w:rPr>
          <w:rFonts w:ascii="Arial" w:hAnsi="Arial" w:cs="Arial"/>
          <w:b/>
          <w:bCs/>
          <w:sz w:val="24"/>
          <w:szCs w:val="24"/>
        </w:rPr>
        <w:t>Educational significance:</w:t>
      </w:r>
      <w:r w:rsidRPr="007748AB">
        <w:rPr>
          <w:rFonts w:ascii="Arial" w:hAnsi="Arial" w:cs="Arial"/>
          <w:sz w:val="24"/>
          <w:szCs w:val="24"/>
        </w:rPr>
        <w:t xml:space="preserve"> Provides empirical evidence on which technology-enhanced strategies in pre-registration nursing education are most strongly associated with sustained competence in practice, informing curriculum and simulation design. </w:t>
      </w:r>
      <w:hyperlink r:id="rId39" w:tgtFrame="_blank" w:history="1">
        <w:r w:rsidRPr="007748AB">
          <w:rPr>
            <w:rStyle w:val="Hyperlink"/>
            <w:rFonts w:ascii="Arial" w:hAnsi="Arial" w:cs="Arial"/>
            <w:sz w:val="24"/>
            <w:szCs w:val="24"/>
          </w:rPr>
          <w:t>PubMed+2PubMed+2</w:t>
        </w:r>
      </w:hyperlink>
    </w:p>
    <w:p w14:paraId="2E32F638" w14:textId="77777777" w:rsidR="007748AB" w:rsidRPr="007748AB" w:rsidRDefault="007748AB" w:rsidP="007748AB">
      <w:pPr>
        <w:numPr>
          <w:ilvl w:val="0"/>
          <w:numId w:val="12"/>
        </w:numPr>
        <w:spacing w:line="360" w:lineRule="auto"/>
        <w:rPr>
          <w:rFonts w:ascii="Arial" w:hAnsi="Arial" w:cs="Arial"/>
          <w:sz w:val="24"/>
          <w:szCs w:val="24"/>
        </w:rPr>
      </w:pPr>
      <w:r w:rsidRPr="007748AB">
        <w:rPr>
          <w:rFonts w:ascii="Arial" w:hAnsi="Arial" w:cs="Arial"/>
          <w:b/>
          <w:bCs/>
          <w:sz w:val="24"/>
          <w:szCs w:val="24"/>
        </w:rPr>
        <w:t>Practice significance:</w:t>
      </w:r>
      <w:r w:rsidRPr="007748AB">
        <w:rPr>
          <w:rFonts w:ascii="Arial" w:hAnsi="Arial" w:cs="Arial"/>
          <w:sz w:val="24"/>
          <w:szCs w:val="24"/>
        </w:rPr>
        <w:t xml:space="preserve"> Illuminates how early-career nurses apply digitally mediated learning to clinical reasoning, communication, documentation, and patient safety in real clinical environments. </w:t>
      </w:r>
      <w:hyperlink r:id="rId40" w:tgtFrame="_blank" w:history="1">
        <w:r w:rsidRPr="007748AB">
          <w:rPr>
            <w:rStyle w:val="Hyperlink"/>
            <w:rFonts w:ascii="Arial" w:hAnsi="Arial" w:cs="Arial"/>
            <w:sz w:val="24"/>
            <w:szCs w:val="24"/>
          </w:rPr>
          <w:t>HL Prod CA OC Download+1</w:t>
        </w:r>
      </w:hyperlink>
    </w:p>
    <w:p w14:paraId="741C83E7" w14:textId="77777777" w:rsidR="007748AB" w:rsidRPr="007748AB" w:rsidRDefault="007748AB" w:rsidP="007748AB">
      <w:pPr>
        <w:numPr>
          <w:ilvl w:val="0"/>
          <w:numId w:val="12"/>
        </w:numPr>
        <w:spacing w:line="360" w:lineRule="auto"/>
        <w:rPr>
          <w:rFonts w:ascii="Arial" w:hAnsi="Arial" w:cs="Arial"/>
          <w:sz w:val="24"/>
          <w:szCs w:val="24"/>
        </w:rPr>
      </w:pPr>
      <w:r w:rsidRPr="007748AB">
        <w:rPr>
          <w:rFonts w:ascii="Arial" w:hAnsi="Arial" w:cs="Arial"/>
          <w:b/>
          <w:bCs/>
          <w:sz w:val="24"/>
          <w:szCs w:val="24"/>
        </w:rPr>
        <w:t>Policy significance:</w:t>
      </w:r>
      <w:r w:rsidRPr="007748AB">
        <w:rPr>
          <w:rFonts w:ascii="Arial" w:hAnsi="Arial" w:cs="Arial"/>
          <w:sz w:val="24"/>
          <w:szCs w:val="24"/>
        </w:rPr>
        <w:t xml:space="preserve"> Supports implementation of digital health and informatics competencies recommended by ICN and national bodies with outcome-based evidence. </w:t>
      </w:r>
      <w:hyperlink r:id="rId41" w:tgtFrame="_blank" w:history="1">
        <w:r w:rsidRPr="007748AB">
          <w:rPr>
            <w:rStyle w:val="Hyperlink"/>
            <w:rFonts w:ascii="Arial" w:hAnsi="Arial" w:cs="Arial"/>
            <w:sz w:val="24"/>
            <w:szCs w:val="24"/>
          </w:rPr>
          <w:t>ICN - International Council of Nurses+1</w:t>
        </w:r>
      </w:hyperlink>
    </w:p>
    <w:p w14:paraId="04FD32A7" w14:textId="77777777" w:rsidR="007748AB" w:rsidRPr="007748AB" w:rsidRDefault="007748AB" w:rsidP="007748AB">
      <w:pPr>
        <w:numPr>
          <w:ilvl w:val="0"/>
          <w:numId w:val="12"/>
        </w:numPr>
        <w:spacing w:line="360" w:lineRule="auto"/>
        <w:rPr>
          <w:rFonts w:ascii="Arial" w:hAnsi="Arial" w:cs="Arial"/>
          <w:sz w:val="24"/>
          <w:szCs w:val="24"/>
        </w:rPr>
      </w:pPr>
      <w:r w:rsidRPr="007748AB">
        <w:rPr>
          <w:rFonts w:ascii="Arial" w:hAnsi="Arial" w:cs="Arial"/>
          <w:b/>
          <w:bCs/>
          <w:sz w:val="24"/>
          <w:szCs w:val="24"/>
        </w:rPr>
        <w:t>Research significance:</w:t>
      </w:r>
      <w:r w:rsidRPr="007748AB">
        <w:rPr>
          <w:rFonts w:ascii="Arial" w:hAnsi="Arial" w:cs="Arial"/>
          <w:sz w:val="24"/>
          <w:szCs w:val="24"/>
        </w:rPr>
        <w:t xml:space="preserve"> Addresses a major gap by combining longitudinal, quantitative competence data with qualitative accounts of transfer of learning in a mixed-methods design.</w:t>
      </w:r>
    </w:p>
    <w:p w14:paraId="008CDC5B"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3D1E2F59">
          <v:rect id="_x0000_i1189" style="width:0;height:1.5pt" o:hralign="center" o:hrstd="t" o:hr="t" fillcolor="#a0a0a0" stroked="f"/>
        </w:pict>
      </w:r>
    </w:p>
    <w:p w14:paraId="36EE3E90"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lastRenderedPageBreak/>
        <w:t>7. Scope and Delimitations</w:t>
      </w:r>
    </w:p>
    <w:p w14:paraId="6CE2FA4B" w14:textId="77777777" w:rsidR="007748AB" w:rsidRPr="007748AB" w:rsidRDefault="007748AB" w:rsidP="007748AB">
      <w:pPr>
        <w:numPr>
          <w:ilvl w:val="0"/>
          <w:numId w:val="13"/>
        </w:numPr>
        <w:spacing w:line="360" w:lineRule="auto"/>
        <w:rPr>
          <w:rFonts w:ascii="Arial" w:hAnsi="Arial" w:cs="Arial"/>
          <w:sz w:val="24"/>
          <w:szCs w:val="24"/>
        </w:rPr>
      </w:pPr>
      <w:r w:rsidRPr="007748AB">
        <w:rPr>
          <w:rFonts w:ascii="Arial" w:hAnsi="Arial" w:cs="Arial"/>
          <w:b/>
          <w:bCs/>
          <w:sz w:val="24"/>
          <w:szCs w:val="24"/>
        </w:rPr>
        <w:t>Scope:</w:t>
      </w:r>
    </w:p>
    <w:p w14:paraId="5AA90EB3" w14:textId="77777777" w:rsidR="007748AB" w:rsidRPr="007748AB" w:rsidRDefault="007748AB" w:rsidP="007748AB">
      <w:pPr>
        <w:numPr>
          <w:ilvl w:val="1"/>
          <w:numId w:val="13"/>
        </w:numPr>
        <w:spacing w:line="360" w:lineRule="auto"/>
        <w:rPr>
          <w:rFonts w:ascii="Arial" w:hAnsi="Arial" w:cs="Arial"/>
          <w:sz w:val="24"/>
          <w:szCs w:val="24"/>
        </w:rPr>
      </w:pPr>
      <w:r w:rsidRPr="007748AB">
        <w:rPr>
          <w:rFonts w:ascii="Arial" w:hAnsi="Arial" w:cs="Arial"/>
          <w:sz w:val="24"/>
          <w:szCs w:val="24"/>
        </w:rPr>
        <w:t>Early-career registered nurses (e.g., within 1–3 years of graduation) working in selected hospitals or primary care settings.</w:t>
      </w:r>
    </w:p>
    <w:p w14:paraId="22A5C1D2" w14:textId="77777777" w:rsidR="007748AB" w:rsidRPr="007748AB" w:rsidRDefault="007748AB" w:rsidP="007748AB">
      <w:pPr>
        <w:numPr>
          <w:ilvl w:val="1"/>
          <w:numId w:val="13"/>
        </w:numPr>
        <w:spacing w:line="360" w:lineRule="auto"/>
        <w:rPr>
          <w:rFonts w:ascii="Arial" w:hAnsi="Arial" w:cs="Arial"/>
          <w:sz w:val="24"/>
          <w:szCs w:val="24"/>
        </w:rPr>
      </w:pPr>
      <w:r w:rsidRPr="007748AB">
        <w:rPr>
          <w:rFonts w:ascii="Arial" w:hAnsi="Arial" w:cs="Arial"/>
          <w:sz w:val="24"/>
          <w:szCs w:val="24"/>
        </w:rPr>
        <w:t>Focus on pre-registration technology-enhanced learning and its perceived/measured impact on current competence in practice.</w:t>
      </w:r>
    </w:p>
    <w:p w14:paraId="4C095221" w14:textId="77777777" w:rsidR="007748AB" w:rsidRPr="007748AB" w:rsidRDefault="007748AB" w:rsidP="007748AB">
      <w:pPr>
        <w:numPr>
          <w:ilvl w:val="0"/>
          <w:numId w:val="13"/>
        </w:numPr>
        <w:spacing w:line="360" w:lineRule="auto"/>
        <w:rPr>
          <w:rFonts w:ascii="Arial" w:hAnsi="Arial" w:cs="Arial"/>
          <w:sz w:val="24"/>
          <w:szCs w:val="24"/>
        </w:rPr>
      </w:pPr>
      <w:r w:rsidRPr="007748AB">
        <w:rPr>
          <w:rFonts w:ascii="Arial" w:hAnsi="Arial" w:cs="Arial"/>
          <w:b/>
          <w:bCs/>
          <w:sz w:val="24"/>
          <w:szCs w:val="24"/>
        </w:rPr>
        <w:t>Delimitations (set by the researcher):</w:t>
      </w:r>
    </w:p>
    <w:p w14:paraId="1CA0A8B6" w14:textId="77777777" w:rsidR="007748AB" w:rsidRPr="007748AB" w:rsidRDefault="007748AB" w:rsidP="007748AB">
      <w:pPr>
        <w:numPr>
          <w:ilvl w:val="1"/>
          <w:numId w:val="13"/>
        </w:numPr>
        <w:spacing w:line="360" w:lineRule="auto"/>
        <w:rPr>
          <w:rFonts w:ascii="Arial" w:hAnsi="Arial" w:cs="Arial"/>
          <w:sz w:val="24"/>
          <w:szCs w:val="24"/>
        </w:rPr>
      </w:pPr>
      <w:r w:rsidRPr="007748AB">
        <w:rPr>
          <w:rFonts w:ascii="Arial" w:hAnsi="Arial" w:cs="Arial"/>
          <w:sz w:val="24"/>
          <w:szCs w:val="24"/>
        </w:rPr>
        <w:t>The study will not formally measure patient outcomes; competence is assessed through self-report scales and structured assessments rather than clinical outcome data.</w:t>
      </w:r>
    </w:p>
    <w:p w14:paraId="5A751719" w14:textId="77777777" w:rsidR="007748AB" w:rsidRPr="007748AB" w:rsidRDefault="007748AB" w:rsidP="007748AB">
      <w:pPr>
        <w:numPr>
          <w:ilvl w:val="1"/>
          <w:numId w:val="13"/>
        </w:numPr>
        <w:spacing w:line="360" w:lineRule="auto"/>
        <w:rPr>
          <w:rFonts w:ascii="Arial" w:hAnsi="Arial" w:cs="Arial"/>
          <w:sz w:val="24"/>
          <w:szCs w:val="24"/>
        </w:rPr>
      </w:pPr>
      <w:r w:rsidRPr="007748AB">
        <w:rPr>
          <w:rFonts w:ascii="Arial" w:hAnsi="Arial" w:cs="Arial"/>
          <w:sz w:val="24"/>
          <w:szCs w:val="24"/>
        </w:rPr>
        <w:t>The study will focus on nurses educated under curricula that already incorporated at least some digital technologies (e.g., simulation, e-learning), not purely traditional programmes.</w:t>
      </w:r>
    </w:p>
    <w:p w14:paraId="5903F0C6" w14:textId="77777777" w:rsidR="007748AB" w:rsidRPr="007748AB" w:rsidRDefault="007748AB" w:rsidP="007748AB">
      <w:pPr>
        <w:numPr>
          <w:ilvl w:val="1"/>
          <w:numId w:val="13"/>
        </w:numPr>
        <w:spacing w:line="360" w:lineRule="auto"/>
        <w:rPr>
          <w:rFonts w:ascii="Arial" w:hAnsi="Arial" w:cs="Arial"/>
          <w:sz w:val="24"/>
          <w:szCs w:val="24"/>
        </w:rPr>
      </w:pPr>
      <w:r w:rsidRPr="007748AB">
        <w:rPr>
          <w:rFonts w:ascii="Arial" w:hAnsi="Arial" w:cs="Arial"/>
          <w:sz w:val="24"/>
          <w:szCs w:val="24"/>
        </w:rPr>
        <w:t>Only nurses who use some form of digital technology in current practice (EHRs, digital documentation, etc.) will be included.</w:t>
      </w:r>
    </w:p>
    <w:p w14:paraId="0738BBD7"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4A0B3D07">
          <v:rect id="_x0000_i1190" style="width:0;height:1.5pt" o:hralign="center" o:hrstd="t" o:hr="t" fillcolor="#a0a0a0" stroked="f"/>
        </w:pict>
      </w:r>
    </w:p>
    <w:p w14:paraId="268AEDC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8. Theoretical and Conceptual Framework</w:t>
      </w:r>
    </w:p>
    <w:p w14:paraId="3AD036B2"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The study draws on two main frameworks:</w:t>
      </w:r>
    </w:p>
    <w:p w14:paraId="60CF10DF" w14:textId="77777777" w:rsidR="007748AB" w:rsidRPr="007748AB" w:rsidRDefault="007748AB" w:rsidP="007748AB">
      <w:pPr>
        <w:numPr>
          <w:ilvl w:val="0"/>
          <w:numId w:val="14"/>
        </w:numPr>
        <w:spacing w:line="360" w:lineRule="auto"/>
        <w:rPr>
          <w:rFonts w:ascii="Arial" w:hAnsi="Arial" w:cs="Arial"/>
          <w:sz w:val="24"/>
          <w:szCs w:val="24"/>
        </w:rPr>
      </w:pPr>
      <w:r w:rsidRPr="007748AB">
        <w:rPr>
          <w:rFonts w:ascii="Arial" w:hAnsi="Arial" w:cs="Arial"/>
          <w:b/>
          <w:bCs/>
          <w:sz w:val="24"/>
          <w:szCs w:val="24"/>
        </w:rPr>
        <w:t>Technology Acceptance Model (TAM)</w:t>
      </w:r>
      <w:r w:rsidRPr="007748AB">
        <w:rPr>
          <w:rFonts w:ascii="Arial" w:hAnsi="Arial" w:cs="Arial"/>
          <w:sz w:val="24"/>
          <w:szCs w:val="24"/>
        </w:rPr>
        <w:t xml:space="preserve"> – Perceived usefulness and perceived ease of use influence attitudes, intention, and actual use of technology. TAM has been successfully applied to e-learning adoption in nursing and other health-profession education. </w:t>
      </w:r>
      <w:hyperlink r:id="rId42" w:tgtFrame="_blank" w:history="1">
        <w:r w:rsidRPr="007748AB">
          <w:rPr>
            <w:rStyle w:val="Hyperlink"/>
            <w:rFonts w:ascii="Arial" w:hAnsi="Arial" w:cs="Arial"/>
            <w:sz w:val="24"/>
            <w:szCs w:val="24"/>
          </w:rPr>
          <w:t>Nature+3Frontiers+3ResearchGate+3</w:t>
        </w:r>
      </w:hyperlink>
    </w:p>
    <w:p w14:paraId="02C71C6C" w14:textId="77777777" w:rsidR="007748AB" w:rsidRPr="007748AB" w:rsidRDefault="007748AB" w:rsidP="007748AB">
      <w:pPr>
        <w:numPr>
          <w:ilvl w:val="0"/>
          <w:numId w:val="14"/>
        </w:numPr>
        <w:spacing w:line="360" w:lineRule="auto"/>
        <w:rPr>
          <w:rFonts w:ascii="Arial" w:hAnsi="Arial" w:cs="Arial"/>
          <w:sz w:val="24"/>
          <w:szCs w:val="24"/>
        </w:rPr>
      </w:pPr>
      <w:r w:rsidRPr="007748AB">
        <w:rPr>
          <w:rFonts w:ascii="Arial" w:hAnsi="Arial" w:cs="Arial"/>
          <w:b/>
          <w:bCs/>
          <w:sz w:val="24"/>
          <w:szCs w:val="24"/>
        </w:rPr>
        <w:t>Nursing Informatics/Digital Competence Frameworks</w:t>
      </w:r>
      <w:r w:rsidRPr="007748AB">
        <w:rPr>
          <w:rFonts w:ascii="Arial" w:hAnsi="Arial" w:cs="Arial"/>
          <w:sz w:val="24"/>
          <w:szCs w:val="24"/>
        </w:rPr>
        <w:t xml:space="preserve"> – Such as the CASN Nursing Informatics Entry-to-Practice Competencies and digital health capability models, which identify domains like information and data literacy, communication, and professional responsibility in digital environments. </w:t>
      </w:r>
      <w:hyperlink r:id="rId43" w:tgtFrame="_blank" w:history="1">
        <w:r w:rsidRPr="007748AB">
          <w:rPr>
            <w:rStyle w:val="Hyperlink"/>
            <w:rFonts w:ascii="Arial" w:hAnsi="Arial" w:cs="Arial"/>
            <w:sz w:val="24"/>
            <w:szCs w:val="24"/>
          </w:rPr>
          <w:t>CASN+1</w:t>
        </w:r>
      </w:hyperlink>
    </w:p>
    <w:p w14:paraId="2B9A13CF"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lastRenderedPageBreak/>
        <w:t>Conceptual Model (simplified)</w:t>
      </w:r>
    </w:p>
    <w:p w14:paraId="50F6A4FF" w14:textId="77777777" w:rsidR="007748AB" w:rsidRPr="007748AB" w:rsidRDefault="007748AB" w:rsidP="007748AB">
      <w:pPr>
        <w:numPr>
          <w:ilvl w:val="0"/>
          <w:numId w:val="15"/>
        </w:numPr>
        <w:spacing w:line="360" w:lineRule="auto"/>
        <w:rPr>
          <w:rFonts w:ascii="Arial" w:hAnsi="Arial" w:cs="Arial"/>
          <w:sz w:val="24"/>
          <w:szCs w:val="24"/>
        </w:rPr>
      </w:pPr>
      <w:r w:rsidRPr="007748AB">
        <w:rPr>
          <w:rFonts w:ascii="Arial" w:hAnsi="Arial" w:cs="Arial"/>
          <w:b/>
          <w:bCs/>
          <w:sz w:val="24"/>
          <w:szCs w:val="24"/>
        </w:rPr>
        <w:t>Inputs during education:</w:t>
      </w:r>
    </w:p>
    <w:p w14:paraId="2124AF58"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Intensity and quality of technology integration (simulation, VR, online modules, EHR training).</w:t>
      </w:r>
    </w:p>
    <w:p w14:paraId="17677B3E"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Digital literacy development opportunities.</w:t>
      </w:r>
    </w:p>
    <w:p w14:paraId="77EFBCCE" w14:textId="77777777" w:rsidR="007748AB" w:rsidRPr="007748AB" w:rsidRDefault="007748AB" w:rsidP="007748AB">
      <w:pPr>
        <w:numPr>
          <w:ilvl w:val="0"/>
          <w:numId w:val="15"/>
        </w:numPr>
        <w:spacing w:line="360" w:lineRule="auto"/>
        <w:rPr>
          <w:rFonts w:ascii="Arial" w:hAnsi="Arial" w:cs="Arial"/>
          <w:sz w:val="24"/>
          <w:szCs w:val="24"/>
        </w:rPr>
      </w:pPr>
      <w:r w:rsidRPr="007748AB">
        <w:rPr>
          <w:rFonts w:ascii="Arial" w:hAnsi="Arial" w:cs="Arial"/>
          <w:b/>
          <w:bCs/>
          <w:sz w:val="24"/>
          <w:szCs w:val="24"/>
        </w:rPr>
        <w:t>Mediators/moderators:</w:t>
      </w:r>
    </w:p>
    <w:p w14:paraId="432B2F62"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Individual digital literacy.</w:t>
      </w:r>
    </w:p>
    <w:p w14:paraId="6AC5A8E0"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Technology acceptance (perceived usefulness, ease of use).</w:t>
      </w:r>
    </w:p>
    <w:p w14:paraId="3BEC9741"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Organisational support and digital infrastructure in practice settings.</w:t>
      </w:r>
    </w:p>
    <w:p w14:paraId="7E737871" w14:textId="77777777" w:rsidR="007748AB" w:rsidRPr="007748AB" w:rsidRDefault="007748AB" w:rsidP="007748AB">
      <w:pPr>
        <w:numPr>
          <w:ilvl w:val="0"/>
          <w:numId w:val="15"/>
        </w:numPr>
        <w:spacing w:line="360" w:lineRule="auto"/>
        <w:rPr>
          <w:rFonts w:ascii="Arial" w:hAnsi="Arial" w:cs="Arial"/>
          <w:sz w:val="24"/>
          <w:szCs w:val="24"/>
        </w:rPr>
      </w:pPr>
      <w:r w:rsidRPr="007748AB">
        <w:rPr>
          <w:rFonts w:ascii="Arial" w:hAnsi="Arial" w:cs="Arial"/>
          <w:b/>
          <w:bCs/>
          <w:sz w:val="24"/>
          <w:szCs w:val="24"/>
        </w:rPr>
        <w:t>Outcomes (in practice):</w:t>
      </w:r>
    </w:p>
    <w:p w14:paraId="2EE09378"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Clinical competence (knowledge, technical skills, clinical reasoning, communication, documentation, patient safety behaviours).</w:t>
      </w:r>
    </w:p>
    <w:p w14:paraId="7886255A" w14:textId="77777777" w:rsidR="007748AB" w:rsidRPr="007748AB" w:rsidRDefault="007748AB" w:rsidP="007748AB">
      <w:pPr>
        <w:numPr>
          <w:ilvl w:val="1"/>
          <w:numId w:val="15"/>
        </w:numPr>
        <w:spacing w:line="360" w:lineRule="auto"/>
        <w:rPr>
          <w:rFonts w:ascii="Arial" w:hAnsi="Arial" w:cs="Arial"/>
          <w:sz w:val="24"/>
          <w:szCs w:val="24"/>
        </w:rPr>
      </w:pPr>
      <w:r w:rsidRPr="007748AB">
        <w:rPr>
          <w:rFonts w:ascii="Arial" w:hAnsi="Arial" w:cs="Arial"/>
          <w:sz w:val="24"/>
          <w:szCs w:val="24"/>
        </w:rPr>
        <w:t>Perceived ability to function in digitally enabled care environments.</w:t>
      </w:r>
    </w:p>
    <w:p w14:paraId="4D53E7D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2C310B43">
          <v:rect id="_x0000_i1191" style="width:0;height:1.5pt" o:hralign="center" o:hrstd="t" o:hr="t" fillcolor="#a0a0a0" stroked="f"/>
        </w:pict>
      </w:r>
    </w:p>
    <w:p w14:paraId="26F18CDB"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 Methodology</w:t>
      </w:r>
    </w:p>
    <w:p w14:paraId="1BB5630F"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9.1 Study Design</w:t>
      </w:r>
    </w:p>
    <w:p w14:paraId="18A6047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An </w:t>
      </w:r>
      <w:r w:rsidRPr="007748AB">
        <w:rPr>
          <w:rFonts w:ascii="Arial" w:hAnsi="Arial" w:cs="Arial"/>
          <w:b/>
          <w:bCs/>
          <w:sz w:val="24"/>
          <w:szCs w:val="24"/>
        </w:rPr>
        <w:t>explanatory sequential mixed-methods design</w:t>
      </w:r>
      <w:r w:rsidRPr="007748AB">
        <w:rPr>
          <w:rFonts w:ascii="Arial" w:hAnsi="Arial" w:cs="Arial"/>
          <w:sz w:val="24"/>
          <w:szCs w:val="24"/>
        </w:rPr>
        <w:t xml:space="preserve"> will be used:</w:t>
      </w:r>
    </w:p>
    <w:p w14:paraId="34058CFD" w14:textId="77777777" w:rsidR="007748AB" w:rsidRPr="007748AB" w:rsidRDefault="007748AB" w:rsidP="007748AB">
      <w:pPr>
        <w:numPr>
          <w:ilvl w:val="0"/>
          <w:numId w:val="16"/>
        </w:numPr>
        <w:spacing w:line="360" w:lineRule="auto"/>
        <w:rPr>
          <w:rFonts w:ascii="Arial" w:hAnsi="Arial" w:cs="Arial"/>
          <w:sz w:val="24"/>
          <w:szCs w:val="24"/>
        </w:rPr>
      </w:pPr>
      <w:r w:rsidRPr="007748AB">
        <w:rPr>
          <w:rFonts w:ascii="Arial" w:hAnsi="Arial" w:cs="Arial"/>
          <w:b/>
          <w:bCs/>
          <w:sz w:val="24"/>
          <w:szCs w:val="24"/>
        </w:rPr>
        <w:t>Phase 1 – Quantitative:</w:t>
      </w:r>
    </w:p>
    <w:p w14:paraId="53FE9E40" w14:textId="77777777" w:rsidR="007748AB" w:rsidRPr="007748AB" w:rsidRDefault="007748AB" w:rsidP="007748AB">
      <w:pPr>
        <w:numPr>
          <w:ilvl w:val="1"/>
          <w:numId w:val="16"/>
        </w:numPr>
        <w:spacing w:line="360" w:lineRule="auto"/>
        <w:rPr>
          <w:rFonts w:ascii="Arial" w:hAnsi="Arial" w:cs="Arial"/>
          <w:sz w:val="24"/>
          <w:szCs w:val="24"/>
        </w:rPr>
      </w:pPr>
      <w:r w:rsidRPr="007748AB">
        <w:rPr>
          <w:rFonts w:ascii="Arial" w:hAnsi="Arial" w:cs="Arial"/>
          <w:sz w:val="24"/>
          <w:szCs w:val="24"/>
        </w:rPr>
        <w:t>Survey of early-career nurses to measure:</w:t>
      </w:r>
    </w:p>
    <w:p w14:paraId="6A09DD02" w14:textId="77777777" w:rsidR="007748AB" w:rsidRPr="007748AB" w:rsidRDefault="007748AB" w:rsidP="007748AB">
      <w:pPr>
        <w:numPr>
          <w:ilvl w:val="2"/>
          <w:numId w:val="16"/>
        </w:numPr>
        <w:spacing w:line="360" w:lineRule="auto"/>
        <w:rPr>
          <w:rFonts w:ascii="Arial" w:hAnsi="Arial" w:cs="Arial"/>
          <w:sz w:val="24"/>
          <w:szCs w:val="24"/>
        </w:rPr>
      </w:pPr>
      <w:r w:rsidRPr="007748AB">
        <w:rPr>
          <w:rFonts w:ascii="Arial" w:hAnsi="Arial" w:cs="Arial"/>
          <w:sz w:val="24"/>
          <w:szCs w:val="24"/>
        </w:rPr>
        <w:t>Exposure to technology-enhanced education.</w:t>
      </w:r>
    </w:p>
    <w:p w14:paraId="177074D0" w14:textId="77777777" w:rsidR="007748AB" w:rsidRPr="007748AB" w:rsidRDefault="007748AB" w:rsidP="007748AB">
      <w:pPr>
        <w:numPr>
          <w:ilvl w:val="2"/>
          <w:numId w:val="16"/>
        </w:numPr>
        <w:spacing w:line="360" w:lineRule="auto"/>
        <w:rPr>
          <w:rFonts w:ascii="Arial" w:hAnsi="Arial" w:cs="Arial"/>
          <w:sz w:val="24"/>
          <w:szCs w:val="24"/>
        </w:rPr>
      </w:pPr>
      <w:r w:rsidRPr="007748AB">
        <w:rPr>
          <w:rFonts w:ascii="Arial" w:hAnsi="Arial" w:cs="Arial"/>
          <w:sz w:val="24"/>
          <w:szCs w:val="24"/>
        </w:rPr>
        <w:t>Digital literacy and technology acceptance.</w:t>
      </w:r>
    </w:p>
    <w:p w14:paraId="503E164B" w14:textId="77777777" w:rsidR="007748AB" w:rsidRPr="007748AB" w:rsidRDefault="007748AB" w:rsidP="007748AB">
      <w:pPr>
        <w:numPr>
          <w:ilvl w:val="2"/>
          <w:numId w:val="16"/>
        </w:numPr>
        <w:spacing w:line="360" w:lineRule="auto"/>
        <w:rPr>
          <w:rFonts w:ascii="Arial" w:hAnsi="Arial" w:cs="Arial"/>
          <w:sz w:val="24"/>
          <w:szCs w:val="24"/>
        </w:rPr>
      </w:pPr>
      <w:r w:rsidRPr="007748AB">
        <w:rPr>
          <w:rFonts w:ascii="Arial" w:hAnsi="Arial" w:cs="Arial"/>
          <w:sz w:val="24"/>
          <w:szCs w:val="24"/>
        </w:rPr>
        <w:t>Current clinical competence.</w:t>
      </w:r>
    </w:p>
    <w:p w14:paraId="78EA2711" w14:textId="77777777" w:rsidR="007748AB" w:rsidRPr="007748AB" w:rsidRDefault="007748AB" w:rsidP="007748AB">
      <w:pPr>
        <w:numPr>
          <w:ilvl w:val="0"/>
          <w:numId w:val="16"/>
        </w:numPr>
        <w:spacing w:line="360" w:lineRule="auto"/>
        <w:rPr>
          <w:rFonts w:ascii="Arial" w:hAnsi="Arial" w:cs="Arial"/>
          <w:sz w:val="24"/>
          <w:szCs w:val="24"/>
        </w:rPr>
      </w:pPr>
      <w:r w:rsidRPr="007748AB">
        <w:rPr>
          <w:rFonts w:ascii="Arial" w:hAnsi="Arial" w:cs="Arial"/>
          <w:b/>
          <w:bCs/>
          <w:sz w:val="24"/>
          <w:szCs w:val="24"/>
        </w:rPr>
        <w:t>Phase 2 – Qualitative:</w:t>
      </w:r>
    </w:p>
    <w:p w14:paraId="49E99FA0" w14:textId="77777777" w:rsidR="007748AB" w:rsidRPr="007748AB" w:rsidRDefault="007748AB" w:rsidP="007748AB">
      <w:pPr>
        <w:numPr>
          <w:ilvl w:val="1"/>
          <w:numId w:val="16"/>
        </w:numPr>
        <w:spacing w:line="360" w:lineRule="auto"/>
        <w:rPr>
          <w:rFonts w:ascii="Arial" w:hAnsi="Arial" w:cs="Arial"/>
          <w:sz w:val="24"/>
          <w:szCs w:val="24"/>
        </w:rPr>
      </w:pPr>
      <w:r w:rsidRPr="007748AB">
        <w:rPr>
          <w:rFonts w:ascii="Arial" w:hAnsi="Arial" w:cs="Arial"/>
          <w:sz w:val="24"/>
          <w:szCs w:val="24"/>
        </w:rPr>
        <w:lastRenderedPageBreak/>
        <w:t>Semi-structured interviews and/or focus groups with a purposive subsample of survey participants and nurse educators to explore in depth:</w:t>
      </w:r>
    </w:p>
    <w:p w14:paraId="229D9F0F" w14:textId="77777777" w:rsidR="007748AB" w:rsidRPr="007748AB" w:rsidRDefault="007748AB" w:rsidP="007748AB">
      <w:pPr>
        <w:numPr>
          <w:ilvl w:val="2"/>
          <w:numId w:val="16"/>
        </w:numPr>
        <w:spacing w:line="360" w:lineRule="auto"/>
        <w:rPr>
          <w:rFonts w:ascii="Arial" w:hAnsi="Arial" w:cs="Arial"/>
          <w:sz w:val="24"/>
          <w:szCs w:val="24"/>
        </w:rPr>
      </w:pPr>
      <w:r w:rsidRPr="007748AB">
        <w:rPr>
          <w:rFonts w:ascii="Arial" w:hAnsi="Arial" w:cs="Arial"/>
          <w:sz w:val="24"/>
          <w:szCs w:val="24"/>
        </w:rPr>
        <w:t>How technology-enhanced learning has influenced practice over time.</w:t>
      </w:r>
    </w:p>
    <w:p w14:paraId="13EBC570" w14:textId="77777777" w:rsidR="007748AB" w:rsidRPr="007748AB" w:rsidRDefault="007748AB" w:rsidP="007748AB">
      <w:pPr>
        <w:numPr>
          <w:ilvl w:val="2"/>
          <w:numId w:val="16"/>
        </w:numPr>
        <w:spacing w:line="360" w:lineRule="auto"/>
        <w:rPr>
          <w:rFonts w:ascii="Arial" w:hAnsi="Arial" w:cs="Arial"/>
          <w:sz w:val="24"/>
          <w:szCs w:val="24"/>
        </w:rPr>
      </w:pPr>
      <w:r w:rsidRPr="007748AB">
        <w:rPr>
          <w:rFonts w:ascii="Arial" w:hAnsi="Arial" w:cs="Arial"/>
          <w:sz w:val="24"/>
          <w:szCs w:val="24"/>
        </w:rPr>
        <w:t>Barriers and facilitators to transfer of learning.</w:t>
      </w:r>
    </w:p>
    <w:p w14:paraId="57021BFF"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Findings from the qualitative phase will help explain and contextualise quantitative results.</w:t>
      </w:r>
    </w:p>
    <w:p w14:paraId="06F8FC54"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9.2 Study Setting</w:t>
      </w:r>
    </w:p>
    <w:p w14:paraId="18F4CB34" w14:textId="77777777" w:rsidR="007748AB" w:rsidRPr="007748AB" w:rsidRDefault="007748AB" w:rsidP="007748AB">
      <w:pPr>
        <w:numPr>
          <w:ilvl w:val="0"/>
          <w:numId w:val="17"/>
        </w:numPr>
        <w:spacing w:line="360" w:lineRule="auto"/>
        <w:rPr>
          <w:rFonts w:ascii="Arial" w:hAnsi="Arial" w:cs="Arial"/>
          <w:sz w:val="24"/>
          <w:szCs w:val="24"/>
        </w:rPr>
      </w:pPr>
      <w:r w:rsidRPr="007748AB">
        <w:rPr>
          <w:rFonts w:ascii="Arial" w:hAnsi="Arial" w:cs="Arial"/>
          <w:sz w:val="24"/>
          <w:szCs w:val="24"/>
        </w:rPr>
        <w:t>Selected nursing schools that have implemented digital technologies in their curricula.</w:t>
      </w:r>
    </w:p>
    <w:p w14:paraId="02245593" w14:textId="77777777" w:rsidR="007748AB" w:rsidRPr="007748AB" w:rsidRDefault="007748AB" w:rsidP="007748AB">
      <w:pPr>
        <w:numPr>
          <w:ilvl w:val="0"/>
          <w:numId w:val="17"/>
        </w:numPr>
        <w:spacing w:line="360" w:lineRule="auto"/>
        <w:rPr>
          <w:rFonts w:ascii="Arial" w:hAnsi="Arial" w:cs="Arial"/>
          <w:sz w:val="24"/>
          <w:szCs w:val="24"/>
        </w:rPr>
      </w:pPr>
      <w:r w:rsidRPr="007748AB">
        <w:rPr>
          <w:rFonts w:ascii="Arial" w:hAnsi="Arial" w:cs="Arial"/>
          <w:sz w:val="24"/>
          <w:szCs w:val="24"/>
        </w:rPr>
        <w:t>Associated clinical sites (e.g., hospitals, primary care centres) where graduates are employed in digitally enabled environments (e.g., use of EHRs, telehealth, electronic medication systems).</w:t>
      </w:r>
    </w:p>
    <w:p w14:paraId="46F3870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9.3 Population and Sampling</w:t>
      </w:r>
    </w:p>
    <w:p w14:paraId="0790BC5E" w14:textId="77777777" w:rsidR="007748AB" w:rsidRPr="007748AB" w:rsidRDefault="007748AB" w:rsidP="007748AB">
      <w:pPr>
        <w:numPr>
          <w:ilvl w:val="0"/>
          <w:numId w:val="18"/>
        </w:numPr>
        <w:spacing w:line="360" w:lineRule="auto"/>
        <w:rPr>
          <w:rFonts w:ascii="Arial" w:hAnsi="Arial" w:cs="Arial"/>
          <w:sz w:val="24"/>
          <w:szCs w:val="24"/>
        </w:rPr>
      </w:pPr>
      <w:r w:rsidRPr="007748AB">
        <w:rPr>
          <w:rFonts w:ascii="Arial" w:hAnsi="Arial" w:cs="Arial"/>
          <w:b/>
          <w:bCs/>
          <w:sz w:val="24"/>
          <w:szCs w:val="24"/>
        </w:rPr>
        <w:t>Target population (quantitative):</w:t>
      </w:r>
    </w:p>
    <w:p w14:paraId="569726EE" w14:textId="77777777" w:rsidR="007748AB" w:rsidRPr="007748AB" w:rsidRDefault="007748AB" w:rsidP="007748AB">
      <w:pPr>
        <w:numPr>
          <w:ilvl w:val="1"/>
          <w:numId w:val="18"/>
        </w:numPr>
        <w:spacing w:line="360" w:lineRule="auto"/>
        <w:rPr>
          <w:rFonts w:ascii="Arial" w:hAnsi="Arial" w:cs="Arial"/>
          <w:sz w:val="24"/>
          <w:szCs w:val="24"/>
        </w:rPr>
      </w:pPr>
      <w:r w:rsidRPr="007748AB">
        <w:rPr>
          <w:rFonts w:ascii="Arial" w:hAnsi="Arial" w:cs="Arial"/>
          <w:sz w:val="24"/>
          <w:szCs w:val="24"/>
        </w:rPr>
        <w:t>Registered nurses who:</w:t>
      </w:r>
    </w:p>
    <w:p w14:paraId="7FBD6EEB" w14:textId="77777777" w:rsidR="007748AB" w:rsidRPr="007748AB" w:rsidRDefault="007748AB" w:rsidP="007748AB">
      <w:pPr>
        <w:numPr>
          <w:ilvl w:val="2"/>
          <w:numId w:val="18"/>
        </w:numPr>
        <w:spacing w:line="360" w:lineRule="auto"/>
        <w:rPr>
          <w:rFonts w:ascii="Arial" w:hAnsi="Arial" w:cs="Arial"/>
          <w:sz w:val="24"/>
          <w:szCs w:val="24"/>
        </w:rPr>
      </w:pPr>
      <w:r w:rsidRPr="007748AB">
        <w:rPr>
          <w:rFonts w:ascii="Arial" w:hAnsi="Arial" w:cs="Arial"/>
          <w:sz w:val="24"/>
          <w:szCs w:val="24"/>
        </w:rPr>
        <w:t>Graduated 1–3 years earlier from the selected nursing programmes.</w:t>
      </w:r>
    </w:p>
    <w:p w14:paraId="2155343F" w14:textId="77777777" w:rsidR="007748AB" w:rsidRPr="007748AB" w:rsidRDefault="007748AB" w:rsidP="007748AB">
      <w:pPr>
        <w:numPr>
          <w:ilvl w:val="2"/>
          <w:numId w:val="18"/>
        </w:numPr>
        <w:spacing w:line="360" w:lineRule="auto"/>
        <w:rPr>
          <w:rFonts w:ascii="Arial" w:hAnsi="Arial" w:cs="Arial"/>
          <w:sz w:val="24"/>
          <w:szCs w:val="24"/>
        </w:rPr>
      </w:pPr>
      <w:r w:rsidRPr="007748AB">
        <w:rPr>
          <w:rFonts w:ascii="Arial" w:hAnsi="Arial" w:cs="Arial"/>
          <w:sz w:val="24"/>
          <w:szCs w:val="24"/>
        </w:rPr>
        <w:t>Are currently employed in clinical practice.</w:t>
      </w:r>
    </w:p>
    <w:p w14:paraId="5CC20690" w14:textId="77777777" w:rsidR="007748AB" w:rsidRPr="007748AB" w:rsidRDefault="007748AB" w:rsidP="007748AB">
      <w:pPr>
        <w:numPr>
          <w:ilvl w:val="0"/>
          <w:numId w:val="18"/>
        </w:numPr>
        <w:spacing w:line="360" w:lineRule="auto"/>
        <w:rPr>
          <w:rFonts w:ascii="Arial" w:hAnsi="Arial" w:cs="Arial"/>
          <w:sz w:val="24"/>
          <w:szCs w:val="24"/>
        </w:rPr>
      </w:pPr>
      <w:r w:rsidRPr="007748AB">
        <w:rPr>
          <w:rFonts w:ascii="Arial" w:hAnsi="Arial" w:cs="Arial"/>
          <w:b/>
          <w:bCs/>
          <w:sz w:val="24"/>
          <w:szCs w:val="24"/>
        </w:rPr>
        <w:t>Sample size (quantitative):</w:t>
      </w:r>
    </w:p>
    <w:p w14:paraId="1A82AC90" w14:textId="77777777" w:rsidR="007748AB" w:rsidRPr="007748AB" w:rsidRDefault="007748AB" w:rsidP="007748AB">
      <w:pPr>
        <w:numPr>
          <w:ilvl w:val="1"/>
          <w:numId w:val="18"/>
        </w:numPr>
        <w:spacing w:line="360" w:lineRule="auto"/>
        <w:rPr>
          <w:rFonts w:ascii="Arial" w:hAnsi="Arial" w:cs="Arial"/>
          <w:sz w:val="24"/>
          <w:szCs w:val="24"/>
        </w:rPr>
      </w:pPr>
      <w:r w:rsidRPr="007748AB">
        <w:rPr>
          <w:rFonts w:ascii="Arial" w:hAnsi="Arial" w:cs="Arial"/>
          <w:sz w:val="24"/>
          <w:szCs w:val="24"/>
        </w:rPr>
        <w:t>Determined using power analysis; for example, ~200–300 participants may be targeted to allow for regression analyses with multiple predictors.</w:t>
      </w:r>
    </w:p>
    <w:p w14:paraId="2222D985" w14:textId="77777777" w:rsidR="007748AB" w:rsidRPr="007748AB" w:rsidRDefault="007748AB" w:rsidP="007748AB">
      <w:pPr>
        <w:numPr>
          <w:ilvl w:val="0"/>
          <w:numId w:val="18"/>
        </w:numPr>
        <w:spacing w:line="360" w:lineRule="auto"/>
        <w:rPr>
          <w:rFonts w:ascii="Arial" w:hAnsi="Arial" w:cs="Arial"/>
          <w:sz w:val="24"/>
          <w:szCs w:val="24"/>
        </w:rPr>
      </w:pPr>
      <w:r w:rsidRPr="007748AB">
        <w:rPr>
          <w:rFonts w:ascii="Arial" w:hAnsi="Arial" w:cs="Arial"/>
          <w:b/>
          <w:bCs/>
          <w:sz w:val="24"/>
          <w:szCs w:val="24"/>
        </w:rPr>
        <w:t>Sampling technique (quantitative):</w:t>
      </w:r>
    </w:p>
    <w:p w14:paraId="2DFF888D" w14:textId="77777777" w:rsidR="007748AB" w:rsidRPr="007748AB" w:rsidRDefault="007748AB" w:rsidP="007748AB">
      <w:pPr>
        <w:numPr>
          <w:ilvl w:val="1"/>
          <w:numId w:val="18"/>
        </w:numPr>
        <w:spacing w:line="360" w:lineRule="auto"/>
        <w:rPr>
          <w:rFonts w:ascii="Arial" w:hAnsi="Arial" w:cs="Arial"/>
          <w:sz w:val="24"/>
          <w:szCs w:val="24"/>
        </w:rPr>
      </w:pPr>
      <w:r w:rsidRPr="007748AB">
        <w:rPr>
          <w:rFonts w:ascii="Arial" w:hAnsi="Arial" w:cs="Arial"/>
          <w:sz w:val="24"/>
          <w:szCs w:val="24"/>
        </w:rPr>
        <w:t>Stratified or cluster sampling across institutions/units where feasible; otherwise, convenience sampling of eligible nurses.</w:t>
      </w:r>
    </w:p>
    <w:p w14:paraId="3F265CC5" w14:textId="77777777" w:rsidR="007748AB" w:rsidRPr="007748AB" w:rsidRDefault="007748AB" w:rsidP="007748AB">
      <w:pPr>
        <w:numPr>
          <w:ilvl w:val="0"/>
          <w:numId w:val="18"/>
        </w:numPr>
        <w:spacing w:line="360" w:lineRule="auto"/>
        <w:rPr>
          <w:rFonts w:ascii="Arial" w:hAnsi="Arial" w:cs="Arial"/>
          <w:sz w:val="24"/>
          <w:szCs w:val="24"/>
        </w:rPr>
      </w:pPr>
      <w:r w:rsidRPr="007748AB">
        <w:rPr>
          <w:rFonts w:ascii="Arial" w:hAnsi="Arial" w:cs="Arial"/>
          <w:b/>
          <w:bCs/>
          <w:sz w:val="24"/>
          <w:szCs w:val="24"/>
        </w:rPr>
        <w:lastRenderedPageBreak/>
        <w:t>Qualitative sample:</w:t>
      </w:r>
    </w:p>
    <w:p w14:paraId="3DC1B959" w14:textId="77777777" w:rsidR="007748AB" w:rsidRPr="007748AB" w:rsidRDefault="007748AB" w:rsidP="007748AB">
      <w:pPr>
        <w:numPr>
          <w:ilvl w:val="1"/>
          <w:numId w:val="18"/>
        </w:numPr>
        <w:spacing w:line="360" w:lineRule="auto"/>
        <w:rPr>
          <w:rFonts w:ascii="Arial" w:hAnsi="Arial" w:cs="Arial"/>
          <w:sz w:val="24"/>
          <w:szCs w:val="24"/>
        </w:rPr>
      </w:pPr>
      <w:r w:rsidRPr="007748AB">
        <w:rPr>
          <w:rFonts w:ascii="Arial" w:hAnsi="Arial" w:cs="Arial"/>
          <w:sz w:val="24"/>
          <w:szCs w:val="24"/>
        </w:rPr>
        <w:t>Purposive sampling of ~20–30 early-career nurses (from survey participants) plus ~8–12 nurse educators/clinical facilitators to ensure variation in technology exposure, digital literacy, and clinical area.</w:t>
      </w:r>
    </w:p>
    <w:p w14:paraId="4BF0659F" w14:textId="77777777" w:rsidR="007748AB" w:rsidRPr="007748AB" w:rsidRDefault="007748AB" w:rsidP="007748AB">
      <w:pPr>
        <w:numPr>
          <w:ilvl w:val="1"/>
          <w:numId w:val="18"/>
        </w:numPr>
        <w:spacing w:line="360" w:lineRule="auto"/>
        <w:rPr>
          <w:rFonts w:ascii="Arial" w:hAnsi="Arial" w:cs="Arial"/>
          <w:sz w:val="24"/>
          <w:szCs w:val="24"/>
        </w:rPr>
      </w:pPr>
      <w:r w:rsidRPr="007748AB">
        <w:rPr>
          <w:rFonts w:ascii="Arial" w:hAnsi="Arial" w:cs="Arial"/>
          <w:sz w:val="24"/>
          <w:szCs w:val="24"/>
        </w:rPr>
        <w:t>Data collection continues until thematic saturation.</w:t>
      </w:r>
    </w:p>
    <w:p w14:paraId="607759E1"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9.4 Data Collection Instruments</w:t>
      </w:r>
    </w:p>
    <w:p w14:paraId="5DBFF3C3"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Quantitative instruments (examples):</w:t>
      </w:r>
    </w:p>
    <w:p w14:paraId="27F776AE" w14:textId="77777777" w:rsidR="007748AB" w:rsidRPr="007748AB" w:rsidRDefault="007748AB" w:rsidP="007748AB">
      <w:pPr>
        <w:numPr>
          <w:ilvl w:val="0"/>
          <w:numId w:val="19"/>
        </w:numPr>
        <w:spacing w:line="360" w:lineRule="auto"/>
        <w:rPr>
          <w:rFonts w:ascii="Arial" w:hAnsi="Arial" w:cs="Arial"/>
          <w:sz w:val="24"/>
          <w:szCs w:val="24"/>
        </w:rPr>
      </w:pPr>
      <w:r w:rsidRPr="007748AB">
        <w:rPr>
          <w:rFonts w:ascii="Arial" w:hAnsi="Arial" w:cs="Arial"/>
          <w:b/>
          <w:bCs/>
          <w:sz w:val="24"/>
          <w:szCs w:val="24"/>
        </w:rPr>
        <w:t>Demographic and Educational Technology Exposure Questionnaire</w:t>
      </w:r>
    </w:p>
    <w:p w14:paraId="5B90A7D5" w14:textId="77777777" w:rsidR="007748AB" w:rsidRPr="007748AB" w:rsidRDefault="007748AB" w:rsidP="007748AB">
      <w:pPr>
        <w:numPr>
          <w:ilvl w:val="1"/>
          <w:numId w:val="19"/>
        </w:numPr>
        <w:spacing w:line="360" w:lineRule="auto"/>
        <w:rPr>
          <w:rFonts w:ascii="Arial" w:hAnsi="Arial" w:cs="Arial"/>
          <w:sz w:val="24"/>
          <w:szCs w:val="24"/>
        </w:rPr>
      </w:pPr>
      <w:r w:rsidRPr="007748AB">
        <w:rPr>
          <w:rFonts w:ascii="Arial" w:hAnsi="Arial" w:cs="Arial"/>
          <w:sz w:val="24"/>
          <w:szCs w:val="24"/>
        </w:rPr>
        <w:t>Items on types of technologies used during training (simulation hours, VR use, e-learning, LMS, EHR training), frequency, perceived quality and integration.</w:t>
      </w:r>
    </w:p>
    <w:p w14:paraId="5783802D" w14:textId="77777777" w:rsidR="007748AB" w:rsidRPr="007748AB" w:rsidRDefault="007748AB" w:rsidP="007748AB">
      <w:pPr>
        <w:numPr>
          <w:ilvl w:val="0"/>
          <w:numId w:val="19"/>
        </w:numPr>
        <w:spacing w:line="360" w:lineRule="auto"/>
        <w:rPr>
          <w:rFonts w:ascii="Arial" w:hAnsi="Arial" w:cs="Arial"/>
          <w:sz w:val="24"/>
          <w:szCs w:val="24"/>
        </w:rPr>
      </w:pPr>
      <w:r w:rsidRPr="007748AB">
        <w:rPr>
          <w:rFonts w:ascii="Arial" w:hAnsi="Arial" w:cs="Arial"/>
          <w:b/>
          <w:bCs/>
          <w:sz w:val="24"/>
          <w:szCs w:val="24"/>
        </w:rPr>
        <w:t>Digital Literacy Scale</w:t>
      </w:r>
    </w:p>
    <w:p w14:paraId="6AD92A78" w14:textId="77777777" w:rsidR="007748AB" w:rsidRPr="007748AB" w:rsidRDefault="007748AB" w:rsidP="007748AB">
      <w:pPr>
        <w:numPr>
          <w:ilvl w:val="1"/>
          <w:numId w:val="19"/>
        </w:numPr>
        <w:spacing w:line="360" w:lineRule="auto"/>
        <w:rPr>
          <w:rFonts w:ascii="Arial" w:hAnsi="Arial" w:cs="Arial"/>
          <w:sz w:val="24"/>
          <w:szCs w:val="24"/>
        </w:rPr>
      </w:pPr>
      <w:r w:rsidRPr="007748AB">
        <w:rPr>
          <w:rFonts w:ascii="Arial" w:hAnsi="Arial" w:cs="Arial"/>
          <w:sz w:val="24"/>
          <w:szCs w:val="24"/>
        </w:rPr>
        <w:t xml:space="preserve">An adapted, validated instrument measuring competencies in information, data, and digital communication, aligned to nursing and health-professional education. </w:t>
      </w:r>
      <w:hyperlink r:id="rId44" w:tgtFrame="_blank" w:history="1">
        <w:r w:rsidRPr="007748AB">
          <w:rPr>
            <w:rStyle w:val="Hyperlink"/>
            <w:rFonts w:ascii="Arial" w:hAnsi="Arial" w:cs="Arial"/>
            <w:sz w:val="24"/>
            <w:szCs w:val="24"/>
          </w:rPr>
          <w:t>SpringerLink+1</w:t>
        </w:r>
      </w:hyperlink>
    </w:p>
    <w:p w14:paraId="283F1B8E" w14:textId="77777777" w:rsidR="007748AB" w:rsidRPr="007748AB" w:rsidRDefault="007748AB" w:rsidP="007748AB">
      <w:pPr>
        <w:numPr>
          <w:ilvl w:val="0"/>
          <w:numId w:val="19"/>
        </w:numPr>
        <w:spacing w:line="360" w:lineRule="auto"/>
        <w:rPr>
          <w:rFonts w:ascii="Arial" w:hAnsi="Arial" w:cs="Arial"/>
          <w:sz w:val="24"/>
          <w:szCs w:val="24"/>
        </w:rPr>
      </w:pPr>
      <w:r w:rsidRPr="007748AB">
        <w:rPr>
          <w:rFonts w:ascii="Arial" w:hAnsi="Arial" w:cs="Arial"/>
          <w:b/>
          <w:bCs/>
          <w:sz w:val="24"/>
          <w:szCs w:val="24"/>
        </w:rPr>
        <w:t>Technology Acceptance Scale (TAM-based)</w:t>
      </w:r>
    </w:p>
    <w:p w14:paraId="1810E809" w14:textId="77777777" w:rsidR="007748AB" w:rsidRPr="007748AB" w:rsidRDefault="007748AB" w:rsidP="007748AB">
      <w:pPr>
        <w:numPr>
          <w:ilvl w:val="1"/>
          <w:numId w:val="19"/>
        </w:numPr>
        <w:spacing w:line="360" w:lineRule="auto"/>
        <w:rPr>
          <w:rFonts w:ascii="Arial" w:hAnsi="Arial" w:cs="Arial"/>
          <w:sz w:val="24"/>
          <w:szCs w:val="24"/>
        </w:rPr>
      </w:pPr>
      <w:r w:rsidRPr="007748AB">
        <w:rPr>
          <w:rFonts w:ascii="Arial" w:hAnsi="Arial" w:cs="Arial"/>
          <w:sz w:val="24"/>
          <w:szCs w:val="24"/>
        </w:rPr>
        <w:t xml:space="preserve">Items for perceived usefulness, ease of use, attitude and behavioural intention, adapted from validated e-learning/health-IT TAM instruments. </w:t>
      </w:r>
      <w:hyperlink r:id="rId45" w:tgtFrame="_blank" w:history="1">
        <w:r w:rsidRPr="007748AB">
          <w:rPr>
            <w:rStyle w:val="Hyperlink"/>
            <w:rFonts w:ascii="Arial" w:hAnsi="Arial" w:cs="Arial"/>
            <w:sz w:val="24"/>
            <w:szCs w:val="24"/>
          </w:rPr>
          <w:t>Frontiers+2ResearchGate+2</w:t>
        </w:r>
      </w:hyperlink>
    </w:p>
    <w:p w14:paraId="5BA265C1" w14:textId="77777777" w:rsidR="007748AB" w:rsidRPr="007748AB" w:rsidRDefault="007748AB" w:rsidP="007748AB">
      <w:pPr>
        <w:numPr>
          <w:ilvl w:val="0"/>
          <w:numId w:val="19"/>
        </w:numPr>
        <w:spacing w:line="360" w:lineRule="auto"/>
        <w:rPr>
          <w:rFonts w:ascii="Arial" w:hAnsi="Arial" w:cs="Arial"/>
          <w:sz w:val="24"/>
          <w:szCs w:val="24"/>
        </w:rPr>
      </w:pPr>
      <w:r w:rsidRPr="007748AB">
        <w:rPr>
          <w:rFonts w:ascii="Arial" w:hAnsi="Arial" w:cs="Arial"/>
          <w:b/>
          <w:bCs/>
          <w:sz w:val="24"/>
          <w:szCs w:val="24"/>
        </w:rPr>
        <w:t>Clinical Competence Measure</w:t>
      </w:r>
    </w:p>
    <w:p w14:paraId="002677B5" w14:textId="77777777" w:rsidR="007748AB" w:rsidRPr="007748AB" w:rsidRDefault="007748AB" w:rsidP="007748AB">
      <w:pPr>
        <w:numPr>
          <w:ilvl w:val="1"/>
          <w:numId w:val="19"/>
        </w:numPr>
        <w:spacing w:line="360" w:lineRule="auto"/>
        <w:rPr>
          <w:rFonts w:ascii="Arial" w:hAnsi="Arial" w:cs="Arial"/>
          <w:sz w:val="24"/>
          <w:szCs w:val="24"/>
        </w:rPr>
      </w:pPr>
      <w:r w:rsidRPr="007748AB">
        <w:rPr>
          <w:rFonts w:ascii="Arial" w:hAnsi="Arial" w:cs="Arial"/>
          <w:sz w:val="24"/>
          <w:szCs w:val="24"/>
        </w:rPr>
        <w:t>A validated clinical competence scale for nurses (e.g., Nurse Competence Scale or similar), assessing domains such as helping role, teaching-coaching, diagnostic functions, managing situations, therapeutic interventions, quality assurance, and work role.</w:t>
      </w:r>
    </w:p>
    <w:p w14:paraId="5ECAFF05" w14:textId="77777777" w:rsidR="007748AB" w:rsidRPr="007748AB" w:rsidRDefault="007748AB" w:rsidP="007748AB">
      <w:pPr>
        <w:numPr>
          <w:ilvl w:val="1"/>
          <w:numId w:val="19"/>
        </w:numPr>
        <w:spacing w:line="360" w:lineRule="auto"/>
        <w:rPr>
          <w:rFonts w:ascii="Arial" w:hAnsi="Arial" w:cs="Arial"/>
          <w:sz w:val="24"/>
          <w:szCs w:val="24"/>
        </w:rPr>
      </w:pPr>
      <w:r w:rsidRPr="007748AB">
        <w:rPr>
          <w:rFonts w:ascii="Arial" w:hAnsi="Arial" w:cs="Arial"/>
          <w:sz w:val="24"/>
          <w:szCs w:val="24"/>
        </w:rPr>
        <w:t xml:space="preserve">Self-assessment may be complemented by optional supervisor ratings or OSCE-style performance scores, where feasible. </w:t>
      </w:r>
      <w:hyperlink r:id="rId46" w:tgtFrame="_blank" w:history="1">
        <w:r w:rsidRPr="007748AB">
          <w:rPr>
            <w:rStyle w:val="Hyperlink"/>
            <w:rFonts w:ascii="Arial" w:hAnsi="Arial" w:cs="Arial"/>
            <w:sz w:val="24"/>
            <w:szCs w:val="24"/>
          </w:rPr>
          <w:t>ScienceDirect+1</w:t>
        </w:r>
      </w:hyperlink>
    </w:p>
    <w:p w14:paraId="2CA6395D"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lastRenderedPageBreak/>
        <w:t>Qualitative instruments:</w:t>
      </w:r>
    </w:p>
    <w:p w14:paraId="7FF35EC7" w14:textId="77777777" w:rsidR="007748AB" w:rsidRPr="007748AB" w:rsidRDefault="007748AB" w:rsidP="007748AB">
      <w:pPr>
        <w:numPr>
          <w:ilvl w:val="0"/>
          <w:numId w:val="20"/>
        </w:numPr>
        <w:spacing w:line="360" w:lineRule="auto"/>
        <w:rPr>
          <w:rFonts w:ascii="Arial" w:hAnsi="Arial" w:cs="Arial"/>
          <w:sz w:val="24"/>
          <w:szCs w:val="24"/>
        </w:rPr>
      </w:pPr>
      <w:r w:rsidRPr="007748AB">
        <w:rPr>
          <w:rFonts w:ascii="Arial" w:hAnsi="Arial" w:cs="Arial"/>
          <w:b/>
          <w:bCs/>
          <w:sz w:val="24"/>
          <w:szCs w:val="24"/>
        </w:rPr>
        <w:t>Semi-structured interview guides</w:t>
      </w:r>
      <w:r w:rsidRPr="007748AB">
        <w:rPr>
          <w:rFonts w:ascii="Arial" w:hAnsi="Arial" w:cs="Arial"/>
          <w:sz w:val="24"/>
          <w:szCs w:val="24"/>
        </w:rPr>
        <w:t xml:space="preserve"> for early-career nurses and nurse educators, focusing on:</w:t>
      </w:r>
    </w:p>
    <w:p w14:paraId="3687E8C3" w14:textId="77777777" w:rsidR="007748AB" w:rsidRPr="007748AB" w:rsidRDefault="007748AB" w:rsidP="007748AB">
      <w:pPr>
        <w:numPr>
          <w:ilvl w:val="1"/>
          <w:numId w:val="20"/>
        </w:numPr>
        <w:spacing w:line="360" w:lineRule="auto"/>
        <w:rPr>
          <w:rFonts w:ascii="Arial" w:hAnsi="Arial" w:cs="Arial"/>
          <w:sz w:val="24"/>
          <w:szCs w:val="24"/>
        </w:rPr>
      </w:pPr>
      <w:r w:rsidRPr="007748AB">
        <w:rPr>
          <w:rFonts w:ascii="Arial" w:hAnsi="Arial" w:cs="Arial"/>
          <w:sz w:val="24"/>
          <w:szCs w:val="24"/>
        </w:rPr>
        <w:t>Memorable technology-enhanced learning experiences.</w:t>
      </w:r>
    </w:p>
    <w:p w14:paraId="16F94D0B" w14:textId="77777777" w:rsidR="007748AB" w:rsidRPr="007748AB" w:rsidRDefault="007748AB" w:rsidP="007748AB">
      <w:pPr>
        <w:numPr>
          <w:ilvl w:val="1"/>
          <w:numId w:val="20"/>
        </w:numPr>
        <w:spacing w:line="360" w:lineRule="auto"/>
        <w:rPr>
          <w:rFonts w:ascii="Arial" w:hAnsi="Arial" w:cs="Arial"/>
          <w:sz w:val="24"/>
          <w:szCs w:val="24"/>
        </w:rPr>
      </w:pPr>
      <w:r w:rsidRPr="007748AB">
        <w:rPr>
          <w:rFonts w:ascii="Arial" w:hAnsi="Arial" w:cs="Arial"/>
          <w:sz w:val="24"/>
          <w:szCs w:val="24"/>
        </w:rPr>
        <w:t>Specific ways these experiences influenced practice months or years later.</w:t>
      </w:r>
    </w:p>
    <w:p w14:paraId="750D6E6B" w14:textId="77777777" w:rsidR="007748AB" w:rsidRPr="007748AB" w:rsidRDefault="007748AB" w:rsidP="007748AB">
      <w:pPr>
        <w:numPr>
          <w:ilvl w:val="1"/>
          <w:numId w:val="20"/>
        </w:numPr>
        <w:spacing w:line="360" w:lineRule="auto"/>
        <w:rPr>
          <w:rFonts w:ascii="Arial" w:hAnsi="Arial" w:cs="Arial"/>
          <w:sz w:val="24"/>
          <w:szCs w:val="24"/>
        </w:rPr>
      </w:pPr>
      <w:r w:rsidRPr="007748AB">
        <w:rPr>
          <w:rFonts w:ascii="Arial" w:hAnsi="Arial" w:cs="Arial"/>
          <w:sz w:val="24"/>
          <w:szCs w:val="24"/>
        </w:rPr>
        <w:t>Perceived strengths/limitations of technology for developing clinical competence.</w:t>
      </w:r>
    </w:p>
    <w:p w14:paraId="1F51ED65" w14:textId="77777777" w:rsidR="007748AB" w:rsidRPr="007748AB" w:rsidRDefault="007748AB" w:rsidP="007748AB">
      <w:pPr>
        <w:numPr>
          <w:ilvl w:val="1"/>
          <w:numId w:val="20"/>
        </w:numPr>
        <w:spacing w:line="360" w:lineRule="auto"/>
        <w:rPr>
          <w:rFonts w:ascii="Arial" w:hAnsi="Arial" w:cs="Arial"/>
          <w:sz w:val="24"/>
          <w:szCs w:val="24"/>
        </w:rPr>
      </w:pPr>
      <w:r w:rsidRPr="007748AB">
        <w:rPr>
          <w:rFonts w:ascii="Arial" w:hAnsi="Arial" w:cs="Arial"/>
          <w:sz w:val="24"/>
          <w:szCs w:val="24"/>
        </w:rPr>
        <w:t>Contextual enablers/barriers (e.g., institutional support, workload, digital infrastructure).</w:t>
      </w:r>
    </w:p>
    <w:p w14:paraId="250CEC2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9.5 Data Collection Procedures</w:t>
      </w:r>
    </w:p>
    <w:p w14:paraId="7BCD1B76"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Phase 1 (Quantitative):</w:t>
      </w:r>
    </w:p>
    <w:p w14:paraId="06A38903" w14:textId="77777777" w:rsidR="007748AB" w:rsidRPr="007748AB" w:rsidRDefault="007748AB" w:rsidP="007748AB">
      <w:pPr>
        <w:numPr>
          <w:ilvl w:val="0"/>
          <w:numId w:val="21"/>
        </w:numPr>
        <w:spacing w:line="360" w:lineRule="auto"/>
        <w:rPr>
          <w:rFonts w:ascii="Arial" w:hAnsi="Arial" w:cs="Arial"/>
          <w:sz w:val="24"/>
          <w:szCs w:val="24"/>
        </w:rPr>
      </w:pPr>
      <w:r w:rsidRPr="007748AB">
        <w:rPr>
          <w:rFonts w:ascii="Arial" w:hAnsi="Arial" w:cs="Arial"/>
          <w:sz w:val="24"/>
          <w:szCs w:val="24"/>
        </w:rPr>
        <w:t>Obtain institutional permissions and ethical approval.</w:t>
      </w:r>
    </w:p>
    <w:p w14:paraId="4ACBF767" w14:textId="77777777" w:rsidR="007748AB" w:rsidRPr="007748AB" w:rsidRDefault="007748AB" w:rsidP="007748AB">
      <w:pPr>
        <w:numPr>
          <w:ilvl w:val="0"/>
          <w:numId w:val="21"/>
        </w:numPr>
        <w:spacing w:line="360" w:lineRule="auto"/>
        <w:rPr>
          <w:rFonts w:ascii="Arial" w:hAnsi="Arial" w:cs="Arial"/>
          <w:sz w:val="24"/>
          <w:szCs w:val="24"/>
        </w:rPr>
      </w:pPr>
      <w:r w:rsidRPr="007748AB">
        <w:rPr>
          <w:rFonts w:ascii="Arial" w:hAnsi="Arial" w:cs="Arial"/>
          <w:sz w:val="24"/>
          <w:szCs w:val="24"/>
        </w:rPr>
        <w:t>Recruit eligible early-career nurses via email, staff meetings, and professional networks.</w:t>
      </w:r>
    </w:p>
    <w:p w14:paraId="0DDF16EB" w14:textId="77777777" w:rsidR="007748AB" w:rsidRPr="007748AB" w:rsidRDefault="007748AB" w:rsidP="007748AB">
      <w:pPr>
        <w:numPr>
          <w:ilvl w:val="0"/>
          <w:numId w:val="21"/>
        </w:numPr>
        <w:spacing w:line="360" w:lineRule="auto"/>
        <w:rPr>
          <w:rFonts w:ascii="Arial" w:hAnsi="Arial" w:cs="Arial"/>
          <w:sz w:val="24"/>
          <w:szCs w:val="24"/>
        </w:rPr>
      </w:pPr>
      <w:r w:rsidRPr="007748AB">
        <w:rPr>
          <w:rFonts w:ascii="Arial" w:hAnsi="Arial" w:cs="Arial"/>
          <w:sz w:val="24"/>
          <w:szCs w:val="24"/>
        </w:rPr>
        <w:t>Provide information sheet and obtain informed consent.</w:t>
      </w:r>
    </w:p>
    <w:p w14:paraId="427EE972" w14:textId="77777777" w:rsidR="007748AB" w:rsidRPr="007748AB" w:rsidRDefault="007748AB" w:rsidP="007748AB">
      <w:pPr>
        <w:numPr>
          <w:ilvl w:val="0"/>
          <w:numId w:val="21"/>
        </w:numPr>
        <w:spacing w:line="360" w:lineRule="auto"/>
        <w:rPr>
          <w:rFonts w:ascii="Arial" w:hAnsi="Arial" w:cs="Arial"/>
          <w:sz w:val="24"/>
          <w:szCs w:val="24"/>
        </w:rPr>
      </w:pPr>
      <w:r w:rsidRPr="007748AB">
        <w:rPr>
          <w:rFonts w:ascii="Arial" w:hAnsi="Arial" w:cs="Arial"/>
          <w:sz w:val="24"/>
          <w:szCs w:val="24"/>
        </w:rPr>
        <w:t>Administer online or paper-based questionnaires.</w:t>
      </w:r>
    </w:p>
    <w:p w14:paraId="19CE9D79" w14:textId="77777777" w:rsidR="007748AB" w:rsidRPr="007748AB" w:rsidRDefault="007748AB" w:rsidP="007748AB">
      <w:pPr>
        <w:numPr>
          <w:ilvl w:val="0"/>
          <w:numId w:val="21"/>
        </w:numPr>
        <w:spacing w:line="360" w:lineRule="auto"/>
        <w:rPr>
          <w:rFonts w:ascii="Arial" w:hAnsi="Arial" w:cs="Arial"/>
          <w:sz w:val="24"/>
          <w:szCs w:val="24"/>
        </w:rPr>
      </w:pPr>
      <w:r w:rsidRPr="007748AB">
        <w:rPr>
          <w:rFonts w:ascii="Arial" w:hAnsi="Arial" w:cs="Arial"/>
          <w:sz w:val="24"/>
          <w:szCs w:val="24"/>
        </w:rPr>
        <w:t>Optionally, gather objective competence data (e.g., OSCE scores, supervisor ratings) with additional consent and institutional agreement.</w:t>
      </w:r>
    </w:p>
    <w:p w14:paraId="267BE361"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Phase 2 (Qualitative):</w:t>
      </w:r>
    </w:p>
    <w:p w14:paraId="79CED175" w14:textId="77777777" w:rsidR="007748AB" w:rsidRPr="007748AB" w:rsidRDefault="007748AB" w:rsidP="007748AB">
      <w:pPr>
        <w:numPr>
          <w:ilvl w:val="0"/>
          <w:numId w:val="22"/>
        </w:numPr>
        <w:spacing w:line="360" w:lineRule="auto"/>
        <w:rPr>
          <w:rFonts w:ascii="Arial" w:hAnsi="Arial" w:cs="Arial"/>
          <w:sz w:val="24"/>
          <w:szCs w:val="24"/>
        </w:rPr>
      </w:pPr>
      <w:r w:rsidRPr="007748AB">
        <w:rPr>
          <w:rFonts w:ascii="Arial" w:hAnsi="Arial" w:cs="Arial"/>
          <w:sz w:val="24"/>
          <w:szCs w:val="24"/>
        </w:rPr>
        <w:t>From survey respondents who consent to follow-up, purposively select participants representing high/low technology exposure, high/low digital literacy, and varied clinical areas.</w:t>
      </w:r>
    </w:p>
    <w:p w14:paraId="0E4671D0" w14:textId="77777777" w:rsidR="007748AB" w:rsidRPr="007748AB" w:rsidRDefault="007748AB" w:rsidP="007748AB">
      <w:pPr>
        <w:numPr>
          <w:ilvl w:val="0"/>
          <w:numId w:val="22"/>
        </w:numPr>
        <w:spacing w:line="360" w:lineRule="auto"/>
        <w:rPr>
          <w:rFonts w:ascii="Arial" w:hAnsi="Arial" w:cs="Arial"/>
          <w:sz w:val="24"/>
          <w:szCs w:val="24"/>
        </w:rPr>
      </w:pPr>
      <w:r w:rsidRPr="007748AB">
        <w:rPr>
          <w:rFonts w:ascii="Arial" w:hAnsi="Arial" w:cs="Arial"/>
          <w:sz w:val="24"/>
          <w:szCs w:val="24"/>
        </w:rPr>
        <w:t>Conduct audio-recorded interviews/focus groups (face-to-face or virtual).</w:t>
      </w:r>
    </w:p>
    <w:p w14:paraId="3F88F93A" w14:textId="77777777" w:rsidR="007748AB" w:rsidRPr="007748AB" w:rsidRDefault="007748AB" w:rsidP="007748AB">
      <w:pPr>
        <w:numPr>
          <w:ilvl w:val="0"/>
          <w:numId w:val="22"/>
        </w:numPr>
        <w:spacing w:line="360" w:lineRule="auto"/>
        <w:rPr>
          <w:rFonts w:ascii="Arial" w:hAnsi="Arial" w:cs="Arial"/>
          <w:sz w:val="24"/>
          <w:szCs w:val="24"/>
        </w:rPr>
      </w:pPr>
      <w:r w:rsidRPr="007748AB">
        <w:rPr>
          <w:rFonts w:ascii="Arial" w:hAnsi="Arial" w:cs="Arial"/>
          <w:sz w:val="24"/>
          <w:szCs w:val="24"/>
        </w:rPr>
        <w:t>Transcribe interviews verbatim for analysis.</w:t>
      </w:r>
    </w:p>
    <w:p w14:paraId="04CDF68C"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lastRenderedPageBreak/>
        <w:t>9.6 Data Analysis</w:t>
      </w:r>
    </w:p>
    <w:p w14:paraId="6C780F7B"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Quantitative analysis:</w:t>
      </w:r>
    </w:p>
    <w:p w14:paraId="54F6CB7B" w14:textId="77777777" w:rsidR="007748AB" w:rsidRPr="007748AB" w:rsidRDefault="007748AB" w:rsidP="007748AB">
      <w:pPr>
        <w:numPr>
          <w:ilvl w:val="0"/>
          <w:numId w:val="23"/>
        </w:numPr>
        <w:spacing w:line="360" w:lineRule="auto"/>
        <w:rPr>
          <w:rFonts w:ascii="Arial" w:hAnsi="Arial" w:cs="Arial"/>
          <w:sz w:val="24"/>
          <w:szCs w:val="24"/>
        </w:rPr>
      </w:pPr>
      <w:r w:rsidRPr="007748AB">
        <w:rPr>
          <w:rFonts w:ascii="Arial" w:hAnsi="Arial" w:cs="Arial"/>
          <w:sz w:val="24"/>
          <w:szCs w:val="24"/>
        </w:rPr>
        <w:t>Use statistical software (e.g., SPSS, R) for:</w:t>
      </w:r>
    </w:p>
    <w:p w14:paraId="1AE919CF" w14:textId="77777777" w:rsidR="007748AB" w:rsidRPr="007748AB" w:rsidRDefault="007748AB" w:rsidP="007748AB">
      <w:pPr>
        <w:numPr>
          <w:ilvl w:val="1"/>
          <w:numId w:val="23"/>
        </w:numPr>
        <w:spacing w:line="360" w:lineRule="auto"/>
        <w:rPr>
          <w:rFonts w:ascii="Arial" w:hAnsi="Arial" w:cs="Arial"/>
          <w:sz w:val="24"/>
          <w:szCs w:val="24"/>
        </w:rPr>
      </w:pPr>
      <w:r w:rsidRPr="007748AB">
        <w:rPr>
          <w:rFonts w:ascii="Arial" w:hAnsi="Arial" w:cs="Arial"/>
          <w:sz w:val="24"/>
          <w:szCs w:val="24"/>
        </w:rPr>
        <w:t>Descriptive statistics (means, SDs, frequencies) for all variables.</w:t>
      </w:r>
    </w:p>
    <w:p w14:paraId="7B8FD1CB" w14:textId="77777777" w:rsidR="007748AB" w:rsidRPr="007748AB" w:rsidRDefault="007748AB" w:rsidP="007748AB">
      <w:pPr>
        <w:numPr>
          <w:ilvl w:val="1"/>
          <w:numId w:val="23"/>
        </w:numPr>
        <w:spacing w:line="360" w:lineRule="auto"/>
        <w:rPr>
          <w:rFonts w:ascii="Arial" w:hAnsi="Arial" w:cs="Arial"/>
          <w:sz w:val="24"/>
          <w:szCs w:val="24"/>
        </w:rPr>
      </w:pPr>
      <w:r w:rsidRPr="007748AB">
        <w:rPr>
          <w:rFonts w:ascii="Arial" w:hAnsi="Arial" w:cs="Arial"/>
          <w:sz w:val="24"/>
          <w:szCs w:val="24"/>
        </w:rPr>
        <w:t>Reliability analysis (Cronbach’s alpha) for scales.</w:t>
      </w:r>
    </w:p>
    <w:p w14:paraId="57705068" w14:textId="77777777" w:rsidR="007748AB" w:rsidRPr="007748AB" w:rsidRDefault="007748AB" w:rsidP="007748AB">
      <w:pPr>
        <w:numPr>
          <w:ilvl w:val="1"/>
          <w:numId w:val="23"/>
        </w:numPr>
        <w:spacing w:line="360" w:lineRule="auto"/>
        <w:rPr>
          <w:rFonts w:ascii="Arial" w:hAnsi="Arial" w:cs="Arial"/>
          <w:sz w:val="24"/>
          <w:szCs w:val="24"/>
        </w:rPr>
      </w:pPr>
      <w:r w:rsidRPr="007748AB">
        <w:rPr>
          <w:rFonts w:ascii="Arial" w:hAnsi="Arial" w:cs="Arial"/>
          <w:sz w:val="24"/>
          <w:szCs w:val="24"/>
        </w:rPr>
        <w:t>Correlation analyses to explore relationships between:</w:t>
      </w:r>
    </w:p>
    <w:p w14:paraId="0AC982C5" w14:textId="77777777" w:rsidR="007748AB" w:rsidRPr="007748AB" w:rsidRDefault="007748AB" w:rsidP="007748AB">
      <w:pPr>
        <w:numPr>
          <w:ilvl w:val="2"/>
          <w:numId w:val="23"/>
        </w:numPr>
        <w:spacing w:line="360" w:lineRule="auto"/>
        <w:rPr>
          <w:rFonts w:ascii="Arial" w:hAnsi="Arial" w:cs="Arial"/>
          <w:sz w:val="24"/>
          <w:szCs w:val="24"/>
        </w:rPr>
      </w:pPr>
      <w:r w:rsidRPr="007748AB">
        <w:rPr>
          <w:rFonts w:ascii="Arial" w:hAnsi="Arial" w:cs="Arial"/>
          <w:sz w:val="24"/>
          <w:szCs w:val="24"/>
        </w:rPr>
        <w:t>Technology exposure, digital literacy, technology acceptance, and clinical competence.</w:t>
      </w:r>
    </w:p>
    <w:p w14:paraId="6FAA8300" w14:textId="77777777" w:rsidR="007748AB" w:rsidRPr="007748AB" w:rsidRDefault="007748AB" w:rsidP="007748AB">
      <w:pPr>
        <w:numPr>
          <w:ilvl w:val="1"/>
          <w:numId w:val="23"/>
        </w:numPr>
        <w:spacing w:line="360" w:lineRule="auto"/>
        <w:rPr>
          <w:rFonts w:ascii="Arial" w:hAnsi="Arial" w:cs="Arial"/>
          <w:sz w:val="24"/>
          <w:szCs w:val="24"/>
        </w:rPr>
      </w:pPr>
      <w:r w:rsidRPr="007748AB">
        <w:rPr>
          <w:rFonts w:ascii="Arial" w:hAnsi="Arial" w:cs="Arial"/>
          <w:sz w:val="24"/>
          <w:szCs w:val="24"/>
        </w:rPr>
        <w:t xml:space="preserve">Multiple regression or structural equation modelling to test hypotheses (e.g., digital literacy as mediator between education technology exposure and competence). </w:t>
      </w:r>
      <w:hyperlink r:id="rId47" w:tgtFrame="_blank" w:history="1">
        <w:r w:rsidRPr="007748AB">
          <w:rPr>
            <w:rStyle w:val="Hyperlink"/>
            <w:rFonts w:ascii="Arial" w:hAnsi="Arial" w:cs="Arial"/>
            <w:sz w:val="24"/>
            <w:szCs w:val="24"/>
          </w:rPr>
          <w:t>Frontiers+2ResearchGate+2</w:t>
        </w:r>
      </w:hyperlink>
    </w:p>
    <w:p w14:paraId="7B70831E"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Qualitative analysis:</w:t>
      </w:r>
    </w:p>
    <w:p w14:paraId="26631A4C" w14:textId="77777777" w:rsidR="007748AB" w:rsidRPr="007748AB" w:rsidRDefault="007748AB" w:rsidP="007748AB">
      <w:pPr>
        <w:numPr>
          <w:ilvl w:val="0"/>
          <w:numId w:val="24"/>
        </w:numPr>
        <w:spacing w:line="360" w:lineRule="auto"/>
        <w:rPr>
          <w:rFonts w:ascii="Arial" w:hAnsi="Arial" w:cs="Arial"/>
          <w:sz w:val="24"/>
          <w:szCs w:val="24"/>
        </w:rPr>
      </w:pPr>
      <w:r w:rsidRPr="007748AB">
        <w:rPr>
          <w:rFonts w:ascii="Arial" w:hAnsi="Arial" w:cs="Arial"/>
          <w:sz w:val="24"/>
          <w:szCs w:val="24"/>
        </w:rPr>
        <w:t xml:space="preserve">Thematic analysis of interview transcripts following Braun and Clarke’s six-phase framework (familiarisation, coding, theme development, review, definition, reporting). </w:t>
      </w:r>
      <w:hyperlink r:id="rId48" w:tgtFrame="_blank" w:history="1">
        <w:r w:rsidRPr="007748AB">
          <w:rPr>
            <w:rStyle w:val="Hyperlink"/>
            <w:rFonts w:ascii="Arial" w:hAnsi="Arial" w:cs="Arial"/>
            <w:sz w:val="24"/>
            <w:szCs w:val="24"/>
          </w:rPr>
          <w:t>psychology.ukzn.ac.za+1</w:t>
        </w:r>
      </w:hyperlink>
    </w:p>
    <w:p w14:paraId="42F4ADF3" w14:textId="77777777" w:rsidR="007748AB" w:rsidRPr="007748AB" w:rsidRDefault="007748AB" w:rsidP="007748AB">
      <w:pPr>
        <w:numPr>
          <w:ilvl w:val="0"/>
          <w:numId w:val="24"/>
        </w:numPr>
        <w:spacing w:line="360" w:lineRule="auto"/>
        <w:rPr>
          <w:rFonts w:ascii="Arial" w:hAnsi="Arial" w:cs="Arial"/>
          <w:sz w:val="24"/>
          <w:szCs w:val="24"/>
        </w:rPr>
      </w:pPr>
      <w:r w:rsidRPr="007748AB">
        <w:rPr>
          <w:rFonts w:ascii="Arial" w:hAnsi="Arial" w:cs="Arial"/>
          <w:sz w:val="24"/>
          <w:szCs w:val="24"/>
        </w:rPr>
        <w:t>Use qualitative data analysis software (e.g., NVivo) to organise codes and themes.</w:t>
      </w:r>
    </w:p>
    <w:p w14:paraId="3FC22309" w14:textId="77777777" w:rsidR="007748AB" w:rsidRPr="007748AB" w:rsidRDefault="007748AB" w:rsidP="007748AB">
      <w:pPr>
        <w:numPr>
          <w:ilvl w:val="0"/>
          <w:numId w:val="24"/>
        </w:numPr>
        <w:spacing w:line="360" w:lineRule="auto"/>
        <w:rPr>
          <w:rFonts w:ascii="Arial" w:hAnsi="Arial" w:cs="Arial"/>
          <w:sz w:val="24"/>
          <w:szCs w:val="24"/>
        </w:rPr>
      </w:pPr>
      <w:r w:rsidRPr="007748AB">
        <w:rPr>
          <w:rFonts w:ascii="Arial" w:hAnsi="Arial" w:cs="Arial"/>
          <w:sz w:val="24"/>
          <w:szCs w:val="24"/>
        </w:rPr>
        <w:t>Themes will focus on perceived long-term impact of technology-enhanced learning on clinical competence and contextual factors that support or hinder transfer.</w:t>
      </w:r>
    </w:p>
    <w:p w14:paraId="15C6EF5B" w14:textId="77777777" w:rsidR="007748AB" w:rsidRPr="007748AB" w:rsidRDefault="007748AB" w:rsidP="007748AB">
      <w:pPr>
        <w:spacing w:line="360" w:lineRule="auto"/>
        <w:rPr>
          <w:rFonts w:ascii="Arial" w:hAnsi="Arial" w:cs="Arial"/>
          <w:sz w:val="24"/>
          <w:szCs w:val="24"/>
        </w:rPr>
      </w:pPr>
      <w:r w:rsidRPr="007748AB">
        <w:rPr>
          <w:rFonts w:ascii="Arial" w:hAnsi="Arial" w:cs="Arial"/>
          <w:b/>
          <w:bCs/>
          <w:sz w:val="24"/>
          <w:szCs w:val="24"/>
        </w:rPr>
        <w:t>Integration of quantitative and qualitative findings:</w:t>
      </w:r>
    </w:p>
    <w:p w14:paraId="0BD93CCB" w14:textId="77777777" w:rsidR="007748AB" w:rsidRPr="007748AB" w:rsidRDefault="007748AB" w:rsidP="007748AB">
      <w:pPr>
        <w:numPr>
          <w:ilvl w:val="0"/>
          <w:numId w:val="25"/>
        </w:numPr>
        <w:spacing w:line="360" w:lineRule="auto"/>
        <w:rPr>
          <w:rFonts w:ascii="Arial" w:hAnsi="Arial" w:cs="Arial"/>
          <w:sz w:val="24"/>
          <w:szCs w:val="24"/>
        </w:rPr>
      </w:pPr>
      <w:r w:rsidRPr="007748AB">
        <w:rPr>
          <w:rFonts w:ascii="Arial" w:hAnsi="Arial" w:cs="Arial"/>
          <w:sz w:val="24"/>
          <w:szCs w:val="24"/>
        </w:rPr>
        <w:t>Use a joint display (matrix) to integrate results, comparing:</w:t>
      </w:r>
    </w:p>
    <w:p w14:paraId="27FDFD35" w14:textId="77777777" w:rsidR="007748AB" w:rsidRPr="007748AB" w:rsidRDefault="007748AB" w:rsidP="007748AB">
      <w:pPr>
        <w:numPr>
          <w:ilvl w:val="1"/>
          <w:numId w:val="25"/>
        </w:numPr>
        <w:spacing w:line="360" w:lineRule="auto"/>
        <w:rPr>
          <w:rFonts w:ascii="Arial" w:hAnsi="Arial" w:cs="Arial"/>
          <w:sz w:val="24"/>
          <w:szCs w:val="24"/>
        </w:rPr>
      </w:pPr>
      <w:r w:rsidRPr="007748AB">
        <w:rPr>
          <w:rFonts w:ascii="Arial" w:hAnsi="Arial" w:cs="Arial"/>
          <w:sz w:val="24"/>
          <w:szCs w:val="24"/>
        </w:rPr>
        <w:t xml:space="preserve">Quantitative patterns (e.g., high digital literacy + high competence) with qualitative narratives explaining </w:t>
      </w:r>
      <w:r w:rsidRPr="007748AB">
        <w:rPr>
          <w:rFonts w:ascii="Arial" w:hAnsi="Arial" w:cs="Arial"/>
          <w:i/>
          <w:iCs/>
          <w:sz w:val="24"/>
          <w:szCs w:val="24"/>
        </w:rPr>
        <w:t>how</w:t>
      </w:r>
      <w:r w:rsidRPr="007748AB">
        <w:rPr>
          <w:rFonts w:ascii="Arial" w:hAnsi="Arial" w:cs="Arial"/>
          <w:sz w:val="24"/>
          <w:szCs w:val="24"/>
        </w:rPr>
        <w:t xml:space="preserve"> and </w:t>
      </w:r>
      <w:r w:rsidRPr="007748AB">
        <w:rPr>
          <w:rFonts w:ascii="Arial" w:hAnsi="Arial" w:cs="Arial"/>
          <w:i/>
          <w:iCs/>
          <w:sz w:val="24"/>
          <w:szCs w:val="24"/>
        </w:rPr>
        <w:t>why</w:t>
      </w:r>
      <w:r w:rsidRPr="007748AB">
        <w:rPr>
          <w:rFonts w:ascii="Arial" w:hAnsi="Arial" w:cs="Arial"/>
          <w:sz w:val="24"/>
          <w:szCs w:val="24"/>
        </w:rPr>
        <w:t xml:space="preserve"> these relationships occur.</w:t>
      </w:r>
    </w:p>
    <w:p w14:paraId="55E79C57" w14:textId="77777777" w:rsidR="007748AB" w:rsidRPr="007748AB" w:rsidRDefault="007748AB" w:rsidP="007748AB">
      <w:pPr>
        <w:numPr>
          <w:ilvl w:val="0"/>
          <w:numId w:val="25"/>
        </w:numPr>
        <w:spacing w:line="360" w:lineRule="auto"/>
        <w:rPr>
          <w:rFonts w:ascii="Arial" w:hAnsi="Arial" w:cs="Arial"/>
          <w:sz w:val="24"/>
          <w:szCs w:val="24"/>
        </w:rPr>
      </w:pPr>
      <w:r w:rsidRPr="007748AB">
        <w:rPr>
          <w:rFonts w:ascii="Arial" w:hAnsi="Arial" w:cs="Arial"/>
          <w:sz w:val="24"/>
          <w:szCs w:val="24"/>
        </w:rPr>
        <w:lastRenderedPageBreak/>
        <w:t>Identify convergent, complementary, or divergent findings to develop a nuanced understanding of the long-term impact.</w:t>
      </w:r>
    </w:p>
    <w:p w14:paraId="31659763"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9.7 Validity, Reliability and Trustworthiness</w:t>
      </w:r>
    </w:p>
    <w:p w14:paraId="216D8C61" w14:textId="77777777" w:rsidR="007748AB" w:rsidRPr="007748AB" w:rsidRDefault="007748AB" w:rsidP="007748AB">
      <w:pPr>
        <w:numPr>
          <w:ilvl w:val="0"/>
          <w:numId w:val="26"/>
        </w:numPr>
        <w:spacing w:line="360" w:lineRule="auto"/>
        <w:rPr>
          <w:rFonts w:ascii="Arial" w:hAnsi="Arial" w:cs="Arial"/>
          <w:sz w:val="24"/>
          <w:szCs w:val="24"/>
        </w:rPr>
      </w:pPr>
      <w:r w:rsidRPr="007748AB">
        <w:rPr>
          <w:rFonts w:ascii="Arial" w:hAnsi="Arial" w:cs="Arial"/>
          <w:b/>
          <w:bCs/>
          <w:sz w:val="24"/>
          <w:szCs w:val="24"/>
        </w:rPr>
        <w:t>Quantitative:</w:t>
      </w:r>
    </w:p>
    <w:p w14:paraId="02AF2FCC" w14:textId="77777777" w:rsidR="007748AB" w:rsidRPr="007748AB" w:rsidRDefault="007748AB" w:rsidP="007748AB">
      <w:pPr>
        <w:numPr>
          <w:ilvl w:val="1"/>
          <w:numId w:val="26"/>
        </w:numPr>
        <w:spacing w:line="360" w:lineRule="auto"/>
        <w:rPr>
          <w:rFonts w:ascii="Arial" w:hAnsi="Arial" w:cs="Arial"/>
          <w:sz w:val="24"/>
          <w:szCs w:val="24"/>
        </w:rPr>
      </w:pPr>
      <w:r w:rsidRPr="007748AB">
        <w:rPr>
          <w:rFonts w:ascii="Arial" w:hAnsi="Arial" w:cs="Arial"/>
          <w:sz w:val="24"/>
          <w:szCs w:val="24"/>
        </w:rPr>
        <w:t>Use validated or pilot-tested scales with acceptable reliability (α ≥ 0.70).</w:t>
      </w:r>
    </w:p>
    <w:p w14:paraId="15C94E53" w14:textId="77777777" w:rsidR="007748AB" w:rsidRPr="007748AB" w:rsidRDefault="007748AB" w:rsidP="007748AB">
      <w:pPr>
        <w:numPr>
          <w:ilvl w:val="1"/>
          <w:numId w:val="26"/>
        </w:numPr>
        <w:spacing w:line="360" w:lineRule="auto"/>
        <w:rPr>
          <w:rFonts w:ascii="Arial" w:hAnsi="Arial" w:cs="Arial"/>
          <w:sz w:val="24"/>
          <w:szCs w:val="24"/>
        </w:rPr>
      </w:pPr>
      <w:r w:rsidRPr="007748AB">
        <w:rPr>
          <w:rFonts w:ascii="Arial" w:hAnsi="Arial" w:cs="Arial"/>
          <w:sz w:val="24"/>
          <w:szCs w:val="24"/>
        </w:rPr>
        <w:t>Use appropriate statistical tests and control for potential confounders (e.g., prior clinical experience, clinical area).</w:t>
      </w:r>
    </w:p>
    <w:p w14:paraId="66CE75E2" w14:textId="77777777" w:rsidR="007748AB" w:rsidRPr="007748AB" w:rsidRDefault="007748AB" w:rsidP="007748AB">
      <w:pPr>
        <w:numPr>
          <w:ilvl w:val="0"/>
          <w:numId w:val="26"/>
        </w:numPr>
        <w:spacing w:line="360" w:lineRule="auto"/>
        <w:rPr>
          <w:rFonts w:ascii="Arial" w:hAnsi="Arial" w:cs="Arial"/>
          <w:sz w:val="24"/>
          <w:szCs w:val="24"/>
        </w:rPr>
      </w:pPr>
      <w:r w:rsidRPr="007748AB">
        <w:rPr>
          <w:rFonts w:ascii="Arial" w:hAnsi="Arial" w:cs="Arial"/>
          <w:b/>
          <w:bCs/>
          <w:sz w:val="24"/>
          <w:szCs w:val="24"/>
        </w:rPr>
        <w:t>Qualitative:</w:t>
      </w:r>
    </w:p>
    <w:p w14:paraId="198D44A2" w14:textId="77777777" w:rsidR="007748AB" w:rsidRPr="007748AB" w:rsidRDefault="007748AB" w:rsidP="007748AB">
      <w:pPr>
        <w:numPr>
          <w:ilvl w:val="1"/>
          <w:numId w:val="26"/>
        </w:numPr>
        <w:spacing w:line="360" w:lineRule="auto"/>
        <w:rPr>
          <w:rFonts w:ascii="Arial" w:hAnsi="Arial" w:cs="Arial"/>
          <w:sz w:val="24"/>
          <w:szCs w:val="24"/>
        </w:rPr>
      </w:pPr>
      <w:r w:rsidRPr="007748AB">
        <w:rPr>
          <w:rFonts w:ascii="Arial" w:hAnsi="Arial" w:cs="Arial"/>
          <w:sz w:val="24"/>
          <w:szCs w:val="24"/>
        </w:rPr>
        <w:t>Ensure credibility through member checking (participants verify interpretations), peer debriefing, and use of rich, illustrative quotations.</w:t>
      </w:r>
    </w:p>
    <w:p w14:paraId="5B8EB30C" w14:textId="77777777" w:rsidR="007748AB" w:rsidRPr="007748AB" w:rsidRDefault="007748AB" w:rsidP="007748AB">
      <w:pPr>
        <w:numPr>
          <w:ilvl w:val="1"/>
          <w:numId w:val="26"/>
        </w:numPr>
        <w:spacing w:line="360" w:lineRule="auto"/>
        <w:rPr>
          <w:rFonts w:ascii="Arial" w:hAnsi="Arial" w:cs="Arial"/>
          <w:sz w:val="24"/>
          <w:szCs w:val="24"/>
        </w:rPr>
      </w:pPr>
      <w:r w:rsidRPr="007748AB">
        <w:rPr>
          <w:rFonts w:ascii="Arial" w:hAnsi="Arial" w:cs="Arial"/>
          <w:sz w:val="24"/>
          <w:szCs w:val="24"/>
        </w:rPr>
        <w:t>Maintain an audit trail of analytic decisions and reflexive memos.</w:t>
      </w:r>
    </w:p>
    <w:p w14:paraId="0C77B60B"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9.8 Ethical Considerations</w:t>
      </w:r>
    </w:p>
    <w:p w14:paraId="678F7FF0" w14:textId="77777777" w:rsidR="007748AB" w:rsidRPr="007748AB" w:rsidRDefault="007748AB" w:rsidP="007748AB">
      <w:pPr>
        <w:numPr>
          <w:ilvl w:val="0"/>
          <w:numId w:val="27"/>
        </w:numPr>
        <w:spacing w:line="360" w:lineRule="auto"/>
        <w:rPr>
          <w:rFonts w:ascii="Arial" w:hAnsi="Arial" w:cs="Arial"/>
          <w:sz w:val="24"/>
          <w:szCs w:val="24"/>
        </w:rPr>
      </w:pPr>
      <w:r w:rsidRPr="007748AB">
        <w:rPr>
          <w:rFonts w:ascii="Arial" w:hAnsi="Arial" w:cs="Arial"/>
          <w:sz w:val="24"/>
          <w:szCs w:val="24"/>
        </w:rPr>
        <w:t>Obtain approval from relevant institutional review boards/ethics committees.</w:t>
      </w:r>
    </w:p>
    <w:p w14:paraId="072C0005" w14:textId="77777777" w:rsidR="007748AB" w:rsidRPr="007748AB" w:rsidRDefault="007748AB" w:rsidP="007748AB">
      <w:pPr>
        <w:numPr>
          <w:ilvl w:val="0"/>
          <w:numId w:val="27"/>
        </w:numPr>
        <w:spacing w:line="360" w:lineRule="auto"/>
        <w:rPr>
          <w:rFonts w:ascii="Arial" w:hAnsi="Arial" w:cs="Arial"/>
          <w:sz w:val="24"/>
          <w:szCs w:val="24"/>
        </w:rPr>
      </w:pPr>
      <w:r w:rsidRPr="007748AB">
        <w:rPr>
          <w:rFonts w:ascii="Arial" w:hAnsi="Arial" w:cs="Arial"/>
          <w:sz w:val="24"/>
          <w:szCs w:val="24"/>
        </w:rPr>
        <w:t>Secure informed consent, emphasising voluntary participation and right to withdraw without penalty.</w:t>
      </w:r>
    </w:p>
    <w:p w14:paraId="3E096D86" w14:textId="77777777" w:rsidR="007748AB" w:rsidRPr="007748AB" w:rsidRDefault="007748AB" w:rsidP="007748AB">
      <w:pPr>
        <w:numPr>
          <w:ilvl w:val="0"/>
          <w:numId w:val="27"/>
        </w:numPr>
        <w:spacing w:line="360" w:lineRule="auto"/>
        <w:rPr>
          <w:rFonts w:ascii="Arial" w:hAnsi="Arial" w:cs="Arial"/>
          <w:sz w:val="24"/>
          <w:szCs w:val="24"/>
        </w:rPr>
      </w:pPr>
      <w:r w:rsidRPr="007748AB">
        <w:rPr>
          <w:rFonts w:ascii="Arial" w:hAnsi="Arial" w:cs="Arial"/>
          <w:sz w:val="24"/>
          <w:szCs w:val="24"/>
        </w:rPr>
        <w:t>Maintain confidentiality via pseudonyms and secure data storage.</w:t>
      </w:r>
    </w:p>
    <w:p w14:paraId="0ABB7FE1" w14:textId="77777777" w:rsidR="007748AB" w:rsidRPr="007748AB" w:rsidRDefault="007748AB" w:rsidP="007748AB">
      <w:pPr>
        <w:numPr>
          <w:ilvl w:val="0"/>
          <w:numId w:val="27"/>
        </w:numPr>
        <w:spacing w:line="360" w:lineRule="auto"/>
        <w:rPr>
          <w:rFonts w:ascii="Arial" w:hAnsi="Arial" w:cs="Arial"/>
          <w:sz w:val="24"/>
          <w:szCs w:val="24"/>
        </w:rPr>
      </w:pPr>
      <w:r w:rsidRPr="007748AB">
        <w:rPr>
          <w:rFonts w:ascii="Arial" w:hAnsi="Arial" w:cs="Arial"/>
          <w:sz w:val="24"/>
          <w:szCs w:val="24"/>
        </w:rPr>
        <w:t>Be sensitive to potential discomfort when discussing perceived competence; ensure participants know that data will not be used for performance appraisal.</w:t>
      </w:r>
    </w:p>
    <w:p w14:paraId="5625982E"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pict w14:anchorId="7089DB62">
          <v:rect id="_x0000_i1192" style="width:0;height:1.5pt" o:hralign="center" o:hrstd="t" o:hr="t" fillcolor="#a0a0a0" stroked="f"/>
        </w:pict>
      </w:r>
    </w:p>
    <w:p w14:paraId="7B4BF473" w14:textId="77777777" w:rsidR="007748AB" w:rsidRPr="007748AB" w:rsidRDefault="007748AB" w:rsidP="007748AB">
      <w:pPr>
        <w:spacing w:line="360" w:lineRule="auto"/>
        <w:rPr>
          <w:rFonts w:ascii="Arial" w:hAnsi="Arial" w:cs="Arial"/>
          <w:b/>
          <w:bCs/>
          <w:sz w:val="24"/>
          <w:szCs w:val="24"/>
        </w:rPr>
      </w:pPr>
      <w:r w:rsidRPr="007748AB">
        <w:rPr>
          <w:rFonts w:ascii="Arial" w:hAnsi="Arial" w:cs="Arial"/>
          <w:b/>
          <w:bCs/>
          <w:sz w:val="24"/>
          <w:szCs w:val="24"/>
        </w:rPr>
        <w:t>10. Reference List (examples – you can add more as needed)</w:t>
      </w:r>
    </w:p>
    <w:p w14:paraId="2BEDD48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Alshammari, M., Salifu, Y., </w:t>
      </w:r>
      <w:proofErr w:type="spellStart"/>
      <w:r w:rsidRPr="007748AB">
        <w:rPr>
          <w:rFonts w:ascii="Arial" w:hAnsi="Arial" w:cs="Arial"/>
          <w:sz w:val="24"/>
          <w:szCs w:val="24"/>
        </w:rPr>
        <w:t>Alwadaany</w:t>
      </w:r>
      <w:proofErr w:type="spellEnd"/>
      <w:r w:rsidRPr="007748AB">
        <w:rPr>
          <w:rFonts w:ascii="Arial" w:hAnsi="Arial" w:cs="Arial"/>
          <w:sz w:val="24"/>
          <w:szCs w:val="24"/>
        </w:rPr>
        <w:t xml:space="preserve">, B., et al. (2025). E-learning adoption in nursing education: Feasibility analysis using the technology acceptance model with a focus on digital and information literacy. </w:t>
      </w:r>
      <w:r w:rsidRPr="007748AB">
        <w:rPr>
          <w:rFonts w:ascii="Arial" w:hAnsi="Arial" w:cs="Arial"/>
          <w:i/>
          <w:iCs/>
          <w:sz w:val="24"/>
          <w:szCs w:val="24"/>
        </w:rPr>
        <w:t>Frontiers in Education, 10</w:t>
      </w:r>
      <w:r w:rsidRPr="007748AB">
        <w:rPr>
          <w:rFonts w:ascii="Arial" w:hAnsi="Arial" w:cs="Arial"/>
          <w:sz w:val="24"/>
          <w:szCs w:val="24"/>
        </w:rPr>
        <w:t xml:space="preserve">, 1632298. https://doi.org/10.3389/feduc.2025.1632298 </w:t>
      </w:r>
      <w:hyperlink r:id="rId49" w:tgtFrame="_blank" w:history="1">
        <w:r w:rsidRPr="007748AB">
          <w:rPr>
            <w:rStyle w:val="Hyperlink"/>
            <w:rFonts w:ascii="Arial" w:hAnsi="Arial" w:cs="Arial"/>
            <w:sz w:val="24"/>
            <w:szCs w:val="24"/>
          </w:rPr>
          <w:t>Frontiers+1</w:t>
        </w:r>
      </w:hyperlink>
    </w:p>
    <w:p w14:paraId="5DFEA5CA"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lastRenderedPageBreak/>
        <w:t xml:space="preserve">Amin, S. M., et al. (2025). Bridging virtual and real learning: The role of digital literacy and digital health capability. </w:t>
      </w:r>
      <w:r w:rsidRPr="007748AB">
        <w:rPr>
          <w:rFonts w:ascii="Arial" w:hAnsi="Arial" w:cs="Arial"/>
          <w:i/>
          <w:iCs/>
          <w:sz w:val="24"/>
          <w:szCs w:val="24"/>
        </w:rPr>
        <w:t>BMC Nursing</w:t>
      </w:r>
      <w:r w:rsidRPr="007748AB">
        <w:rPr>
          <w:rFonts w:ascii="Arial" w:hAnsi="Arial" w:cs="Arial"/>
          <w:sz w:val="24"/>
          <w:szCs w:val="24"/>
        </w:rPr>
        <w:t xml:space="preserve">. (Details from digital health capability framework discussion). </w:t>
      </w:r>
      <w:hyperlink r:id="rId50" w:tgtFrame="_blank" w:history="1">
        <w:r w:rsidRPr="007748AB">
          <w:rPr>
            <w:rStyle w:val="Hyperlink"/>
            <w:rFonts w:ascii="Arial" w:hAnsi="Arial" w:cs="Arial"/>
            <w:sz w:val="24"/>
            <w:szCs w:val="24"/>
          </w:rPr>
          <w:t>PMC</w:t>
        </w:r>
      </w:hyperlink>
    </w:p>
    <w:p w14:paraId="0D2B2E6C"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Braun, V., &amp; Clarke, V. (2006). Using thematic analysis in psychology. </w:t>
      </w:r>
      <w:r w:rsidRPr="007748AB">
        <w:rPr>
          <w:rFonts w:ascii="Arial" w:hAnsi="Arial" w:cs="Arial"/>
          <w:i/>
          <w:iCs/>
          <w:sz w:val="24"/>
          <w:szCs w:val="24"/>
        </w:rPr>
        <w:t>Qualitative Research in Psychology, 3</w:t>
      </w:r>
      <w:r w:rsidRPr="007748AB">
        <w:rPr>
          <w:rFonts w:ascii="Arial" w:hAnsi="Arial" w:cs="Arial"/>
          <w:sz w:val="24"/>
          <w:szCs w:val="24"/>
        </w:rPr>
        <w:t xml:space="preserve">(2), 77–101. </w:t>
      </w:r>
      <w:hyperlink r:id="rId51" w:tgtFrame="_new" w:history="1">
        <w:r w:rsidRPr="007748AB">
          <w:rPr>
            <w:rStyle w:val="Hyperlink"/>
            <w:rFonts w:ascii="Arial" w:hAnsi="Arial" w:cs="Arial"/>
            <w:sz w:val="24"/>
            <w:szCs w:val="24"/>
          </w:rPr>
          <w:t>https://doi.org/10.1191/1478088706qp063oa</w:t>
        </w:r>
      </w:hyperlink>
      <w:r w:rsidRPr="007748AB">
        <w:rPr>
          <w:rFonts w:ascii="Arial" w:hAnsi="Arial" w:cs="Arial"/>
          <w:sz w:val="24"/>
          <w:szCs w:val="24"/>
        </w:rPr>
        <w:t xml:space="preserve"> </w:t>
      </w:r>
      <w:hyperlink r:id="rId52" w:tgtFrame="_blank" w:history="1">
        <w:r w:rsidRPr="007748AB">
          <w:rPr>
            <w:rStyle w:val="Hyperlink"/>
            <w:rFonts w:ascii="Arial" w:hAnsi="Arial" w:cs="Arial"/>
            <w:sz w:val="24"/>
            <w:szCs w:val="24"/>
          </w:rPr>
          <w:t>psychology.ukzn.ac.za+1</w:t>
        </w:r>
      </w:hyperlink>
    </w:p>
    <w:p w14:paraId="4CA0984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Canadian Association of Schools of Nursing (CASN). (2025). </w:t>
      </w:r>
      <w:r w:rsidRPr="007748AB">
        <w:rPr>
          <w:rFonts w:ascii="Arial" w:hAnsi="Arial" w:cs="Arial"/>
          <w:i/>
          <w:iCs/>
          <w:sz w:val="24"/>
          <w:szCs w:val="24"/>
        </w:rPr>
        <w:t>Nursing Informatics Entry-to-Practice Competencies for Registered Nurses</w:t>
      </w:r>
      <w:r w:rsidRPr="007748AB">
        <w:rPr>
          <w:rFonts w:ascii="Arial" w:hAnsi="Arial" w:cs="Arial"/>
          <w:sz w:val="24"/>
          <w:szCs w:val="24"/>
        </w:rPr>
        <w:t xml:space="preserve">. </w:t>
      </w:r>
      <w:hyperlink r:id="rId53" w:tgtFrame="_blank" w:history="1">
        <w:r w:rsidRPr="007748AB">
          <w:rPr>
            <w:rStyle w:val="Hyperlink"/>
            <w:rFonts w:ascii="Arial" w:hAnsi="Arial" w:cs="Arial"/>
            <w:sz w:val="24"/>
            <w:szCs w:val="24"/>
          </w:rPr>
          <w:t>CASN</w:t>
        </w:r>
      </w:hyperlink>
    </w:p>
    <w:p w14:paraId="47FE1091" w14:textId="77777777" w:rsidR="007748AB" w:rsidRPr="007748AB" w:rsidRDefault="007748AB" w:rsidP="007748AB">
      <w:pPr>
        <w:spacing w:line="360" w:lineRule="auto"/>
        <w:rPr>
          <w:rFonts w:ascii="Arial" w:hAnsi="Arial" w:cs="Arial"/>
          <w:sz w:val="24"/>
          <w:szCs w:val="24"/>
        </w:rPr>
      </w:pPr>
      <w:proofErr w:type="spellStart"/>
      <w:r w:rsidRPr="007748AB">
        <w:rPr>
          <w:rFonts w:ascii="Arial" w:hAnsi="Arial" w:cs="Arial"/>
          <w:sz w:val="24"/>
          <w:szCs w:val="24"/>
        </w:rPr>
        <w:t>Daneshfar</w:t>
      </w:r>
      <w:proofErr w:type="spellEnd"/>
      <w:r w:rsidRPr="007748AB">
        <w:rPr>
          <w:rFonts w:ascii="Arial" w:hAnsi="Arial" w:cs="Arial"/>
          <w:sz w:val="24"/>
          <w:szCs w:val="24"/>
        </w:rPr>
        <w:t xml:space="preserve">, M., et al. (2025). The impact of clinical simulation on bridging the theory–practice gap in nursing education. </w:t>
      </w:r>
      <w:r w:rsidRPr="007748AB">
        <w:rPr>
          <w:rFonts w:ascii="Arial" w:hAnsi="Arial" w:cs="Arial"/>
          <w:i/>
          <w:iCs/>
          <w:sz w:val="24"/>
          <w:szCs w:val="24"/>
        </w:rPr>
        <w:t>BMC Medical Education</w:t>
      </w:r>
      <w:r w:rsidRPr="007748AB">
        <w:rPr>
          <w:rFonts w:ascii="Arial" w:hAnsi="Arial" w:cs="Arial"/>
          <w:sz w:val="24"/>
          <w:szCs w:val="24"/>
        </w:rPr>
        <w:t xml:space="preserve">. </w:t>
      </w:r>
      <w:hyperlink r:id="rId54" w:tgtFrame="_new" w:history="1">
        <w:r w:rsidRPr="007748AB">
          <w:rPr>
            <w:rStyle w:val="Hyperlink"/>
            <w:rFonts w:ascii="Arial" w:hAnsi="Arial" w:cs="Arial"/>
            <w:sz w:val="24"/>
            <w:szCs w:val="24"/>
          </w:rPr>
          <w:t>https://doi.org/10.1186/s12909-025-07790-8</w:t>
        </w:r>
      </w:hyperlink>
      <w:r w:rsidRPr="007748AB">
        <w:rPr>
          <w:rFonts w:ascii="Arial" w:hAnsi="Arial" w:cs="Arial"/>
          <w:sz w:val="24"/>
          <w:szCs w:val="24"/>
        </w:rPr>
        <w:t xml:space="preserve"> </w:t>
      </w:r>
      <w:hyperlink r:id="rId55" w:tgtFrame="_blank" w:history="1">
        <w:r w:rsidRPr="007748AB">
          <w:rPr>
            <w:rStyle w:val="Hyperlink"/>
            <w:rFonts w:ascii="Arial" w:hAnsi="Arial" w:cs="Arial"/>
            <w:sz w:val="24"/>
            <w:szCs w:val="24"/>
          </w:rPr>
          <w:t>SpringerLink</w:t>
        </w:r>
      </w:hyperlink>
    </w:p>
    <w:p w14:paraId="78CE566D"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Davies, H., Robertson, S., Sundin, D., &amp; Jacob, E. (2024). A follow-up study on the clinical impact of pre-registration extended immersive ward-based simulation. </w:t>
      </w:r>
      <w:r w:rsidRPr="007748AB">
        <w:rPr>
          <w:rFonts w:ascii="Arial" w:hAnsi="Arial" w:cs="Arial"/>
          <w:i/>
          <w:iCs/>
          <w:sz w:val="24"/>
          <w:szCs w:val="24"/>
        </w:rPr>
        <w:t>Clinical Simulation in Nursing, 91</w:t>
      </w:r>
      <w:r w:rsidRPr="007748AB">
        <w:rPr>
          <w:rFonts w:ascii="Arial" w:hAnsi="Arial" w:cs="Arial"/>
          <w:sz w:val="24"/>
          <w:szCs w:val="24"/>
        </w:rPr>
        <w:t xml:space="preserve">, 101540. https://doi.org/10.1016/j.ecns.2024.101540 </w:t>
      </w:r>
      <w:hyperlink r:id="rId56" w:tgtFrame="_blank" w:history="1">
        <w:r w:rsidRPr="007748AB">
          <w:rPr>
            <w:rStyle w:val="Hyperlink"/>
            <w:rFonts w:ascii="Arial" w:hAnsi="Arial" w:cs="Arial"/>
            <w:sz w:val="24"/>
            <w:szCs w:val="24"/>
          </w:rPr>
          <w:t>Edith Cowan University</w:t>
        </w:r>
      </w:hyperlink>
    </w:p>
    <w:p w14:paraId="1ED685F1"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Foronda, C. L., Fernandez-Burgos, M., Nadeau, C., Kelley, C. N., &amp; Henry, M. N. (2020). Virtual simulation in nursing education: A systematic review spanning 1996 to 2018. </w:t>
      </w:r>
      <w:r w:rsidRPr="007748AB">
        <w:rPr>
          <w:rFonts w:ascii="Arial" w:hAnsi="Arial" w:cs="Arial"/>
          <w:i/>
          <w:iCs/>
          <w:sz w:val="24"/>
          <w:szCs w:val="24"/>
        </w:rPr>
        <w:t>Simulation in Healthcare, 15</w:t>
      </w:r>
      <w:r w:rsidRPr="007748AB">
        <w:rPr>
          <w:rFonts w:ascii="Arial" w:hAnsi="Arial" w:cs="Arial"/>
          <w:sz w:val="24"/>
          <w:szCs w:val="24"/>
        </w:rPr>
        <w:t xml:space="preserve">(1), 46–54. https://doi.org/10.1097/SIH.0000000000000411 </w:t>
      </w:r>
      <w:hyperlink r:id="rId57" w:tgtFrame="_blank" w:history="1">
        <w:r w:rsidRPr="007748AB">
          <w:rPr>
            <w:rStyle w:val="Hyperlink"/>
            <w:rFonts w:ascii="Arial" w:hAnsi="Arial" w:cs="Arial"/>
            <w:sz w:val="24"/>
            <w:szCs w:val="24"/>
          </w:rPr>
          <w:t>PubMed+1</w:t>
        </w:r>
      </w:hyperlink>
    </w:p>
    <w:p w14:paraId="26DD2939"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International Council of Nurses (ICN). (2023). </w:t>
      </w:r>
      <w:r w:rsidRPr="007748AB">
        <w:rPr>
          <w:rFonts w:ascii="Arial" w:hAnsi="Arial" w:cs="Arial"/>
          <w:i/>
          <w:iCs/>
          <w:sz w:val="24"/>
          <w:szCs w:val="24"/>
        </w:rPr>
        <w:t>Position Statement: Digital Health Transformation and Nursing Practice</w:t>
      </w:r>
      <w:r w:rsidRPr="007748AB">
        <w:rPr>
          <w:rFonts w:ascii="Arial" w:hAnsi="Arial" w:cs="Arial"/>
          <w:sz w:val="24"/>
          <w:szCs w:val="24"/>
        </w:rPr>
        <w:t xml:space="preserve">. </w:t>
      </w:r>
      <w:hyperlink r:id="rId58" w:tgtFrame="_blank" w:history="1">
        <w:r w:rsidRPr="007748AB">
          <w:rPr>
            <w:rStyle w:val="Hyperlink"/>
            <w:rFonts w:ascii="Arial" w:hAnsi="Arial" w:cs="Arial"/>
            <w:sz w:val="24"/>
            <w:szCs w:val="24"/>
          </w:rPr>
          <w:t>ICN - International Council of Nurses+1</w:t>
        </w:r>
      </w:hyperlink>
    </w:p>
    <w:p w14:paraId="0D832BCE"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Li, P., et al. (2025). Current status and associated factors of digital literacy among academic nurse educators. </w:t>
      </w:r>
      <w:r w:rsidRPr="007748AB">
        <w:rPr>
          <w:rFonts w:ascii="Arial" w:hAnsi="Arial" w:cs="Arial"/>
          <w:i/>
          <w:iCs/>
          <w:sz w:val="24"/>
          <w:szCs w:val="24"/>
        </w:rPr>
        <w:t>BMC Medical Education, 25</w:t>
      </w:r>
      <w:r w:rsidRPr="007748AB">
        <w:rPr>
          <w:rFonts w:ascii="Arial" w:hAnsi="Arial" w:cs="Arial"/>
          <w:sz w:val="24"/>
          <w:szCs w:val="24"/>
        </w:rPr>
        <w:t xml:space="preserve">. </w:t>
      </w:r>
      <w:hyperlink r:id="rId59" w:tgtFrame="_new" w:history="1">
        <w:r w:rsidRPr="007748AB">
          <w:rPr>
            <w:rStyle w:val="Hyperlink"/>
            <w:rFonts w:ascii="Arial" w:hAnsi="Arial" w:cs="Arial"/>
            <w:sz w:val="24"/>
            <w:szCs w:val="24"/>
          </w:rPr>
          <w:t>https://doi.org/10.1186/s12909-024-06624-3</w:t>
        </w:r>
      </w:hyperlink>
      <w:r w:rsidRPr="007748AB">
        <w:rPr>
          <w:rFonts w:ascii="Arial" w:hAnsi="Arial" w:cs="Arial"/>
          <w:sz w:val="24"/>
          <w:szCs w:val="24"/>
        </w:rPr>
        <w:t xml:space="preserve"> </w:t>
      </w:r>
      <w:hyperlink r:id="rId60" w:tgtFrame="_blank" w:history="1">
        <w:r w:rsidRPr="007748AB">
          <w:rPr>
            <w:rStyle w:val="Hyperlink"/>
            <w:rFonts w:ascii="Arial" w:hAnsi="Arial" w:cs="Arial"/>
            <w:sz w:val="24"/>
            <w:szCs w:val="24"/>
          </w:rPr>
          <w:t>SpringerLink</w:t>
        </w:r>
      </w:hyperlink>
    </w:p>
    <w:p w14:paraId="7C3424DF"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Liu, K., Zhang, W., Li, W., Wang, T., &amp; Zheng, Y. (2023). Effectiveness of virtual reality in nursing education: A systematic review and meta-analysis. </w:t>
      </w:r>
      <w:r w:rsidRPr="007748AB">
        <w:rPr>
          <w:rFonts w:ascii="Arial" w:hAnsi="Arial" w:cs="Arial"/>
          <w:i/>
          <w:iCs/>
          <w:sz w:val="24"/>
          <w:szCs w:val="24"/>
        </w:rPr>
        <w:t>BMC Medical Education, 23</w:t>
      </w:r>
      <w:r w:rsidRPr="007748AB">
        <w:rPr>
          <w:rFonts w:ascii="Arial" w:hAnsi="Arial" w:cs="Arial"/>
          <w:sz w:val="24"/>
          <w:szCs w:val="24"/>
        </w:rPr>
        <w:t xml:space="preserve">, 710. </w:t>
      </w:r>
      <w:hyperlink r:id="rId61" w:tgtFrame="_new" w:history="1">
        <w:r w:rsidRPr="007748AB">
          <w:rPr>
            <w:rStyle w:val="Hyperlink"/>
            <w:rFonts w:ascii="Arial" w:hAnsi="Arial" w:cs="Arial"/>
            <w:sz w:val="24"/>
            <w:szCs w:val="24"/>
          </w:rPr>
          <w:t>https://doi.org/10.1186/s12909-023-04662-x</w:t>
        </w:r>
      </w:hyperlink>
      <w:r w:rsidRPr="007748AB">
        <w:rPr>
          <w:rFonts w:ascii="Arial" w:hAnsi="Arial" w:cs="Arial"/>
          <w:sz w:val="24"/>
          <w:szCs w:val="24"/>
        </w:rPr>
        <w:t xml:space="preserve"> </w:t>
      </w:r>
      <w:hyperlink r:id="rId62" w:tgtFrame="_blank" w:history="1">
        <w:r w:rsidRPr="007748AB">
          <w:rPr>
            <w:rStyle w:val="Hyperlink"/>
            <w:rFonts w:ascii="Arial" w:hAnsi="Arial" w:cs="Arial"/>
            <w:sz w:val="24"/>
            <w:szCs w:val="24"/>
          </w:rPr>
          <w:t>PubMed</w:t>
        </w:r>
      </w:hyperlink>
    </w:p>
    <w:p w14:paraId="77777133"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lastRenderedPageBreak/>
        <w:t xml:space="preserve">Sim, J. J. M., et al. (2022). The effectiveness of virtual simulations and their design features in developing clinical reasoning among nurses and nursing students: A systematic review and meta-analysis. </w:t>
      </w:r>
      <w:r w:rsidRPr="007748AB">
        <w:rPr>
          <w:rFonts w:ascii="Arial" w:hAnsi="Arial" w:cs="Arial"/>
          <w:i/>
          <w:iCs/>
          <w:sz w:val="24"/>
          <w:szCs w:val="24"/>
        </w:rPr>
        <w:t>Clinical Simulation in Nursing</w:t>
      </w:r>
      <w:r w:rsidRPr="007748AB">
        <w:rPr>
          <w:rFonts w:ascii="Arial" w:hAnsi="Arial" w:cs="Arial"/>
          <w:sz w:val="24"/>
          <w:szCs w:val="24"/>
        </w:rPr>
        <w:t xml:space="preserve">. </w:t>
      </w:r>
      <w:hyperlink r:id="rId63" w:tgtFrame="_blank" w:history="1">
        <w:r w:rsidRPr="007748AB">
          <w:rPr>
            <w:rStyle w:val="Hyperlink"/>
            <w:rFonts w:ascii="Arial" w:hAnsi="Arial" w:cs="Arial"/>
            <w:sz w:val="24"/>
            <w:szCs w:val="24"/>
          </w:rPr>
          <w:t>nursingsimulation.org+1</w:t>
        </w:r>
      </w:hyperlink>
    </w:p>
    <w:p w14:paraId="3C3EAAD6"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Ton, D. N. M., et al. (2024). Effects of standardized patient simulation and mobile applications on surgical nursing competence and self-efficacy. </w:t>
      </w:r>
      <w:r w:rsidRPr="007748AB">
        <w:rPr>
          <w:rFonts w:ascii="Arial" w:hAnsi="Arial" w:cs="Arial"/>
          <w:i/>
          <w:iCs/>
          <w:sz w:val="24"/>
          <w:szCs w:val="24"/>
        </w:rPr>
        <w:t>International Journal of Environmental Research and Public Health, 21</w:t>
      </w:r>
      <w:r w:rsidRPr="007748AB">
        <w:rPr>
          <w:rFonts w:ascii="Arial" w:hAnsi="Arial" w:cs="Arial"/>
          <w:sz w:val="24"/>
          <w:szCs w:val="24"/>
        </w:rPr>
        <w:t xml:space="preserve">(4), 515. https://doi.org/10.3390/ijerph21040515 </w:t>
      </w:r>
      <w:hyperlink r:id="rId64" w:tgtFrame="_blank" w:history="1">
        <w:r w:rsidRPr="007748AB">
          <w:rPr>
            <w:rStyle w:val="Hyperlink"/>
            <w:rFonts w:ascii="Arial" w:hAnsi="Arial" w:cs="Arial"/>
            <w:sz w:val="24"/>
            <w:szCs w:val="24"/>
          </w:rPr>
          <w:t>MDPI</w:t>
        </w:r>
      </w:hyperlink>
    </w:p>
    <w:p w14:paraId="4B2CB094" w14:textId="77777777" w:rsidR="007748AB" w:rsidRPr="007748AB" w:rsidRDefault="007748AB" w:rsidP="007748AB">
      <w:pPr>
        <w:spacing w:line="360" w:lineRule="auto"/>
        <w:rPr>
          <w:rFonts w:ascii="Arial" w:hAnsi="Arial" w:cs="Arial"/>
          <w:sz w:val="24"/>
          <w:szCs w:val="24"/>
        </w:rPr>
      </w:pPr>
      <w:r w:rsidRPr="007748AB">
        <w:rPr>
          <w:rFonts w:ascii="Arial" w:hAnsi="Arial" w:cs="Arial"/>
          <w:sz w:val="24"/>
          <w:szCs w:val="24"/>
        </w:rPr>
        <w:t xml:space="preserve">(Plus any additional local or foundational </w:t>
      </w:r>
      <w:proofErr w:type="gramStart"/>
      <w:r w:rsidRPr="007748AB">
        <w:rPr>
          <w:rFonts w:ascii="Arial" w:hAnsi="Arial" w:cs="Arial"/>
          <w:sz w:val="24"/>
          <w:szCs w:val="24"/>
        </w:rPr>
        <w:t>sources</w:t>
      </w:r>
      <w:proofErr w:type="gramEnd"/>
      <w:r w:rsidRPr="007748AB">
        <w:rPr>
          <w:rFonts w:ascii="Arial" w:hAnsi="Arial" w:cs="Arial"/>
          <w:sz w:val="24"/>
          <w:szCs w:val="24"/>
        </w:rPr>
        <w:t xml:space="preserve"> you want to include.)</w:t>
      </w:r>
    </w:p>
    <w:p w14:paraId="47A50892" w14:textId="77777777" w:rsidR="005A7860" w:rsidRPr="007748AB" w:rsidRDefault="005A7860" w:rsidP="007748AB">
      <w:pPr>
        <w:spacing w:line="360" w:lineRule="auto"/>
        <w:rPr>
          <w:rFonts w:ascii="Arial" w:hAnsi="Arial" w:cs="Arial"/>
          <w:sz w:val="24"/>
          <w:szCs w:val="24"/>
        </w:rPr>
      </w:pPr>
    </w:p>
    <w:sectPr w:rsidR="005A7860" w:rsidRPr="007748AB" w:rsidSect="00187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211C0"/>
    <w:multiLevelType w:val="multilevel"/>
    <w:tmpl w:val="3884A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26D4"/>
    <w:multiLevelType w:val="multilevel"/>
    <w:tmpl w:val="B76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503F4"/>
    <w:multiLevelType w:val="multilevel"/>
    <w:tmpl w:val="CC7C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658A7"/>
    <w:multiLevelType w:val="multilevel"/>
    <w:tmpl w:val="9938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2CFE"/>
    <w:multiLevelType w:val="multilevel"/>
    <w:tmpl w:val="B1C8C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2460E"/>
    <w:multiLevelType w:val="multilevel"/>
    <w:tmpl w:val="A3A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D0CF0"/>
    <w:multiLevelType w:val="multilevel"/>
    <w:tmpl w:val="FB603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90A5F"/>
    <w:multiLevelType w:val="multilevel"/>
    <w:tmpl w:val="07C21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45528"/>
    <w:multiLevelType w:val="multilevel"/>
    <w:tmpl w:val="5A8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94F1B"/>
    <w:multiLevelType w:val="multilevel"/>
    <w:tmpl w:val="02DC1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72C0C"/>
    <w:multiLevelType w:val="multilevel"/>
    <w:tmpl w:val="197CF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E0AE5"/>
    <w:multiLevelType w:val="multilevel"/>
    <w:tmpl w:val="3E0E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BF7103"/>
    <w:multiLevelType w:val="multilevel"/>
    <w:tmpl w:val="A802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D0A22"/>
    <w:multiLevelType w:val="multilevel"/>
    <w:tmpl w:val="B20A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15DA6"/>
    <w:multiLevelType w:val="multilevel"/>
    <w:tmpl w:val="0770B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313344"/>
    <w:multiLevelType w:val="multilevel"/>
    <w:tmpl w:val="D7E6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71BE6"/>
    <w:multiLevelType w:val="multilevel"/>
    <w:tmpl w:val="123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26DB4"/>
    <w:multiLevelType w:val="multilevel"/>
    <w:tmpl w:val="E95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768F5"/>
    <w:multiLevelType w:val="multilevel"/>
    <w:tmpl w:val="B6C6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72DD3"/>
    <w:multiLevelType w:val="multilevel"/>
    <w:tmpl w:val="4FA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07D44"/>
    <w:multiLevelType w:val="multilevel"/>
    <w:tmpl w:val="DB82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238FA"/>
    <w:multiLevelType w:val="multilevel"/>
    <w:tmpl w:val="365E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617F1"/>
    <w:multiLevelType w:val="multilevel"/>
    <w:tmpl w:val="581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63DF1"/>
    <w:multiLevelType w:val="multilevel"/>
    <w:tmpl w:val="2A3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02557"/>
    <w:multiLevelType w:val="multilevel"/>
    <w:tmpl w:val="884C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F35F9"/>
    <w:multiLevelType w:val="multilevel"/>
    <w:tmpl w:val="89EC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34E3B"/>
    <w:multiLevelType w:val="multilevel"/>
    <w:tmpl w:val="CB1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375286">
    <w:abstractNumId w:val="9"/>
  </w:num>
  <w:num w:numId="2" w16cid:durableId="744913450">
    <w:abstractNumId w:val="21"/>
  </w:num>
  <w:num w:numId="3" w16cid:durableId="1879198985">
    <w:abstractNumId w:val="20"/>
  </w:num>
  <w:num w:numId="4" w16cid:durableId="1609198578">
    <w:abstractNumId w:val="1"/>
  </w:num>
  <w:num w:numId="5" w16cid:durableId="416636832">
    <w:abstractNumId w:val="18"/>
  </w:num>
  <w:num w:numId="6" w16cid:durableId="1381511503">
    <w:abstractNumId w:val="16"/>
  </w:num>
  <w:num w:numId="7" w16cid:durableId="1263106536">
    <w:abstractNumId w:val="23"/>
  </w:num>
  <w:num w:numId="8" w16cid:durableId="138150997">
    <w:abstractNumId w:val="26"/>
  </w:num>
  <w:num w:numId="9" w16cid:durableId="1043021708">
    <w:abstractNumId w:val="7"/>
  </w:num>
  <w:num w:numId="10" w16cid:durableId="854464966">
    <w:abstractNumId w:val="2"/>
  </w:num>
  <w:num w:numId="11" w16cid:durableId="368146459">
    <w:abstractNumId w:val="19"/>
  </w:num>
  <w:num w:numId="12" w16cid:durableId="31808418">
    <w:abstractNumId w:val="22"/>
  </w:num>
  <w:num w:numId="13" w16cid:durableId="54202366">
    <w:abstractNumId w:val="4"/>
  </w:num>
  <w:num w:numId="14" w16cid:durableId="1413895627">
    <w:abstractNumId w:val="11"/>
  </w:num>
  <w:num w:numId="15" w16cid:durableId="1656182217">
    <w:abstractNumId w:val="0"/>
  </w:num>
  <w:num w:numId="16" w16cid:durableId="1572809568">
    <w:abstractNumId w:val="14"/>
  </w:num>
  <w:num w:numId="17" w16cid:durableId="151411205">
    <w:abstractNumId w:val="8"/>
  </w:num>
  <w:num w:numId="18" w16cid:durableId="50933743">
    <w:abstractNumId w:val="10"/>
  </w:num>
  <w:num w:numId="19" w16cid:durableId="420638015">
    <w:abstractNumId w:val="6"/>
  </w:num>
  <w:num w:numId="20" w16cid:durableId="1234316470">
    <w:abstractNumId w:val="15"/>
  </w:num>
  <w:num w:numId="21" w16cid:durableId="1379014845">
    <w:abstractNumId w:val="24"/>
  </w:num>
  <w:num w:numId="22" w16cid:durableId="1665817009">
    <w:abstractNumId w:val="12"/>
  </w:num>
  <w:num w:numId="23" w16cid:durableId="2105152044">
    <w:abstractNumId w:val="3"/>
  </w:num>
  <w:num w:numId="24" w16cid:durableId="957030730">
    <w:abstractNumId w:val="17"/>
  </w:num>
  <w:num w:numId="25" w16cid:durableId="1515532036">
    <w:abstractNumId w:val="13"/>
  </w:num>
  <w:num w:numId="26" w16cid:durableId="312761964">
    <w:abstractNumId w:val="25"/>
  </w:num>
  <w:num w:numId="27" w16cid:durableId="1886603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AB"/>
    <w:rsid w:val="00187887"/>
    <w:rsid w:val="003C31E1"/>
    <w:rsid w:val="005A7860"/>
    <w:rsid w:val="007748AB"/>
    <w:rsid w:val="00EB3A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15D2"/>
  <w15:chartTrackingRefBased/>
  <w15:docId w15:val="{E7EE6B86-1E7E-421A-B343-35EC2782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48AB"/>
    <w:rPr>
      <w:color w:val="0563C1" w:themeColor="hyperlink"/>
      <w:u w:val="single"/>
    </w:rPr>
  </w:style>
  <w:style w:type="character" w:styleId="UnresolvedMention">
    <w:name w:val="Unresolved Mention"/>
    <w:basedOn w:val="DefaultParagraphFont"/>
    <w:uiPriority w:val="99"/>
    <w:semiHidden/>
    <w:unhideWhenUsed/>
    <w:rsid w:val="00774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65784">
      <w:bodyDiv w:val="1"/>
      <w:marLeft w:val="0"/>
      <w:marRight w:val="0"/>
      <w:marTop w:val="0"/>
      <w:marBottom w:val="0"/>
      <w:divBdr>
        <w:top w:val="none" w:sz="0" w:space="0" w:color="auto"/>
        <w:left w:val="none" w:sz="0" w:space="0" w:color="auto"/>
        <w:bottom w:val="none" w:sz="0" w:space="0" w:color="auto"/>
        <w:right w:val="none" w:sz="0" w:space="0" w:color="auto"/>
      </w:divBdr>
      <w:divsChild>
        <w:div w:id="2028291771">
          <w:marLeft w:val="0"/>
          <w:marRight w:val="0"/>
          <w:marTop w:val="0"/>
          <w:marBottom w:val="0"/>
          <w:divBdr>
            <w:top w:val="none" w:sz="0" w:space="0" w:color="auto"/>
            <w:left w:val="none" w:sz="0" w:space="0" w:color="auto"/>
            <w:bottom w:val="none" w:sz="0" w:space="0" w:color="auto"/>
            <w:right w:val="none" w:sz="0" w:space="0" w:color="auto"/>
          </w:divBdr>
          <w:divsChild>
            <w:div w:id="878669468">
              <w:marLeft w:val="0"/>
              <w:marRight w:val="0"/>
              <w:marTop w:val="0"/>
              <w:marBottom w:val="0"/>
              <w:divBdr>
                <w:top w:val="none" w:sz="0" w:space="0" w:color="auto"/>
                <w:left w:val="none" w:sz="0" w:space="0" w:color="auto"/>
                <w:bottom w:val="none" w:sz="0" w:space="0" w:color="auto"/>
                <w:right w:val="none" w:sz="0" w:space="0" w:color="auto"/>
              </w:divBdr>
              <w:divsChild>
                <w:div w:id="1790589587">
                  <w:marLeft w:val="0"/>
                  <w:marRight w:val="0"/>
                  <w:marTop w:val="0"/>
                  <w:marBottom w:val="0"/>
                  <w:divBdr>
                    <w:top w:val="none" w:sz="0" w:space="0" w:color="auto"/>
                    <w:left w:val="none" w:sz="0" w:space="0" w:color="auto"/>
                    <w:bottom w:val="none" w:sz="0" w:space="0" w:color="auto"/>
                    <w:right w:val="none" w:sz="0" w:space="0" w:color="auto"/>
                  </w:divBdr>
                  <w:divsChild>
                    <w:div w:id="1505589236">
                      <w:marLeft w:val="0"/>
                      <w:marRight w:val="0"/>
                      <w:marTop w:val="0"/>
                      <w:marBottom w:val="0"/>
                      <w:divBdr>
                        <w:top w:val="none" w:sz="0" w:space="0" w:color="auto"/>
                        <w:left w:val="none" w:sz="0" w:space="0" w:color="auto"/>
                        <w:bottom w:val="none" w:sz="0" w:space="0" w:color="auto"/>
                        <w:right w:val="none" w:sz="0" w:space="0" w:color="auto"/>
                      </w:divBdr>
                      <w:divsChild>
                        <w:div w:id="104351631">
                          <w:marLeft w:val="0"/>
                          <w:marRight w:val="0"/>
                          <w:marTop w:val="0"/>
                          <w:marBottom w:val="0"/>
                          <w:divBdr>
                            <w:top w:val="none" w:sz="0" w:space="0" w:color="auto"/>
                            <w:left w:val="none" w:sz="0" w:space="0" w:color="auto"/>
                            <w:bottom w:val="none" w:sz="0" w:space="0" w:color="auto"/>
                            <w:right w:val="none" w:sz="0" w:space="0" w:color="auto"/>
                          </w:divBdr>
                          <w:divsChild>
                            <w:div w:id="85237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52783">
          <w:marLeft w:val="0"/>
          <w:marRight w:val="0"/>
          <w:marTop w:val="0"/>
          <w:marBottom w:val="0"/>
          <w:divBdr>
            <w:top w:val="none" w:sz="0" w:space="0" w:color="auto"/>
            <w:left w:val="none" w:sz="0" w:space="0" w:color="auto"/>
            <w:bottom w:val="none" w:sz="0" w:space="0" w:color="auto"/>
            <w:right w:val="none" w:sz="0" w:space="0" w:color="auto"/>
          </w:divBdr>
          <w:divsChild>
            <w:div w:id="138571901">
              <w:marLeft w:val="0"/>
              <w:marRight w:val="0"/>
              <w:marTop w:val="0"/>
              <w:marBottom w:val="0"/>
              <w:divBdr>
                <w:top w:val="none" w:sz="0" w:space="0" w:color="auto"/>
                <w:left w:val="none" w:sz="0" w:space="0" w:color="auto"/>
                <w:bottom w:val="none" w:sz="0" w:space="0" w:color="auto"/>
                <w:right w:val="none" w:sz="0" w:space="0" w:color="auto"/>
              </w:divBdr>
              <w:divsChild>
                <w:div w:id="1291550449">
                  <w:marLeft w:val="0"/>
                  <w:marRight w:val="0"/>
                  <w:marTop w:val="0"/>
                  <w:marBottom w:val="0"/>
                  <w:divBdr>
                    <w:top w:val="none" w:sz="0" w:space="0" w:color="auto"/>
                    <w:left w:val="none" w:sz="0" w:space="0" w:color="auto"/>
                    <w:bottom w:val="none" w:sz="0" w:space="0" w:color="auto"/>
                    <w:right w:val="none" w:sz="0" w:space="0" w:color="auto"/>
                  </w:divBdr>
                  <w:divsChild>
                    <w:div w:id="1469519272">
                      <w:marLeft w:val="0"/>
                      <w:marRight w:val="0"/>
                      <w:marTop w:val="0"/>
                      <w:marBottom w:val="0"/>
                      <w:divBdr>
                        <w:top w:val="none" w:sz="0" w:space="0" w:color="auto"/>
                        <w:left w:val="none" w:sz="0" w:space="0" w:color="auto"/>
                        <w:bottom w:val="none" w:sz="0" w:space="0" w:color="auto"/>
                        <w:right w:val="none" w:sz="0" w:space="0" w:color="auto"/>
                      </w:divBdr>
                      <w:divsChild>
                        <w:div w:id="1953242126">
                          <w:marLeft w:val="0"/>
                          <w:marRight w:val="0"/>
                          <w:marTop w:val="0"/>
                          <w:marBottom w:val="0"/>
                          <w:divBdr>
                            <w:top w:val="none" w:sz="0" w:space="0" w:color="auto"/>
                            <w:left w:val="none" w:sz="0" w:space="0" w:color="auto"/>
                            <w:bottom w:val="none" w:sz="0" w:space="0" w:color="auto"/>
                            <w:right w:val="none" w:sz="0" w:space="0" w:color="auto"/>
                          </w:divBdr>
                          <w:divsChild>
                            <w:div w:id="1445616306">
                              <w:marLeft w:val="0"/>
                              <w:marRight w:val="0"/>
                              <w:marTop w:val="0"/>
                              <w:marBottom w:val="0"/>
                              <w:divBdr>
                                <w:top w:val="none" w:sz="0" w:space="0" w:color="auto"/>
                                <w:left w:val="none" w:sz="0" w:space="0" w:color="auto"/>
                                <w:bottom w:val="none" w:sz="0" w:space="0" w:color="auto"/>
                                <w:right w:val="none" w:sz="0" w:space="0" w:color="auto"/>
                              </w:divBdr>
                              <w:divsChild>
                                <w:div w:id="2958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897771">
          <w:marLeft w:val="0"/>
          <w:marRight w:val="0"/>
          <w:marTop w:val="0"/>
          <w:marBottom w:val="0"/>
          <w:divBdr>
            <w:top w:val="none" w:sz="0" w:space="0" w:color="auto"/>
            <w:left w:val="none" w:sz="0" w:space="0" w:color="auto"/>
            <w:bottom w:val="none" w:sz="0" w:space="0" w:color="auto"/>
            <w:right w:val="none" w:sz="0" w:space="0" w:color="auto"/>
          </w:divBdr>
          <w:divsChild>
            <w:div w:id="1864511291">
              <w:marLeft w:val="0"/>
              <w:marRight w:val="0"/>
              <w:marTop w:val="0"/>
              <w:marBottom w:val="0"/>
              <w:divBdr>
                <w:top w:val="none" w:sz="0" w:space="0" w:color="auto"/>
                <w:left w:val="none" w:sz="0" w:space="0" w:color="auto"/>
                <w:bottom w:val="none" w:sz="0" w:space="0" w:color="auto"/>
                <w:right w:val="none" w:sz="0" w:space="0" w:color="auto"/>
              </w:divBdr>
              <w:divsChild>
                <w:div w:id="1759791145">
                  <w:marLeft w:val="0"/>
                  <w:marRight w:val="0"/>
                  <w:marTop w:val="0"/>
                  <w:marBottom w:val="0"/>
                  <w:divBdr>
                    <w:top w:val="none" w:sz="0" w:space="0" w:color="auto"/>
                    <w:left w:val="none" w:sz="0" w:space="0" w:color="auto"/>
                    <w:bottom w:val="none" w:sz="0" w:space="0" w:color="auto"/>
                    <w:right w:val="none" w:sz="0" w:space="0" w:color="auto"/>
                  </w:divBdr>
                  <w:divsChild>
                    <w:div w:id="545218321">
                      <w:marLeft w:val="0"/>
                      <w:marRight w:val="0"/>
                      <w:marTop w:val="0"/>
                      <w:marBottom w:val="0"/>
                      <w:divBdr>
                        <w:top w:val="none" w:sz="0" w:space="0" w:color="auto"/>
                        <w:left w:val="none" w:sz="0" w:space="0" w:color="auto"/>
                        <w:bottom w:val="none" w:sz="0" w:space="0" w:color="auto"/>
                        <w:right w:val="none" w:sz="0" w:space="0" w:color="auto"/>
                      </w:divBdr>
                      <w:divsChild>
                        <w:div w:id="1220245556">
                          <w:marLeft w:val="0"/>
                          <w:marRight w:val="0"/>
                          <w:marTop w:val="0"/>
                          <w:marBottom w:val="0"/>
                          <w:divBdr>
                            <w:top w:val="none" w:sz="0" w:space="0" w:color="auto"/>
                            <w:left w:val="none" w:sz="0" w:space="0" w:color="auto"/>
                            <w:bottom w:val="none" w:sz="0" w:space="0" w:color="auto"/>
                            <w:right w:val="none" w:sz="0" w:space="0" w:color="auto"/>
                          </w:divBdr>
                          <w:divsChild>
                            <w:div w:id="1290548373">
                              <w:marLeft w:val="0"/>
                              <w:marRight w:val="0"/>
                              <w:marTop w:val="0"/>
                              <w:marBottom w:val="0"/>
                              <w:divBdr>
                                <w:top w:val="none" w:sz="0" w:space="0" w:color="auto"/>
                                <w:left w:val="none" w:sz="0" w:space="0" w:color="auto"/>
                                <w:bottom w:val="none" w:sz="0" w:space="0" w:color="auto"/>
                                <w:right w:val="none" w:sz="0" w:space="0" w:color="auto"/>
                              </w:divBdr>
                              <w:divsChild>
                                <w:div w:id="1436561093">
                                  <w:marLeft w:val="0"/>
                                  <w:marRight w:val="0"/>
                                  <w:marTop w:val="0"/>
                                  <w:marBottom w:val="0"/>
                                  <w:divBdr>
                                    <w:top w:val="none" w:sz="0" w:space="0" w:color="auto"/>
                                    <w:left w:val="none" w:sz="0" w:space="0" w:color="auto"/>
                                    <w:bottom w:val="none" w:sz="0" w:space="0" w:color="auto"/>
                                    <w:right w:val="none" w:sz="0" w:space="0" w:color="auto"/>
                                  </w:divBdr>
                                  <w:divsChild>
                                    <w:div w:id="5455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015112">
                      <w:marLeft w:val="0"/>
                      <w:marRight w:val="0"/>
                      <w:marTop w:val="0"/>
                      <w:marBottom w:val="0"/>
                      <w:divBdr>
                        <w:top w:val="none" w:sz="0" w:space="0" w:color="auto"/>
                        <w:left w:val="none" w:sz="0" w:space="0" w:color="auto"/>
                        <w:bottom w:val="none" w:sz="0" w:space="0" w:color="auto"/>
                        <w:right w:val="none" w:sz="0" w:space="0" w:color="auto"/>
                      </w:divBdr>
                      <w:divsChild>
                        <w:div w:id="97022139">
                          <w:marLeft w:val="0"/>
                          <w:marRight w:val="0"/>
                          <w:marTop w:val="0"/>
                          <w:marBottom w:val="0"/>
                          <w:divBdr>
                            <w:top w:val="none" w:sz="0" w:space="0" w:color="auto"/>
                            <w:left w:val="none" w:sz="0" w:space="0" w:color="auto"/>
                            <w:bottom w:val="none" w:sz="0" w:space="0" w:color="auto"/>
                            <w:right w:val="none" w:sz="0" w:space="0" w:color="auto"/>
                          </w:divBdr>
                          <w:divsChild>
                            <w:div w:id="1634021826">
                              <w:marLeft w:val="0"/>
                              <w:marRight w:val="0"/>
                              <w:marTop w:val="0"/>
                              <w:marBottom w:val="0"/>
                              <w:divBdr>
                                <w:top w:val="none" w:sz="0" w:space="0" w:color="auto"/>
                                <w:left w:val="none" w:sz="0" w:space="0" w:color="auto"/>
                                <w:bottom w:val="none" w:sz="0" w:space="0" w:color="auto"/>
                                <w:right w:val="none" w:sz="0" w:space="0" w:color="auto"/>
                              </w:divBdr>
                              <w:divsChild>
                                <w:div w:id="920524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638952">
          <w:marLeft w:val="0"/>
          <w:marRight w:val="0"/>
          <w:marTop w:val="0"/>
          <w:marBottom w:val="0"/>
          <w:divBdr>
            <w:top w:val="none" w:sz="0" w:space="0" w:color="auto"/>
            <w:left w:val="none" w:sz="0" w:space="0" w:color="auto"/>
            <w:bottom w:val="none" w:sz="0" w:space="0" w:color="auto"/>
            <w:right w:val="none" w:sz="0" w:space="0" w:color="auto"/>
          </w:divBdr>
          <w:divsChild>
            <w:div w:id="313879315">
              <w:marLeft w:val="0"/>
              <w:marRight w:val="0"/>
              <w:marTop w:val="0"/>
              <w:marBottom w:val="0"/>
              <w:divBdr>
                <w:top w:val="none" w:sz="0" w:space="0" w:color="auto"/>
                <w:left w:val="none" w:sz="0" w:space="0" w:color="auto"/>
                <w:bottom w:val="none" w:sz="0" w:space="0" w:color="auto"/>
                <w:right w:val="none" w:sz="0" w:space="0" w:color="auto"/>
              </w:divBdr>
              <w:divsChild>
                <w:div w:id="46297310">
                  <w:marLeft w:val="0"/>
                  <w:marRight w:val="0"/>
                  <w:marTop w:val="0"/>
                  <w:marBottom w:val="0"/>
                  <w:divBdr>
                    <w:top w:val="none" w:sz="0" w:space="0" w:color="auto"/>
                    <w:left w:val="none" w:sz="0" w:space="0" w:color="auto"/>
                    <w:bottom w:val="none" w:sz="0" w:space="0" w:color="auto"/>
                    <w:right w:val="none" w:sz="0" w:space="0" w:color="auto"/>
                  </w:divBdr>
                  <w:divsChild>
                    <w:div w:id="610284060">
                      <w:marLeft w:val="0"/>
                      <w:marRight w:val="0"/>
                      <w:marTop w:val="0"/>
                      <w:marBottom w:val="0"/>
                      <w:divBdr>
                        <w:top w:val="none" w:sz="0" w:space="0" w:color="auto"/>
                        <w:left w:val="none" w:sz="0" w:space="0" w:color="auto"/>
                        <w:bottom w:val="none" w:sz="0" w:space="0" w:color="auto"/>
                        <w:right w:val="none" w:sz="0" w:space="0" w:color="auto"/>
                      </w:divBdr>
                      <w:divsChild>
                        <w:div w:id="1972443085">
                          <w:marLeft w:val="0"/>
                          <w:marRight w:val="0"/>
                          <w:marTop w:val="0"/>
                          <w:marBottom w:val="0"/>
                          <w:divBdr>
                            <w:top w:val="none" w:sz="0" w:space="0" w:color="auto"/>
                            <w:left w:val="none" w:sz="0" w:space="0" w:color="auto"/>
                            <w:bottom w:val="none" w:sz="0" w:space="0" w:color="auto"/>
                            <w:right w:val="none" w:sz="0" w:space="0" w:color="auto"/>
                          </w:divBdr>
                          <w:divsChild>
                            <w:div w:id="2003510224">
                              <w:marLeft w:val="0"/>
                              <w:marRight w:val="0"/>
                              <w:marTop w:val="0"/>
                              <w:marBottom w:val="0"/>
                              <w:divBdr>
                                <w:top w:val="none" w:sz="0" w:space="0" w:color="auto"/>
                                <w:left w:val="none" w:sz="0" w:space="0" w:color="auto"/>
                                <w:bottom w:val="none" w:sz="0" w:space="0" w:color="auto"/>
                                <w:right w:val="none" w:sz="0" w:space="0" w:color="auto"/>
                              </w:divBdr>
                              <w:divsChild>
                                <w:div w:id="1334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87123">
          <w:marLeft w:val="0"/>
          <w:marRight w:val="0"/>
          <w:marTop w:val="0"/>
          <w:marBottom w:val="0"/>
          <w:divBdr>
            <w:top w:val="none" w:sz="0" w:space="0" w:color="auto"/>
            <w:left w:val="none" w:sz="0" w:space="0" w:color="auto"/>
            <w:bottom w:val="none" w:sz="0" w:space="0" w:color="auto"/>
            <w:right w:val="none" w:sz="0" w:space="0" w:color="auto"/>
          </w:divBdr>
          <w:divsChild>
            <w:div w:id="866482990">
              <w:marLeft w:val="0"/>
              <w:marRight w:val="0"/>
              <w:marTop w:val="0"/>
              <w:marBottom w:val="0"/>
              <w:divBdr>
                <w:top w:val="none" w:sz="0" w:space="0" w:color="auto"/>
                <w:left w:val="none" w:sz="0" w:space="0" w:color="auto"/>
                <w:bottom w:val="none" w:sz="0" w:space="0" w:color="auto"/>
                <w:right w:val="none" w:sz="0" w:space="0" w:color="auto"/>
              </w:divBdr>
              <w:divsChild>
                <w:div w:id="2062047783">
                  <w:marLeft w:val="0"/>
                  <w:marRight w:val="0"/>
                  <w:marTop w:val="0"/>
                  <w:marBottom w:val="0"/>
                  <w:divBdr>
                    <w:top w:val="none" w:sz="0" w:space="0" w:color="auto"/>
                    <w:left w:val="none" w:sz="0" w:space="0" w:color="auto"/>
                    <w:bottom w:val="none" w:sz="0" w:space="0" w:color="auto"/>
                    <w:right w:val="none" w:sz="0" w:space="0" w:color="auto"/>
                  </w:divBdr>
                  <w:divsChild>
                    <w:div w:id="1368796566">
                      <w:marLeft w:val="0"/>
                      <w:marRight w:val="0"/>
                      <w:marTop w:val="0"/>
                      <w:marBottom w:val="0"/>
                      <w:divBdr>
                        <w:top w:val="none" w:sz="0" w:space="0" w:color="auto"/>
                        <w:left w:val="none" w:sz="0" w:space="0" w:color="auto"/>
                        <w:bottom w:val="none" w:sz="0" w:space="0" w:color="auto"/>
                        <w:right w:val="none" w:sz="0" w:space="0" w:color="auto"/>
                      </w:divBdr>
                      <w:divsChild>
                        <w:div w:id="362561045">
                          <w:marLeft w:val="0"/>
                          <w:marRight w:val="0"/>
                          <w:marTop w:val="0"/>
                          <w:marBottom w:val="0"/>
                          <w:divBdr>
                            <w:top w:val="none" w:sz="0" w:space="0" w:color="auto"/>
                            <w:left w:val="none" w:sz="0" w:space="0" w:color="auto"/>
                            <w:bottom w:val="none" w:sz="0" w:space="0" w:color="auto"/>
                            <w:right w:val="none" w:sz="0" w:space="0" w:color="auto"/>
                          </w:divBdr>
                          <w:divsChild>
                            <w:div w:id="5992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561249">
          <w:marLeft w:val="0"/>
          <w:marRight w:val="0"/>
          <w:marTop w:val="0"/>
          <w:marBottom w:val="0"/>
          <w:divBdr>
            <w:top w:val="none" w:sz="0" w:space="0" w:color="auto"/>
            <w:left w:val="none" w:sz="0" w:space="0" w:color="auto"/>
            <w:bottom w:val="none" w:sz="0" w:space="0" w:color="auto"/>
            <w:right w:val="none" w:sz="0" w:space="0" w:color="auto"/>
          </w:divBdr>
          <w:divsChild>
            <w:div w:id="1036930890">
              <w:marLeft w:val="0"/>
              <w:marRight w:val="0"/>
              <w:marTop w:val="0"/>
              <w:marBottom w:val="0"/>
              <w:divBdr>
                <w:top w:val="none" w:sz="0" w:space="0" w:color="auto"/>
                <w:left w:val="none" w:sz="0" w:space="0" w:color="auto"/>
                <w:bottom w:val="none" w:sz="0" w:space="0" w:color="auto"/>
                <w:right w:val="none" w:sz="0" w:space="0" w:color="auto"/>
              </w:divBdr>
              <w:divsChild>
                <w:div w:id="2046296412">
                  <w:marLeft w:val="0"/>
                  <w:marRight w:val="0"/>
                  <w:marTop w:val="0"/>
                  <w:marBottom w:val="0"/>
                  <w:divBdr>
                    <w:top w:val="none" w:sz="0" w:space="0" w:color="auto"/>
                    <w:left w:val="none" w:sz="0" w:space="0" w:color="auto"/>
                    <w:bottom w:val="none" w:sz="0" w:space="0" w:color="auto"/>
                    <w:right w:val="none" w:sz="0" w:space="0" w:color="auto"/>
                  </w:divBdr>
                  <w:divsChild>
                    <w:div w:id="603221707">
                      <w:marLeft w:val="0"/>
                      <w:marRight w:val="0"/>
                      <w:marTop w:val="0"/>
                      <w:marBottom w:val="0"/>
                      <w:divBdr>
                        <w:top w:val="none" w:sz="0" w:space="0" w:color="auto"/>
                        <w:left w:val="none" w:sz="0" w:space="0" w:color="auto"/>
                        <w:bottom w:val="none" w:sz="0" w:space="0" w:color="auto"/>
                        <w:right w:val="none" w:sz="0" w:space="0" w:color="auto"/>
                      </w:divBdr>
                      <w:divsChild>
                        <w:div w:id="1313097340">
                          <w:marLeft w:val="0"/>
                          <w:marRight w:val="0"/>
                          <w:marTop w:val="0"/>
                          <w:marBottom w:val="0"/>
                          <w:divBdr>
                            <w:top w:val="none" w:sz="0" w:space="0" w:color="auto"/>
                            <w:left w:val="none" w:sz="0" w:space="0" w:color="auto"/>
                            <w:bottom w:val="none" w:sz="0" w:space="0" w:color="auto"/>
                            <w:right w:val="none" w:sz="0" w:space="0" w:color="auto"/>
                          </w:divBdr>
                          <w:divsChild>
                            <w:div w:id="2002611606">
                              <w:marLeft w:val="0"/>
                              <w:marRight w:val="0"/>
                              <w:marTop w:val="0"/>
                              <w:marBottom w:val="0"/>
                              <w:divBdr>
                                <w:top w:val="none" w:sz="0" w:space="0" w:color="auto"/>
                                <w:left w:val="none" w:sz="0" w:space="0" w:color="auto"/>
                                <w:bottom w:val="none" w:sz="0" w:space="0" w:color="auto"/>
                                <w:right w:val="none" w:sz="0" w:space="0" w:color="auto"/>
                              </w:divBdr>
                              <w:divsChild>
                                <w:div w:id="4075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540743">
          <w:marLeft w:val="0"/>
          <w:marRight w:val="0"/>
          <w:marTop w:val="0"/>
          <w:marBottom w:val="0"/>
          <w:divBdr>
            <w:top w:val="none" w:sz="0" w:space="0" w:color="auto"/>
            <w:left w:val="none" w:sz="0" w:space="0" w:color="auto"/>
            <w:bottom w:val="none" w:sz="0" w:space="0" w:color="auto"/>
            <w:right w:val="none" w:sz="0" w:space="0" w:color="auto"/>
          </w:divBdr>
          <w:divsChild>
            <w:div w:id="561987995">
              <w:marLeft w:val="0"/>
              <w:marRight w:val="0"/>
              <w:marTop w:val="0"/>
              <w:marBottom w:val="0"/>
              <w:divBdr>
                <w:top w:val="none" w:sz="0" w:space="0" w:color="auto"/>
                <w:left w:val="none" w:sz="0" w:space="0" w:color="auto"/>
                <w:bottom w:val="none" w:sz="0" w:space="0" w:color="auto"/>
                <w:right w:val="none" w:sz="0" w:space="0" w:color="auto"/>
              </w:divBdr>
              <w:divsChild>
                <w:div w:id="1491796409">
                  <w:marLeft w:val="0"/>
                  <w:marRight w:val="0"/>
                  <w:marTop w:val="0"/>
                  <w:marBottom w:val="0"/>
                  <w:divBdr>
                    <w:top w:val="none" w:sz="0" w:space="0" w:color="auto"/>
                    <w:left w:val="none" w:sz="0" w:space="0" w:color="auto"/>
                    <w:bottom w:val="none" w:sz="0" w:space="0" w:color="auto"/>
                    <w:right w:val="none" w:sz="0" w:space="0" w:color="auto"/>
                  </w:divBdr>
                  <w:divsChild>
                    <w:div w:id="1032877065">
                      <w:marLeft w:val="0"/>
                      <w:marRight w:val="0"/>
                      <w:marTop w:val="0"/>
                      <w:marBottom w:val="0"/>
                      <w:divBdr>
                        <w:top w:val="none" w:sz="0" w:space="0" w:color="auto"/>
                        <w:left w:val="none" w:sz="0" w:space="0" w:color="auto"/>
                        <w:bottom w:val="none" w:sz="0" w:space="0" w:color="auto"/>
                        <w:right w:val="none" w:sz="0" w:space="0" w:color="auto"/>
                      </w:divBdr>
                      <w:divsChild>
                        <w:div w:id="399334128">
                          <w:marLeft w:val="0"/>
                          <w:marRight w:val="0"/>
                          <w:marTop w:val="0"/>
                          <w:marBottom w:val="0"/>
                          <w:divBdr>
                            <w:top w:val="none" w:sz="0" w:space="0" w:color="auto"/>
                            <w:left w:val="none" w:sz="0" w:space="0" w:color="auto"/>
                            <w:bottom w:val="none" w:sz="0" w:space="0" w:color="auto"/>
                            <w:right w:val="none" w:sz="0" w:space="0" w:color="auto"/>
                          </w:divBdr>
                          <w:divsChild>
                            <w:div w:id="2064400215">
                              <w:marLeft w:val="0"/>
                              <w:marRight w:val="0"/>
                              <w:marTop w:val="0"/>
                              <w:marBottom w:val="0"/>
                              <w:divBdr>
                                <w:top w:val="none" w:sz="0" w:space="0" w:color="auto"/>
                                <w:left w:val="none" w:sz="0" w:space="0" w:color="auto"/>
                                <w:bottom w:val="none" w:sz="0" w:space="0" w:color="auto"/>
                                <w:right w:val="none" w:sz="0" w:space="0" w:color="auto"/>
                              </w:divBdr>
                              <w:divsChild>
                                <w:div w:id="269243431">
                                  <w:marLeft w:val="0"/>
                                  <w:marRight w:val="0"/>
                                  <w:marTop w:val="0"/>
                                  <w:marBottom w:val="0"/>
                                  <w:divBdr>
                                    <w:top w:val="none" w:sz="0" w:space="0" w:color="auto"/>
                                    <w:left w:val="none" w:sz="0" w:space="0" w:color="auto"/>
                                    <w:bottom w:val="none" w:sz="0" w:space="0" w:color="auto"/>
                                    <w:right w:val="none" w:sz="0" w:space="0" w:color="auto"/>
                                  </w:divBdr>
                                  <w:divsChild>
                                    <w:div w:id="178326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18295">
                      <w:marLeft w:val="0"/>
                      <w:marRight w:val="0"/>
                      <w:marTop w:val="0"/>
                      <w:marBottom w:val="0"/>
                      <w:divBdr>
                        <w:top w:val="none" w:sz="0" w:space="0" w:color="auto"/>
                        <w:left w:val="none" w:sz="0" w:space="0" w:color="auto"/>
                        <w:bottom w:val="none" w:sz="0" w:space="0" w:color="auto"/>
                        <w:right w:val="none" w:sz="0" w:space="0" w:color="auto"/>
                      </w:divBdr>
                      <w:divsChild>
                        <w:div w:id="736316362">
                          <w:marLeft w:val="0"/>
                          <w:marRight w:val="0"/>
                          <w:marTop w:val="0"/>
                          <w:marBottom w:val="0"/>
                          <w:divBdr>
                            <w:top w:val="none" w:sz="0" w:space="0" w:color="auto"/>
                            <w:left w:val="none" w:sz="0" w:space="0" w:color="auto"/>
                            <w:bottom w:val="none" w:sz="0" w:space="0" w:color="auto"/>
                            <w:right w:val="none" w:sz="0" w:space="0" w:color="auto"/>
                          </w:divBdr>
                          <w:divsChild>
                            <w:div w:id="9164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894934">
      <w:bodyDiv w:val="1"/>
      <w:marLeft w:val="0"/>
      <w:marRight w:val="0"/>
      <w:marTop w:val="0"/>
      <w:marBottom w:val="0"/>
      <w:divBdr>
        <w:top w:val="none" w:sz="0" w:space="0" w:color="auto"/>
        <w:left w:val="none" w:sz="0" w:space="0" w:color="auto"/>
        <w:bottom w:val="none" w:sz="0" w:space="0" w:color="auto"/>
        <w:right w:val="none" w:sz="0" w:space="0" w:color="auto"/>
      </w:divBdr>
      <w:divsChild>
        <w:div w:id="289824870">
          <w:marLeft w:val="0"/>
          <w:marRight w:val="0"/>
          <w:marTop w:val="0"/>
          <w:marBottom w:val="0"/>
          <w:divBdr>
            <w:top w:val="none" w:sz="0" w:space="0" w:color="auto"/>
            <w:left w:val="none" w:sz="0" w:space="0" w:color="auto"/>
            <w:bottom w:val="none" w:sz="0" w:space="0" w:color="auto"/>
            <w:right w:val="none" w:sz="0" w:space="0" w:color="auto"/>
          </w:divBdr>
          <w:divsChild>
            <w:div w:id="139884162">
              <w:marLeft w:val="0"/>
              <w:marRight w:val="0"/>
              <w:marTop w:val="0"/>
              <w:marBottom w:val="0"/>
              <w:divBdr>
                <w:top w:val="none" w:sz="0" w:space="0" w:color="auto"/>
                <w:left w:val="none" w:sz="0" w:space="0" w:color="auto"/>
                <w:bottom w:val="none" w:sz="0" w:space="0" w:color="auto"/>
                <w:right w:val="none" w:sz="0" w:space="0" w:color="auto"/>
              </w:divBdr>
              <w:divsChild>
                <w:div w:id="649359835">
                  <w:marLeft w:val="0"/>
                  <w:marRight w:val="0"/>
                  <w:marTop w:val="0"/>
                  <w:marBottom w:val="0"/>
                  <w:divBdr>
                    <w:top w:val="none" w:sz="0" w:space="0" w:color="auto"/>
                    <w:left w:val="none" w:sz="0" w:space="0" w:color="auto"/>
                    <w:bottom w:val="none" w:sz="0" w:space="0" w:color="auto"/>
                    <w:right w:val="none" w:sz="0" w:space="0" w:color="auto"/>
                  </w:divBdr>
                  <w:divsChild>
                    <w:div w:id="1068071315">
                      <w:marLeft w:val="0"/>
                      <w:marRight w:val="0"/>
                      <w:marTop w:val="0"/>
                      <w:marBottom w:val="0"/>
                      <w:divBdr>
                        <w:top w:val="none" w:sz="0" w:space="0" w:color="auto"/>
                        <w:left w:val="none" w:sz="0" w:space="0" w:color="auto"/>
                        <w:bottom w:val="none" w:sz="0" w:space="0" w:color="auto"/>
                        <w:right w:val="none" w:sz="0" w:space="0" w:color="auto"/>
                      </w:divBdr>
                      <w:divsChild>
                        <w:div w:id="1616057460">
                          <w:marLeft w:val="0"/>
                          <w:marRight w:val="0"/>
                          <w:marTop w:val="0"/>
                          <w:marBottom w:val="0"/>
                          <w:divBdr>
                            <w:top w:val="none" w:sz="0" w:space="0" w:color="auto"/>
                            <w:left w:val="none" w:sz="0" w:space="0" w:color="auto"/>
                            <w:bottom w:val="none" w:sz="0" w:space="0" w:color="auto"/>
                            <w:right w:val="none" w:sz="0" w:space="0" w:color="auto"/>
                          </w:divBdr>
                          <w:divsChild>
                            <w:div w:id="4490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63660">
          <w:marLeft w:val="0"/>
          <w:marRight w:val="0"/>
          <w:marTop w:val="0"/>
          <w:marBottom w:val="0"/>
          <w:divBdr>
            <w:top w:val="none" w:sz="0" w:space="0" w:color="auto"/>
            <w:left w:val="none" w:sz="0" w:space="0" w:color="auto"/>
            <w:bottom w:val="none" w:sz="0" w:space="0" w:color="auto"/>
            <w:right w:val="none" w:sz="0" w:space="0" w:color="auto"/>
          </w:divBdr>
          <w:divsChild>
            <w:div w:id="1279604371">
              <w:marLeft w:val="0"/>
              <w:marRight w:val="0"/>
              <w:marTop w:val="0"/>
              <w:marBottom w:val="0"/>
              <w:divBdr>
                <w:top w:val="none" w:sz="0" w:space="0" w:color="auto"/>
                <w:left w:val="none" w:sz="0" w:space="0" w:color="auto"/>
                <w:bottom w:val="none" w:sz="0" w:space="0" w:color="auto"/>
                <w:right w:val="none" w:sz="0" w:space="0" w:color="auto"/>
              </w:divBdr>
              <w:divsChild>
                <w:div w:id="2092313802">
                  <w:marLeft w:val="0"/>
                  <w:marRight w:val="0"/>
                  <w:marTop w:val="0"/>
                  <w:marBottom w:val="0"/>
                  <w:divBdr>
                    <w:top w:val="none" w:sz="0" w:space="0" w:color="auto"/>
                    <w:left w:val="none" w:sz="0" w:space="0" w:color="auto"/>
                    <w:bottom w:val="none" w:sz="0" w:space="0" w:color="auto"/>
                    <w:right w:val="none" w:sz="0" w:space="0" w:color="auto"/>
                  </w:divBdr>
                  <w:divsChild>
                    <w:div w:id="1311329092">
                      <w:marLeft w:val="0"/>
                      <w:marRight w:val="0"/>
                      <w:marTop w:val="0"/>
                      <w:marBottom w:val="0"/>
                      <w:divBdr>
                        <w:top w:val="none" w:sz="0" w:space="0" w:color="auto"/>
                        <w:left w:val="none" w:sz="0" w:space="0" w:color="auto"/>
                        <w:bottom w:val="none" w:sz="0" w:space="0" w:color="auto"/>
                        <w:right w:val="none" w:sz="0" w:space="0" w:color="auto"/>
                      </w:divBdr>
                      <w:divsChild>
                        <w:div w:id="669993000">
                          <w:marLeft w:val="0"/>
                          <w:marRight w:val="0"/>
                          <w:marTop w:val="0"/>
                          <w:marBottom w:val="0"/>
                          <w:divBdr>
                            <w:top w:val="none" w:sz="0" w:space="0" w:color="auto"/>
                            <w:left w:val="none" w:sz="0" w:space="0" w:color="auto"/>
                            <w:bottom w:val="none" w:sz="0" w:space="0" w:color="auto"/>
                            <w:right w:val="none" w:sz="0" w:space="0" w:color="auto"/>
                          </w:divBdr>
                          <w:divsChild>
                            <w:div w:id="599028398">
                              <w:marLeft w:val="0"/>
                              <w:marRight w:val="0"/>
                              <w:marTop w:val="0"/>
                              <w:marBottom w:val="0"/>
                              <w:divBdr>
                                <w:top w:val="none" w:sz="0" w:space="0" w:color="auto"/>
                                <w:left w:val="none" w:sz="0" w:space="0" w:color="auto"/>
                                <w:bottom w:val="none" w:sz="0" w:space="0" w:color="auto"/>
                                <w:right w:val="none" w:sz="0" w:space="0" w:color="auto"/>
                              </w:divBdr>
                              <w:divsChild>
                                <w:div w:id="11194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99688">
          <w:marLeft w:val="0"/>
          <w:marRight w:val="0"/>
          <w:marTop w:val="0"/>
          <w:marBottom w:val="0"/>
          <w:divBdr>
            <w:top w:val="none" w:sz="0" w:space="0" w:color="auto"/>
            <w:left w:val="none" w:sz="0" w:space="0" w:color="auto"/>
            <w:bottom w:val="none" w:sz="0" w:space="0" w:color="auto"/>
            <w:right w:val="none" w:sz="0" w:space="0" w:color="auto"/>
          </w:divBdr>
          <w:divsChild>
            <w:div w:id="1905681932">
              <w:marLeft w:val="0"/>
              <w:marRight w:val="0"/>
              <w:marTop w:val="0"/>
              <w:marBottom w:val="0"/>
              <w:divBdr>
                <w:top w:val="none" w:sz="0" w:space="0" w:color="auto"/>
                <w:left w:val="none" w:sz="0" w:space="0" w:color="auto"/>
                <w:bottom w:val="none" w:sz="0" w:space="0" w:color="auto"/>
                <w:right w:val="none" w:sz="0" w:space="0" w:color="auto"/>
              </w:divBdr>
              <w:divsChild>
                <w:div w:id="1675650118">
                  <w:marLeft w:val="0"/>
                  <w:marRight w:val="0"/>
                  <w:marTop w:val="0"/>
                  <w:marBottom w:val="0"/>
                  <w:divBdr>
                    <w:top w:val="none" w:sz="0" w:space="0" w:color="auto"/>
                    <w:left w:val="none" w:sz="0" w:space="0" w:color="auto"/>
                    <w:bottom w:val="none" w:sz="0" w:space="0" w:color="auto"/>
                    <w:right w:val="none" w:sz="0" w:space="0" w:color="auto"/>
                  </w:divBdr>
                  <w:divsChild>
                    <w:div w:id="1752920382">
                      <w:marLeft w:val="0"/>
                      <w:marRight w:val="0"/>
                      <w:marTop w:val="0"/>
                      <w:marBottom w:val="0"/>
                      <w:divBdr>
                        <w:top w:val="none" w:sz="0" w:space="0" w:color="auto"/>
                        <w:left w:val="none" w:sz="0" w:space="0" w:color="auto"/>
                        <w:bottom w:val="none" w:sz="0" w:space="0" w:color="auto"/>
                        <w:right w:val="none" w:sz="0" w:space="0" w:color="auto"/>
                      </w:divBdr>
                      <w:divsChild>
                        <w:div w:id="505170124">
                          <w:marLeft w:val="0"/>
                          <w:marRight w:val="0"/>
                          <w:marTop w:val="0"/>
                          <w:marBottom w:val="0"/>
                          <w:divBdr>
                            <w:top w:val="none" w:sz="0" w:space="0" w:color="auto"/>
                            <w:left w:val="none" w:sz="0" w:space="0" w:color="auto"/>
                            <w:bottom w:val="none" w:sz="0" w:space="0" w:color="auto"/>
                            <w:right w:val="none" w:sz="0" w:space="0" w:color="auto"/>
                          </w:divBdr>
                          <w:divsChild>
                            <w:div w:id="1172914408">
                              <w:marLeft w:val="0"/>
                              <w:marRight w:val="0"/>
                              <w:marTop w:val="0"/>
                              <w:marBottom w:val="0"/>
                              <w:divBdr>
                                <w:top w:val="none" w:sz="0" w:space="0" w:color="auto"/>
                                <w:left w:val="none" w:sz="0" w:space="0" w:color="auto"/>
                                <w:bottom w:val="none" w:sz="0" w:space="0" w:color="auto"/>
                                <w:right w:val="none" w:sz="0" w:space="0" w:color="auto"/>
                              </w:divBdr>
                              <w:divsChild>
                                <w:div w:id="2112388667">
                                  <w:marLeft w:val="0"/>
                                  <w:marRight w:val="0"/>
                                  <w:marTop w:val="0"/>
                                  <w:marBottom w:val="0"/>
                                  <w:divBdr>
                                    <w:top w:val="none" w:sz="0" w:space="0" w:color="auto"/>
                                    <w:left w:val="none" w:sz="0" w:space="0" w:color="auto"/>
                                    <w:bottom w:val="none" w:sz="0" w:space="0" w:color="auto"/>
                                    <w:right w:val="none" w:sz="0" w:space="0" w:color="auto"/>
                                  </w:divBdr>
                                  <w:divsChild>
                                    <w:div w:id="12570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722">
                      <w:marLeft w:val="0"/>
                      <w:marRight w:val="0"/>
                      <w:marTop w:val="0"/>
                      <w:marBottom w:val="0"/>
                      <w:divBdr>
                        <w:top w:val="none" w:sz="0" w:space="0" w:color="auto"/>
                        <w:left w:val="none" w:sz="0" w:space="0" w:color="auto"/>
                        <w:bottom w:val="none" w:sz="0" w:space="0" w:color="auto"/>
                        <w:right w:val="none" w:sz="0" w:space="0" w:color="auto"/>
                      </w:divBdr>
                      <w:divsChild>
                        <w:div w:id="1577088512">
                          <w:marLeft w:val="0"/>
                          <w:marRight w:val="0"/>
                          <w:marTop w:val="0"/>
                          <w:marBottom w:val="0"/>
                          <w:divBdr>
                            <w:top w:val="none" w:sz="0" w:space="0" w:color="auto"/>
                            <w:left w:val="none" w:sz="0" w:space="0" w:color="auto"/>
                            <w:bottom w:val="none" w:sz="0" w:space="0" w:color="auto"/>
                            <w:right w:val="none" w:sz="0" w:space="0" w:color="auto"/>
                          </w:divBdr>
                          <w:divsChild>
                            <w:div w:id="1115323717">
                              <w:marLeft w:val="0"/>
                              <w:marRight w:val="0"/>
                              <w:marTop w:val="0"/>
                              <w:marBottom w:val="0"/>
                              <w:divBdr>
                                <w:top w:val="none" w:sz="0" w:space="0" w:color="auto"/>
                                <w:left w:val="none" w:sz="0" w:space="0" w:color="auto"/>
                                <w:bottom w:val="none" w:sz="0" w:space="0" w:color="auto"/>
                                <w:right w:val="none" w:sz="0" w:space="0" w:color="auto"/>
                              </w:divBdr>
                              <w:divsChild>
                                <w:div w:id="287903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32011">
          <w:marLeft w:val="0"/>
          <w:marRight w:val="0"/>
          <w:marTop w:val="0"/>
          <w:marBottom w:val="0"/>
          <w:divBdr>
            <w:top w:val="none" w:sz="0" w:space="0" w:color="auto"/>
            <w:left w:val="none" w:sz="0" w:space="0" w:color="auto"/>
            <w:bottom w:val="none" w:sz="0" w:space="0" w:color="auto"/>
            <w:right w:val="none" w:sz="0" w:space="0" w:color="auto"/>
          </w:divBdr>
          <w:divsChild>
            <w:div w:id="1316296936">
              <w:marLeft w:val="0"/>
              <w:marRight w:val="0"/>
              <w:marTop w:val="0"/>
              <w:marBottom w:val="0"/>
              <w:divBdr>
                <w:top w:val="none" w:sz="0" w:space="0" w:color="auto"/>
                <w:left w:val="none" w:sz="0" w:space="0" w:color="auto"/>
                <w:bottom w:val="none" w:sz="0" w:space="0" w:color="auto"/>
                <w:right w:val="none" w:sz="0" w:space="0" w:color="auto"/>
              </w:divBdr>
              <w:divsChild>
                <w:div w:id="870918669">
                  <w:marLeft w:val="0"/>
                  <w:marRight w:val="0"/>
                  <w:marTop w:val="0"/>
                  <w:marBottom w:val="0"/>
                  <w:divBdr>
                    <w:top w:val="none" w:sz="0" w:space="0" w:color="auto"/>
                    <w:left w:val="none" w:sz="0" w:space="0" w:color="auto"/>
                    <w:bottom w:val="none" w:sz="0" w:space="0" w:color="auto"/>
                    <w:right w:val="none" w:sz="0" w:space="0" w:color="auto"/>
                  </w:divBdr>
                  <w:divsChild>
                    <w:div w:id="210268940">
                      <w:marLeft w:val="0"/>
                      <w:marRight w:val="0"/>
                      <w:marTop w:val="0"/>
                      <w:marBottom w:val="0"/>
                      <w:divBdr>
                        <w:top w:val="none" w:sz="0" w:space="0" w:color="auto"/>
                        <w:left w:val="none" w:sz="0" w:space="0" w:color="auto"/>
                        <w:bottom w:val="none" w:sz="0" w:space="0" w:color="auto"/>
                        <w:right w:val="none" w:sz="0" w:space="0" w:color="auto"/>
                      </w:divBdr>
                      <w:divsChild>
                        <w:div w:id="1668708641">
                          <w:marLeft w:val="0"/>
                          <w:marRight w:val="0"/>
                          <w:marTop w:val="0"/>
                          <w:marBottom w:val="0"/>
                          <w:divBdr>
                            <w:top w:val="none" w:sz="0" w:space="0" w:color="auto"/>
                            <w:left w:val="none" w:sz="0" w:space="0" w:color="auto"/>
                            <w:bottom w:val="none" w:sz="0" w:space="0" w:color="auto"/>
                            <w:right w:val="none" w:sz="0" w:space="0" w:color="auto"/>
                          </w:divBdr>
                          <w:divsChild>
                            <w:div w:id="1947541549">
                              <w:marLeft w:val="0"/>
                              <w:marRight w:val="0"/>
                              <w:marTop w:val="0"/>
                              <w:marBottom w:val="0"/>
                              <w:divBdr>
                                <w:top w:val="none" w:sz="0" w:space="0" w:color="auto"/>
                                <w:left w:val="none" w:sz="0" w:space="0" w:color="auto"/>
                                <w:bottom w:val="none" w:sz="0" w:space="0" w:color="auto"/>
                                <w:right w:val="none" w:sz="0" w:space="0" w:color="auto"/>
                              </w:divBdr>
                              <w:divsChild>
                                <w:div w:id="11434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197810">
          <w:marLeft w:val="0"/>
          <w:marRight w:val="0"/>
          <w:marTop w:val="0"/>
          <w:marBottom w:val="0"/>
          <w:divBdr>
            <w:top w:val="none" w:sz="0" w:space="0" w:color="auto"/>
            <w:left w:val="none" w:sz="0" w:space="0" w:color="auto"/>
            <w:bottom w:val="none" w:sz="0" w:space="0" w:color="auto"/>
            <w:right w:val="none" w:sz="0" w:space="0" w:color="auto"/>
          </w:divBdr>
          <w:divsChild>
            <w:div w:id="1664090581">
              <w:marLeft w:val="0"/>
              <w:marRight w:val="0"/>
              <w:marTop w:val="0"/>
              <w:marBottom w:val="0"/>
              <w:divBdr>
                <w:top w:val="none" w:sz="0" w:space="0" w:color="auto"/>
                <w:left w:val="none" w:sz="0" w:space="0" w:color="auto"/>
                <w:bottom w:val="none" w:sz="0" w:space="0" w:color="auto"/>
                <w:right w:val="none" w:sz="0" w:space="0" w:color="auto"/>
              </w:divBdr>
              <w:divsChild>
                <w:div w:id="672955233">
                  <w:marLeft w:val="0"/>
                  <w:marRight w:val="0"/>
                  <w:marTop w:val="0"/>
                  <w:marBottom w:val="0"/>
                  <w:divBdr>
                    <w:top w:val="none" w:sz="0" w:space="0" w:color="auto"/>
                    <w:left w:val="none" w:sz="0" w:space="0" w:color="auto"/>
                    <w:bottom w:val="none" w:sz="0" w:space="0" w:color="auto"/>
                    <w:right w:val="none" w:sz="0" w:space="0" w:color="auto"/>
                  </w:divBdr>
                  <w:divsChild>
                    <w:div w:id="788161030">
                      <w:marLeft w:val="0"/>
                      <w:marRight w:val="0"/>
                      <w:marTop w:val="0"/>
                      <w:marBottom w:val="0"/>
                      <w:divBdr>
                        <w:top w:val="none" w:sz="0" w:space="0" w:color="auto"/>
                        <w:left w:val="none" w:sz="0" w:space="0" w:color="auto"/>
                        <w:bottom w:val="none" w:sz="0" w:space="0" w:color="auto"/>
                        <w:right w:val="none" w:sz="0" w:space="0" w:color="auto"/>
                      </w:divBdr>
                      <w:divsChild>
                        <w:div w:id="1674915587">
                          <w:marLeft w:val="0"/>
                          <w:marRight w:val="0"/>
                          <w:marTop w:val="0"/>
                          <w:marBottom w:val="0"/>
                          <w:divBdr>
                            <w:top w:val="none" w:sz="0" w:space="0" w:color="auto"/>
                            <w:left w:val="none" w:sz="0" w:space="0" w:color="auto"/>
                            <w:bottom w:val="none" w:sz="0" w:space="0" w:color="auto"/>
                            <w:right w:val="none" w:sz="0" w:space="0" w:color="auto"/>
                          </w:divBdr>
                          <w:divsChild>
                            <w:div w:id="1477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32060">
          <w:marLeft w:val="0"/>
          <w:marRight w:val="0"/>
          <w:marTop w:val="0"/>
          <w:marBottom w:val="0"/>
          <w:divBdr>
            <w:top w:val="none" w:sz="0" w:space="0" w:color="auto"/>
            <w:left w:val="none" w:sz="0" w:space="0" w:color="auto"/>
            <w:bottom w:val="none" w:sz="0" w:space="0" w:color="auto"/>
            <w:right w:val="none" w:sz="0" w:space="0" w:color="auto"/>
          </w:divBdr>
          <w:divsChild>
            <w:div w:id="2070955566">
              <w:marLeft w:val="0"/>
              <w:marRight w:val="0"/>
              <w:marTop w:val="0"/>
              <w:marBottom w:val="0"/>
              <w:divBdr>
                <w:top w:val="none" w:sz="0" w:space="0" w:color="auto"/>
                <w:left w:val="none" w:sz="0" w:space="0" w:color="auto"/>
                <w:bottom w:val="none" w:sz="0" w:space="0" w:color="auto"/>
                <w:right w:val="none" w:sz="0" w:space="0" w:color="auto"/>
              </w:divBdr>
              <w:divsChild>
                <w:div w:id="269050036">
                  <w:marLeft w:val="0"/>
                  <w:marRight w:val="0"/>
                  <w:marTop w:val="0"/>
                  <w:marBottom w:val="0"/>
                  <w:divBdr>
                    <w:top w:val="none" w:sz="0" w:space="0" w:color="auto"/>
                    <w:left w:val="none" w:sz="0" w:space="0" w:color="auto"/>
                    <w:bottom w:val="none" w:sz="0" w:space="0" w:color="auto"/>
                    <w:right w:val="none" w:sz="0" w:space="0" w:color="auto"/>
                  </w:divBdr>
                  <w:divsChild>
                    <w:div w:id="279923227">
                      <w:marLeft w:val="0"/>
                      <w:marRight w:val="0"/>
                      <w:marTop w:val="0"/>
                      <w:marBottom w:val="0"/>
                      <w:divBdr>
                        <w:top w:val="none" w:sz="0" w:space="0" w:color="auto"/>
                        <w:left w:val="none" w:sz="0" w:space="0" w:color="auto"/>
                        <w:bottom w:val="none" w:sz="0" w:space="0" w:color="auto"/>
                        <w:right w:val="none" w:sz="0" w:space="0" w:color="auto"/>
                      </w:divBdr>
                      <w:divsChild>
                        <w:div w:id="1003699852">
                          <w:marLeft w:val="0"/>
                          <w:marRight w:val="0"/>
                          <w:marTop w:val="0"/>
                          <w:marBottom w:val="0"/>
                          <w:divBdr>
                            <w:top w:val="none" w:sz="0" w:space="0" w:color="auto"/>
                            <w:left w:val="none" w:sz="0" w:space="0" w:color="auto"/>
                            <w:bottom w:val="none" w:sz="0" w:space="0" w:color="auto"/>
                            <w:right w:val="none" w:sz="0" w:space="0" w:color="auto"/>
                          </w:divBdr>
                          <w:divsChild>
                            <w:div w:id="1952395299">
                              <w:marLeft w:val="0"/>
                              <w:marRight w:val="0"/>
                              <w:marTop w:val="0"/>
                              <w:marBottom w:val="0"/>
                              <w:divBdr>
                                <w:top w:val="none" w:sz="0" w:space="0" w:color="auto"/>
                                <w:left w:val="none" w:sz="0" w:space="0" w:color="auto"/>
                                <w:bottom w:val="none" w:sz="0" w:space="0" w:color="auto"/>
                                <w:right w:val="none" w:sz="0" w:space="0" w:color="auto"/>
                              </w:divBdr>
                              <w:divsChild>
                                <w:div w:id="15707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766337">
          <w:marLeft w:val="0"/>
          <w:marRight w:val="0"/>
          <w:marTop w:val="0"/>
          <w:marBottom w:val="0"/>
          <w:divBdr>
            <w:top w:val="none" w:sz="0" w:space="0" w:color="auto"/>
            <w:left w:val="none" w:sz="0" w:space="0" w:color="auto"/>
            <w:bottom w:val="none" w:sz="0" w:space="0" w:color="auto"/>
            <w:right w:val="none" w:sz="0" w:space="0" w:color="auto"/>
          </w:divBdr>
          <w:divsChild>
            <w:div w:id="66073558">
              <w:marLeft w:val="0"/>
              <w:marRight w:val="0"/>
              <w:marTop w:val="0"/>
              <w:marBottom w:val="0"/>
              <w:divBdr>
                <w:top w:val="none" w:sz="0" w:space="0" w:color="auto"/>
                <w:left w:val="none" w:sz="0" w:space="0" w:color="auto"/>
                <w:bottom w:val="none" w:sz="0" w:space="0" w:color="auto"/>
                <w:right w:val="none" w:sz="0" w:space="0" w:color="auto"/>
              </w:divBdr>
              <w:divsChild>
                <w:div w:id="384529219">
                  <w:marLeft w:val="0"/>
                  <w:marRight w:val="0"/>
                  <w:marTop w:val="0"/>
                  <w:marBottom w:val="0"/>
                  <w:divBdr>
                    <w:top w:val="none" w:sz="0" w:space="0" w:color="auto"/>
                    <w:left w:val="none" w:sz="0" w:space="0" w:color="auto"/>
                    <w:bottom w:val="none" w:sz="0" w:space="0" w:color="auto"/>
                    <w:right w:val="none" w:sz="0" w:space="0" w:color="auto"/>
                  </w:divBdr>
                  <w:divsChild>
                    <w:div w:id="420108579">
                      <w:marLeft w:val="0"/>
                      <w:marRight w:val="0"/>
                      <w:marTop w:val="0"/>
                      <w:marBottom w:val="0"/>
                      <w:divBdr>
                        <w:top w:val="none" w:sz="0" w:space="0" w:color="auto"/>
                        <w:left w:val="none" w:sz="0" w:space="0" w:color="auto"/>
                        <w:bottom w:val="none" w:sz="0" w:space="0" w:color="auto"/>
                        <w:right w:val="none" w:sz="0" w:space="0" w:color="auto"/>
                      </w:divBdr>
                      <w:divsChild>
                        <w:div w:id="1048722944">
                          <w:marLeft w:val="0"/>
                          <w:marRight w:val="0"/>
                          <w:marTop w:val="0"/>
                          <w:marBottom w:val="0"/>
                          <w:divBdr>
                            <w:top w:val="none" w:sz="0" w:space="0" w:color="auto"/>
                            <w:left w:val="none" w:sz="0" w:space="0" w:color="auto"/>
                            <w:bottom w:val="none" w:sz="0" w:space="0" w:color="auto"/>
                            <w:right w:val="none" w:sz="0" w:space="0" w:color="auto"/>
                          </w:divBdr>
                          <w:divsChild>
                            <w:div w:id="613942501">
                              <w:marLeft w:val="0"/>
                              <w:marRight w:val="0"/>
                              <w:marTop w:val="0"/>
                              <w:marBottom w:val="0"/>
                              <w:divBdr>
                                <w:top w:val="none" w:sz="0" w:space="0" w:color="auto"/>
                                <w:left w:val="none" w:sz="0" w:space="0" w:color="auto"/>
                                <w:bottom w:val="none" w:sz="0" w:space="0" w:color="auto"/>
                                <w:right w:val="none" w:sz="0" w:space="0" w:color="auto"/>
                              </w:divBdr>
                              <w:divsChild>
                                <w:div w:id="2121141320">
                                  <w:marLeft w:val="0"/>
                                  <w:marRight w:val="0"/>
                                  <w:marTop w:val="0"/>
                                  <w:marBottom w:val="0"/>
                                  <w:divBdr>
                                    <w:top w:val="none" w:sz="0" w:space="0" w:color="auto"/>
                                    <w:left w:val="none" w:sz="0" w:space="0" w:color="auto"/>
                                    <w:bottom w:val="none" w:sz="0" w:space="0" w:color="auto"/>
                                    <w:right w:val="none" w:sz="0" w:space="0" w:color="auto"/>
                                  </w:divBdr>
                                  <w:divsChild>
                                    <w:div w:id="7898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053556">
                      <w:marLeft w:val="0"/>
                      <w:marRight w:val="0"/>
                      <w:marTop w:val="0"/>
                      <w:marBottom w:val="0"/>
                      <w:divBdr>
                        <w:top w:val="none" w:sz="0" w:space="0" w:color="auto"/>
                        <w:left w:val="none" w:sz="0" w:space="0" w:color="auto"/>
                        <w:bottom w:val="none" w:sz="0" w:space="0" w:color="auto"/>
                        <w:right w:val="none" w:sz="0" w:space="0" w:color="auto"/>
                      </w:divBdr>
                      <w:divsChild>
                        <w:div w:id="2035225801">
                          <w:marLeft w:val="0"/>
                          <w:marRight w:val="0"/>
                          <w:marTop w:val="0"/>
                          <w:marBottom w:val="0"/>
                          <w:divBdr>
                            <w:top w:val="none" w:sz="0" w:space="0" w:color="auto"/>
                            <w:left w:val="none" w:sz="0" w:space="0" w:color="auto"/>
                            <w:bottom w:val="none" w:sz="0" w:space="0" w:color="auto"/>
                            <w:right w:val="none" w:sz="0" w:space="0" w:color="auto"/>
                          </w:divBdr>
                          <w:divsChild>
                            <w:div w:id="11791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10507089/?utm_source=chatgpt.com" TargetMode="External"/><Relationship Id="rId21" Type="http://schemas.openxmlformats.org/officeDocument/2006/relationships/hyperlink" Target="https://www.nursingsimulation.org/article/S1876-1399%2822%2900047-0/pdf?utm_source=chatgpt.com" TargetMode="External"/><Relationship Id="rId34" Type="http://schemas.openxmlformats.org/officeDocument/2006/relationships/hyperlink" Target="https://ro.ecu.edu.au/ecuworks2022-2026/3927/?utm_source=chatgpt.com" TargetMode="External"/><Relationship Id="rId42" Type="http://schemas.openxmlformats.org/officeDocument/2006/relationships/hyperlink" Target="https://www.frontiersin.org/journals/education/articles/10.3389/feduc.2025.1632298/full?utm_source=chatgpt.com" TargetMode="External"/><Relationship Id="rId47" Type="http://schemas.openxmlformats.org/officeDocument/2006/relationships/hyperlink" Target="https://www.frontiersin.org/journals/education/articles/10.3389/feduc.2025.1632298/full?utm_source=chatgpt.com" TargetMode="External"/><Relationship Id="rId50" Type="http://schemas.openxmlformats.org/officeDocument/2006/relationships/hyperlink" Target="https://pmc.ncbi.nlm.nih.gov/articles/PMC12379490/?utm_source=chatgpt.com" TargetMode="External"/><Relationship Id="rId55" Type="http://schemas.openxmlformats.org/officeDocument/2006/relationships/hyperlink" Target="https://bmcmededuc.biomedcentral.com/articles/10.1186/s12909-025-07790-8?utm_source=chatgpt.com" TargetMode="External"/><Relationship Id="rId63" Type="http://schemas.openxmlformats.org/officeDocument/2006/relationships/hyperlink" Target="https://www.nursingsimulation.org/article/S1876-1399%2822%2900047-0/fulltext?utm_source=chatgpt.com" TargetMode="External"/><Relationship Id="rId7" Type="http://schemas.openxmlformats.org/officeDocument/2006/relationships/hyperlink" Target="https://pmc.ncbi.nlm.nih.gov/articles/PMC10507089/?utm_source=chatgpt.com" TargetMode="External"/><Relationship Id="rId2" Type="http://schemas.openxmlformats.org/officeDocument/2006/relationships/styles" Target="styles.xml"/><Relationship Id="rId16" Type="http://schemas.openxmlformats.org/officeDocument/2006/relationships/hyperlink" Target="https://www.icn.ch/sites/default/files/2023-08/ICN%20Position%20Statement%20Digital%20Health%20FINAL%2030.06_EN.pdf?utm_source=chatgpt.com" TargetMode="External"/><Relationship Id="rId29" Type="http://schemas.openxmlformats.org/officeDocument/2006/relationships/hyperlink" Target="https://pubmed.ncbi.nlm.nih.gov/32028447/?utm_source=chatgpt.com" TargetMode="External"/><Relationship Id="rId11" Type="http://schemas.openxmlformats.org/officeDocument/2006/relationships/hyperlink" Target="https://pmc.ncbi.nlm.nih.gov/articles/PMC12093728/?utm_source=chatgpt.com" TargetMode="External"/><Relationship Id="rId24" Type="http://schemas.openxmlformats.org/officeDocument/2006/relationships/hyperlink" Target="https://pubmed.ncbi.nlm.nih.gov/40855544/?utm_source=chatgpt.com" TargetMode="External"/><Relationship Id="rId32" Type="http://schemas.openxmlformats.org/officeDocument/2006/relationships/hyperlink" Target="https://www.icn.ch/news/future-nursing-and-digital-health-new-icn-position-statement-highlights-opportunities-and?utm_source=chatgpt.com" TargetMode="External"/><Relationship Id="rId37" Type="http://schemas.openxmlformats.org/officeDocument/2006/relationships/hyperlink" Target="https://ro.ecu.edu.au/ecuworks2022-2026/3927/?utm_source=chatgpt.com" TargetMode="External"/><Relationship Id="rId40" Type="http://schemas.openxmlformats.org/officeDocument/2006/relationships/hyperlink" Target="https://hl-prod-ca-oc-download.s3-ca-central-1.amazonaws.com/CNA/2f975e7e-4a40-45ca-863c-5ebf0a138d5e/UploadedImages/documents/policy-advocacy/CNA-Position-Statement_Nursing-Practice-in-Digitally-Enabled-Care-Environments_E.pdf?utm_source=chatgpt.com" TargetMode="External"/><Relationship Id="rId45" Type="http://schemas.openxmlformats.org/officeDocument/2006/relationships/hyperlink" Target="https://www.frontiersin.org/journals/education/articles/10.3389/feduc.2025.1632298/full?utm_source=chatgpt.com" TargetMode="External"/><Relationship Id="rId53" Type="http://schemas.openxmlformats.org/officeDocument/2006/relationships/hyperlink" Target="https://www.casn.ca/wp-content/uploads/2014/12/Informatics-Entry-to-Practice-Competencies_2025_EN.pdf?utm_source=chatgpt.com" TargetMode="External"/><Relationship Id="rId58" Type="http://schemas.openxmlformats.org/officeDocument/2006/relationships/hyperlink" Target="https://www.icn.ch/news/future-nursing-and-digital-health-new-icn-position-statement-highlights-opportunities-and?utm_source=chatgpt.com" TargetMode="External"/><Relationship Id="rId66" Type="http://schemas.openxmlformats.org/officeDocument/2006/relationships/theme" Target="theme/theme1.xml"/><Relationship Id="rId5" Type="http://schemas.openxmlformats.org/officeDocument/2006/relationships/hyperlink" Target="https://pubmed.ncbi.nlm.nih.gov/32028447/?utm_source=chatgpt.com" TargetMode="External"/><Relationship Id="rId61" Type="http://schemas.openxmlformats.org/officeDocument/2006/relationships/hyperlink" Target="https://doi.org/10.1186/s12909-023-04662-x" TargetMode="External"/><Relationship Id="rId19" Type="http://schemas.openxmlformats.org/officeDocument/2006/relationships/hyperlink" Target="https://pubmed.ncbi.nlm.nih.gov/32028447/?utm_source=chatgpt.com" TargetMode="External"/><Relationship Id="rId14" Type="http://schemas.openxmlformats.org/officeDocument/2006/relationships/hyperlink" Target="https://curationis.org.za/index.php/curationis/article/view/2261?utm_source=chatgpt.com" TargetMode="External"/><Relationship Id="rId22" Type="http://schemas.openxmlformats.org/officeDocument/2006/relationships/hyperlink" Target="https://www.researchgate.net/publication/384981701_Technology-based_approaches_to_enhance_clinical_learning_opportunities_for_student_nurses_in_a_nursing_education_institution_in_Gauteng?utm_source=chatgpt.com" TargetMode="External"/><Relationship Id="rId27" Type="http://schemas.openxmlformats.org/officeDocument/2006/relationships/hyperlink" Target="https://www.ejgm.co.uk/download/assessing-digital-health-literacy-level-among-nurses-in-jordanian-hospitals-13466.pdf?utm_source=chatgpt.com" TargetMode="External"/><Relationship Id="rId30" Type="http://schemas.openxmlformats.org/officeDocument/2006/relationships/hyperlink" Target="https://www.nursingsimulation.org/article/S1876-1399%2822%2900047-0/fulltext?utm_source=chatgpt.com" TargetMode="External"/><Relationship Id="rId35" Type="http://schemas.openxmlformats.org/officeDocument/2006/relationships/hyperlink" Target="https://bmcmededuc.biomedcentral.com/articles/10.1186/s12909-024-06624-3?utm_source=chatgpt.com" TargetMode="External"/><Relationship Id="rId43" Type="http://schemas.openxmlformats.org/officeDocument/2006/relationships/hyperlink" Target="https://www.casn.ca/wp-content/uploads/2014/12/Informatics-Entry-to-Practice-Competencies_2025_EN.pdf?utm_source=chatgpt.com" TargetMode="External"/><Relationship Id="rId48" Type="http://schemas.openxmlformats.org/officeDocument/2006/relationships/hyperlink" Target="https://psychology.ukzn.ac.za/?mdocs-file=1176&amp;utm_source=chatgpt.com" TargetMode="External"/><Relationship Id="rId56" Type="http://schemas.openxmlformats.org/officeDocument/2006/relationships/hyperlink" Target="https://ro.ecu.edu.au/ecuworks2022-2026/3927/?utm_source=chatgpt.com" TargetMode="External"/><Relationship Id="rId64" Type="http://schemas.openxmlformats.org/officeDocument/2006/relationships/hyperlink" Target="https://www.mdpi.com/1660-4601/21/4/515?utm_source=chatgpt.com" TargetMode="External"/><Relationship Id="rId8" Type="http://schemas.openxmlformats.org/officeDocument/2006/relationships/hyperlink" Target="https://pmc.ncbi.nlm.nih.gov/articles/PMC12093728/?utm_source=chatgpt.com" TargetMode="External"/><Relationship Id="rId51" Type="http://schemas.openxmlformats.org/officeDocument/2006/relationships/hyperlink" Target="https://doi.org/10.1191/1478088706qp063oa" TargetMode="External"/><Relationship Id="rId3" Type="http://schemas.openxmlformats.org/officeDocument/2006/relationships/settings" Target="settings.xml"/><Relationship Id="rId12" Type="http://schemas.openxmlformats.org/officeDocument/2006/relationships/hyperlink" Target="https://www.frontiersin.org/journals/education/articles/10.3389/feduc.2025.1632298/pdf?utm_source=chatgpt.com" TargetMode="External"/><Relationship Id="rId17" Type="http://schemas.openxmlformats.org/officeDocument/2006/relationships/hyperlink" Target="https://www.frontiersin.org/journals/education/articles/10.3389/feduc.2025.1632298/pdf?utm_source=chatgpt.com" TargetMode="External"/><Relationship Id="rId25" Type="http://schemas.openxmlformats.org/officeDocument/2006/relationships/hyperlink" Target="https://www.frontiersin.org/journals/education/articles/10.3389/feduc.2025.1632298/pdf?utm_source=chatgpt.com" TargetMode="External"/><Relationship Id="rId33" Type="http://schemas.openxmlformats.org/officeDocument/2006/relationships/hyperlink" Target="https://pubmed.ncbi.nlm.nih.gov/32028447/?utm_source=chatgpt.com" TargetMode="External"/><Relationship Id="rId38" Type="http://schemas.openxmlformats.org/officeDocument/2006/relationships/hyperlink" Target="https://www.icn.ch/sites/default/files/2023-08/ICN%20Position%20Statement%20Digital%20Health%20FINAL%2030.06_EN.pdf?utm_source=chatgpt.com" TargetMode="External"/><Relationship Id="rId46" Type="http://schemas.openxmlformats.org/officeDocument/2006/relationships/hyperlink" Target="https://www.sciencedirect.com/science/article/abs/pii/S0260691720314738?utm_source=chatgpt.com" TargetMode="External"/><Relationship Id="rId59" Type="http://schemas.openxmlformats.org/officeDocument/2006/relationships/hyperlink" Target="https://doi.org/10.1186/s12909-024-06624-3" TargetMode="External"/><Relationship Id="rId20" Type="http://schemas.openxmlformats.org/officeDocument/2006/relationships/hyperlink" Target="https://bmcmededuc.biomedcentral.com/counter/pdf/10.1186/s12909-023-04662-x.pdf?utm_source=chatgpt.com" TargetMode="External"/><Relationship Id="rId41" Type="http://schemas.openxmlformats.org/officeDocument/2006/relationships/hyperlink" Target="https://www.icn.ch/sites/default/files/2023-08/ICN%20Position%20Statement%20Digital%20Health%20FINAL%2030.06_EN.pdf?utm_source=chatgpt.com" TargetMode="External"/><Relationship Id="rId54" Type="http://schemas.openxmlformats.org/officeDocument/2006/relationships/hyperlink" Target="https://doi.org/10.1186/s12909-025-07790-8" TargetMode="External"/><Relationship Id="rId62" Type="http://schemas.openxmlformats.org/officeDocument/2006/relationships/hyperlink" Target="https://pubmed.ncbi.nlm.nih.gov/37770884/?utm_source=chatgpt.com" TargetMode="External"/><Relationship Id="rId1" Type="http://schemas.openxmlformats.org/officeDocument/2006/relationships/numbering" Target="numbering.xml"/><Relationship Id="rId6" Type="http://schemas.openxmlformats.org/officeDocument/2006/relationships/hyperlink" Target="https://www.nursingsimulation.org/article/S1876-1399%2822%2900047-0/pdf?utm_source=chatgpt.com" TargetMode="External"/><Relationship Id="rId15" Type="http://schemas.openxmlformats.org/officeDocument/2006/relationships/hyperlink" Target="https://pmc.ncbi.nlm.nih.gov/articles/PMC10507089/?utm_source=chatgpt.com" TargetMode="External"/><Relationship Id="rId23" Type="http://schemas.openxmlformats.org/officeDocument/2006/relationships/hyperlink" Target="https://dergipark.org.tr/en/download/article-file/4328294?utm_source=chatgpt.com" TargetMode="External"/><Relationship Id="rId28" Type="http://schemas.openxmlformats.org/officeDocument/2006/relationships/hyperlink" Target="https://www.icn.ch/sites/default/files/2023-08/ICN%20Position%20Statement%20Digital%20Health%20FINAL%2030.06_EN.pdf?utm_source=chatgpt.com" TargetMode="External"/><Relationship Id="rId36" Type="http://schemas.openxmlformats.org/officeDocument/2006/relationships/hyperlink" Target="https://pubmed.ncbi.nlm.nih.gov/32028447/?utm_source=chatgpt.com" TargetMode="External"/><Relationship Id="rId49" Type="http://schemas.openxmlformats.org/officeDocument/2006/relationships/hyperlink" Target="https://www.frontiersin.org/journals/education/articles/10.3389/feduc.2025.1632298/full?utm_source=chatgpt.com" TargetMode="External"/><Relationship Id="rId57" Type="http://schemas.openxmlformats.org/officeDocument/2006/relationships/hyperlink" Target="https://pubmed.ncbi.nlm.nih.gov/32028447/?utm_source=chatgpt.com" TargetMode="External"/><Relationship Id="rId10" Type="http://schemas.openxmlformats.org/officeDocument/2006/relationships/hyperlink" Target="https://www.nursingsimulation.org/article/S1876-1399%2822%2900047-0/pdf?utm_source=chatgpt.com" TargetMode="External"/><Relationship Id="rId31" Type="http://schemas.openxmlformats.org/officeDocument/2006/relationships/hyperlink" Target="https://pmc.ncbi.nlm.nih.gov/articles/PMC11224887/?utm_source=chatgpt.com" TargetMode="External"/><Relationship Id="rId44" Type="http://schemas.openxmlformats.org/officeDocument/2006/relationships/hyperlink" Target="https://bmcmededuc.biomedcentral.com/articles/10.1186/s12909-024-06624-3?utm_source=chatgpt.com" TargetMode="External"/><Relationship Id="rId52" Type="http://schemas.openxmlformats.org/officeDocument/2006/relationships/hyperlink" Target="https://psychology.ukzn.ac.za/?mdocs-file=1176&amp;utm_source=chatgpt.com" TargetMode="External"/><Relationship Id="rId60" Type="http://schemas.openxmlformats.org/officeDocument/2006/relationships/hyperlink" Target="https://bmcmededuc.biomedcentral.com/articles/10.1186/s12909-024-06624-3?utm_source=chatgpt.co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rontiersin.org/journals/education/articles/10.3389/feduc.2025.1632298/pdf?utm_source=chatgpt.com" TargetMode="External"/><Relationship Id="rId13" Type="http://schemas.openxmlformats.org/officeDocument/2006/relationships/hyperlink" Target="https://pmc.ncbi.nlm.nih.gov/articles/PMC10507089/?utm_source=chatgpt.com" TargetMode="External"/><Relationship Id="rId18" Type="http://schemas.openxmlformats.org/officeDocument/2006/relationships/hyperlink" Target="https://curationis.org.za/index.php/curationis/article/view/2261?utm_source=chatgpt.com" TargetMode="External"/><Relationship Id="rId39" Type="http://schemas.openxmlformats.org/officeDocument/2006/relationships/hyperlink" Target="https://pubmed.ncbi.nlm.nih.gov/3202844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6642</Words>
  <Characters>37865</Characters>
  <Application>Microsoft Office Word</Application>
  <DocSecurity>0</DocSecurity>
  <Lines>315</Lines>
  <Paragraphs>88</Paragraphs>
  <ScaleCrop>false</ScaleCrop>
  <Company/>
  <LinksUpToDate>false</LinksUpToDate>
  <CharactersWithSpaces>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dc:creator>
  <cp:keywords/>
  <dc:description/>
  <cp:lastModifiedBy>ESTHER</cp:lastModifiedBy>
  <cp:revision>1</cp:revision>
  <dcterms:created xsi:type="dcterms:W3CDTF">2025-12-03T10:58:00Z</dcterms:created>
  <dcterms:modified xsi:type="dcterms:W3CDTF">2025-12-03T11:01:00Z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ef9af9ed-a5b3-48dd-93a0-7420b1366acd</vt:lpwstr>
  </property>
</Properties>
</file>