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B75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/>
          <w:bCs/>
          <w:color w:val="1f1f1f"/>
          <w:sz w:val="21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21"/>
          <w:highlight w:val="none"/>
        </w:rPr>
        <w:t xml:space="preserve">ID Empleado</w:t>
        <w:tab/>
        <w:t xml:space="preserve">Edad</w:t>
        <w:tab/>
        <w:t xml:space="preserve">Género</w:t>
        <w:tab/>
        <w:t xml:space="preserve">Estado civil</w:t>
        <w:tab/>
        <w:t xml:space="preserve">Nivel educativo</w:t>
        <w:tab/>
        <w:t xml:space="preserve">Especialización</w:t>
        <w:tab/>
        <w:t xml:space="preserve">Años trabajando</w:t>
        <w:tab/>
        <w:t xml:space="preserve">Compañías empleadoras</w:t>
        <w:tab/>
        <w:t xml:space="preserve">Departamento</w:t>
        <w:tab/>
        <w:t xml:space="preserve">Cargo</w:t>
        <w:tab/>
        <w:t xml:space="preserve">Banda laboral</w:t>
        <w:tab/>
        <w:t xml:space="preserve">Sede</w:t>
        <w:tab/>
        <w:t xml:space="preserve">Frecuencia de viajes</w:t>
        <w:tab/>
        <w:t xml:space="preserve">Distancia al hogar</w:t>
        <w:tab/>
        <w:t xml:space="preserve">Ingresos mensuales</w:t>
        <w:tab/>
        <w:t xml:space="preserve">Nivel de stock options</w:t>
        <w:tab/>
        <w:t xml:space="preserve">Horas extraordinarias</w:t>
        <w:tab/>
        <w:t xml:space="preserve">Sesiones</w:t>
      </w:r>
      <w:r>
        <w:rPr>
          <w:rFonts w:ascii="Arial" w:hAnsi="Arial" w:eastAsia="Arial" w:cs="Arial"/>
          <w:b/>
          <w:bCs/>
          <w:color w:val="1f1f1f"/>
          <w:sz w:val="21"/>
          <w:highlight w:val="none"/>
        </w:rPr>
        <w:t xml:space="preserve"> de formación</w:t>
        <w:tab/>
        <w:t xml:space="preserve">Años en la empresa</w:t>
        <w:tab/>
        <w:t xml:space="preserve">Años en el cargo</w:t>
        <w:tab/>
        <w:t xml:space="preserve">Años sin promocionar</w:t>
        <w:tab/>
        <w:t xml:space="preserve">Años con el mismo jefe</w:t>
        <w:tab/>
        <w:t xml:space="preserve">% Incremento salarial</w:t>
        <w:tab/>
        <w:t xml:space="preserve">Rendimiento</w:t>
        <w:tab/>
        <w:t xml:space="preserve">Satisfacción con el trabajo</w:t>
        <w:tab/>
        <w:t xml:space="preserve">Satisfacción con el ambiente</w:t>
        <w:tab/>
        <w:t xml:space="preserve">Satisfacción con las relaciones</w:t>
        <w:tab/>
        <w:t xml:space="preserve">Nivel de involucración</w:t>
        <w:tab/>
        <w:t xml:space="preserve">Balance de la vid</w:t>
      </w:r>
      <w:r>
        <w:rPr>
          <w:rFonts w:ascii="Arial" w:hAnsi="Arial" w:eastAsia="Arial" w:cs="Arial"/>
          <w:b/>
          <w:bCs/>
          <w:color w:val="1f1f1f"/>
          <w:sz w:val="21"/>
          <w:highlight w:val="none"/>
        </w:rPr>
        <w:t xml:space="preserve">a laboral</w:t>
        <w:tab/>
        <w:t xml:space="preserve">Estado de la relación laboral</w:t>
        <w:tab/>
        <w:t xml:space="preserve">Tipo de desvinculación</w:t>
        <w:tab/>
        <w:t xml:space="preserve">Razón de la desvinculación</w:t>
      </w:r>
      <w:r>
        <w:rPr>
          <w:rFonts w:ascii="Arial" w:hAnsi="Arial" w:eastAsia="Arial" w:cs="Arial"/>
          <w:b/>
          <w:bCs/>
          <w:color w:val="1f1f1f"/>
          <w:sz w:val="21"/>
          <w:highlight w:val="none"/>
        </w:rPr>
      </w:r>
      <w:r>
        <w:rPr>
          <w:rFonts w:ascii="Arial" w:hAnsi="Arial" w:eastAsia="Arial" w:cs="Arial"/>
          <w:b/>
          <w:bCs/>
          <w:sz w:val="21"/>
          <w:szCs w:val="21"/>
        </w:rPr>
      </w:r>
      <w:r>
        <w:rPr>
          <w:rFonts w:ascii="Arial" w:hAnsi="Arial" w:eastAsia="Arial" w:cs="Arial"/>
          <w:color w:val="1f1f1f"/>
          <w:sz w:val="21"/>
          <w:highlight w:val="none"/>
        </w:rPr>
      </w:r>
      <w:r>
        <w:rPr>
          <w:rFonts w:ascii="Arial" w:hAnsi="Arial" w:eastAsia="Arial" w:cs="Arial"/>
          <w:color w:val="1f1f1f"/>
          <w:sz w:val="21"/>
          <w:highlight w:val="none"/>
        </w:rPr>
      </w:r>
      <w:r>
        <w:rPr>
          <w:rFonts w:ascii="Arial" w:hAnsi="Arial" w:eastAsia="Arial" w:cs="Arial"/>
          <w:color w:val="1f1f1f"/>
          <w:sz w:val="21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21"/>
          <w:szCs w:val="21"/>
          <w:highlight w:val="none"/>
        </w:rPr>
      </w:r>
    </w:p>
    <w:p w14:paraId="0CBD4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color w:val="1f1f1f"/>
          <w:sz w:val="21"/>
          <w:highlight w:val="white"/>
        </w:rPr>
      </w:r>
      <w:r>
        <w:rPr>
          <w:rFonts w:ascii="Arial" w:hAnsi="Arial" w:eastAsia="Arial" w:cs="Arial"/>
          <w:color w:val="1f1f1f"/>
          <w:sz w:val="21"/>
          <w:highlight w:val="white"/>
        </w:rPr>
        <w:t xml:space="preserve">Un </w:t>
      </w:r>
      <w:r>
        <w:rPr>
          <w:rFonts w:ascii="Arial" w:hAnsi="Arial" w:eastAsia="Arial" w:cs="Arial"/>
          <w:b/>
          <w:color w:val="1f1f1f"/>
          <w:sz w:val="21"/>
          <w:highlight w:val="white"/>
        </w:rPr>
        <w:t xml:space="preserve">diccionario de datos</w:t>
      </w:r>
      <w:r>
        <w:rPr>
          <w:rFonts w:ascii="Arial" w:hAnsi="Arial" w:eastAsia="Arial" w:cs="Arial"/>
          <w:color w:val="1f1f1f"/>
          <w:sz w:val="21"/>
          <w:highlight w:val="white"/>
        </w:rPr>
        <w:t xml:space="preserve"> es un documento que describe detalladamente todos los campos (o variables/atributos) de un conjunto de datos,</w:t>
      </w:r>
      <w:r>
        <w:rPr>
          <w:rFonts w:ascii="Arial" w:hAnsi="Arial" w:eastAsia="Arial" w:cs="Arial"/>
          <w:color w:val="1f1f1f"/>
          <w:sz w:val="21"/>
          <w:highlight w:val="none"/>
        </w:rPr>
        <w:t xml:space="preserve"> </w:t>
      </w:r>
      <w:r>
        <w:rPr>
          <w:rFonts w:ascii="Arial" w:hAnsi="Arial" w:eastAsia="Arial" w:cs="Arial"/>
          <w:color w:val="1f1f1f"/>
          <w:sz w:val="21"/>
          <w:highlight w:val="white"/>
        </w:rPr>
        <w:t xml:space="preserve">el diccionario de datos le ayudaría a entender:</w:t>
      </w:r>
      <w:r/>
    </w:p>
    <w:p w14:paraId="07883AC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1f1f1f"/>
          <w:sz w:val="21"/>
        </w:rPr>
        <w:t xml:space="preserve">Nombre de la variable:</w:t>
      </w:r>
      <w:r>
        <w:rPr>
          <w:rFonts w:ascii="Arial" w:hAnsi="Arial" w:eastAsia="Arial" w:cs="Arial"/>
          <w:color w:val="1f1f1f"/>
          <w:sz w:val="21"/>
        </w:rPr>
        <w:t xml:space="preserve"> Por ejemplo, 'Ingresos mensuales', 'Años en la empresa' o 'Razón de la desvinculación'.</w:t>
      </w:r>
      <w:r/>
    </w:p>
    <w:p w14:paraId="3CF6122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1f1f1f"/>
          <w:sz w:val="21"/>
        </w:rPr>
        <w:t xml:space="preserve">Descripción:</w:t>
      </w:r>
      <w:r>
        <w:rPr>
          <w:rFonts w:ascii="Arial" w:hAnsi="Arial" w:eastAsia="Arial" w:cs="Arial"/>
          <w:color w:val="1f1f1f"/>
          <w:sz w:val="21"/>
        </w:rPr>
        <w:t xml:space="preserve"> Una explicación clara de lo que representa la variable (p. ej., "Salario base mensual del empleado").</w:t>
      </w:r>
      <w:r/>
    </w:p>
    <w:p w14:paraId="2A17F9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1f1f1f"/>
          <w:sz w:val="21"/>
        </w:rPr>
        <w:t xml:space="preserve">Tipo de dato:</w:t>
      </w:r>
      <w:r>
        <w:rPr>
          <w:rFonts w:ascii="Arial" w:hAnsi="Arial" w:eastAsia="Arial" w:cs="Arial"/>
          <w:color w:val="1f1f1f"/>
          <w:sz w:val="21"/>
        </w:rPr>
        <w:t xml:space="preserve"> Si es un número (numérico), texto (cadena de caracteres), o una fecha.</w:t>
      </w:r>
      <w:r/>
    </w:p>
    <w:p w14:paraId="2E7389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1f1f1f"/>
          <w:sz w:val="21"/>
        </w:rPr>
        <w:t xml:space="preserve">Valores permitidos:</w:t>
      </w:r>
      <w:r>
        <w:rPr>
          <w:rFonts w:ascii="Arial" w:hAnsi="Arial" w:eastAsia="Arial" w:cs="Arial"/>
          <w:color w:val="1f1f1f"/>
          <w:sz w:val="21"/>
        </w:rPr>
        <w:t xml:space="preserve"> En el caso de variables categóricas (como 'Departamento' o 'Sede'), enumera los valores posibles (p. ej., "Barcelona", "Bilbao", "Madrid" para 'Sede').</w:t>
      </w:r>
      <w:r/>
    </w:p>
    <w:p w14:paraId="2D0FA9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b/>
          <w:color w:val="1f1f1f"/>
          <w:sz w:val="21"/>
        </w:rPr>
        <w:t xml:space="preserve">Unidad de medida:</w:t>
      </w:r>
      <w:r>
        <w:rPr>
          <w:rFonts w:ascii="Arial" w:hAnsi="Arial" w:eastAsia="Arial" w:cs="Arial"/>
          <w:color w:val="1f1f1f"/>
          <w:sz w:val="21"/>
        </w:rPr>
        <w:t xml:space="preserve"> Por ejemplo, si los ingresos están en euros o en miles de euros.</w:t>
      </w:r>
      <w:r/>
      <w:r>
        <w:rPr>
          <w:rFonts w:ascii="Arial" w:hAnsi="Arial" w:eastAsia="Arial" w:cs="Arial"/>
          <w:b/>
          <w:color w:val="1f1f1f"/>
          <w:sz w:val="21"/>
          <w:highlight w:val="none"/>
        </w:rPr>
      </w:r>
      <w:r>
        <w:rPr>
          <w:rFonts w:ascii="Arial" w:hAnsi="Arial" w:eastAsia="Arial" w:cs="Arial"/>
          <w:b/>
          <w:color w:val="1f1f1f"/>
          <w:sz w:val="21"/>
          <w:highlight w:val="none"/>
        </w:rPr>
      </w:r>
      <w:r>
        <w:rPr>
          <w:rFonts w:ascii="Arial" w:hAnsi="Arial" w:eastAsia="Arial" w:cs="Arial"/>
          <w:b/>
          <w:color w:val="1f1f1f"/>
          <w:sz w:val="21"/>
          <w:highlight w:val="none"/>
        </w:rPr>
      </w:r>
      <w:r>
        <w:rPr>
          <w:rFonts w:ascii="Arial" w:hAnsi="Arial" w:eastAsia="Arial" w:cs="Arial"/>
          <w:sz w:val="21"/>
        </w:rPr>
      </w:r>
    </w:p>
    <w:tbl>
      <w:tblPr>
        <w:tblStyle w:val="12"/>
        <w:tblInd w:w="0" w:type="dxa"/>
        <w:tblW w:w="0" w:type="auto"/>
        <w:tblBorders>
          <w:top w:val="single" w:color="c4c7c5" w:sz="5" w:space="0"/>
          <w:left w:val="single" w:color="c4c7c5" w:sz="5" w:space="0"/>
          <w:bottom w:val="single" w:color="c4c7c5" w:sz="3" w:space="0"/>
          <w:right w:val="single" w:color="c4c7c5" w:sz="3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fixed"/>
        <w:tblLook w:val="04A0" w:firstRow="1" w:lastRow="0" w:firstColumn="1" w:lastColumn="0" w:noHBand="0" w:noVBand="1"/>
      </w:tblPr>
      <w:tblGrid>
        <w:gridCol w:w="1231"/>
        <w:gridCol w:w="8667"/>
      </w:tblGrid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31" w:type="dxa"/>
            <w:vAlign w:val="center"/>
            <w:textDirection w:val="lrTb"/>
            <w:noWrap w:val="false"/>
          </w:tcPr>
          <w:p w14:paraId="03CC689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8"/>
              </w:rPr>
              <w:t xml:space="preserve">Tipo de Pregunta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667" w:type="dxa"/>
            <w:vAlign w:val="center"/>
            <w:textDirection w:val="lrTb"/>
            <w:noWrap w:val="false"/>
          </w:tcPr>
          <w:p w14:paraId="19AFD18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8"/>
              </w:rPr>
              <w:t xml:space="preserve">Pregunta Analítica (Sencilla y Directa)</w:t>
            </w:r>
            <w:r/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7A71897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Descriptiva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5A56591F">
            <w:pPr>
              <w:pBdr/>
              <w:spacing w:after="0" w:before="0" w:line="240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  <w:highlight w:val="yellow"/>
              </w:rPr>
              <w:t xml:space="preserve">1. ¿En qué 'Departamento' y 'Sede' se concentra el mayor número de desvinculaciones voluntarias?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  <w:highlight w:val="yellow"/>
              </w:rPr>
              <w:t xml:space="preserve"> (Identificar los puntos calientes de rotación).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0534B80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Descriptiva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268898B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2. ¿Cuál es el 'Nivel de involucración' promedio de los empleados en cada 'Banda laboral' y cómo se relaciona con el 'Rendimiento'?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 (Mapeo de compromiso y productividad).</w:t>
            </w:r>
            <w:r/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750D1E3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Descriptiva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32B4986E">
            <w:pPr>
              <w:pBdr/>
              <w:spacing w:after="0" w:before="0" w:line="240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  <w:highlight w:val="yellow"/>
              </w:rPr>
              <w:t xml:space="preserve">3. ¿Cómo se distribuye la rotación por 'Edad' y 'Años en la empresa'?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  <w:highlight w:val="yellow"/>
              </w:rPr>
              <w:t xml:space="preserve"> (Entender si el problema es de talento joven, senior, o en un punto de antigüedad específico).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637E171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Diagnóstica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1993776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4. ¿Cuál es la relación entre el 'Balance de la vida laboral' y el 'Nivel de satisfacción' general de un empleado?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 (Busca la causa raíz en la calidad de vida).</w:t>
            </w:r>
            <w:r/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4A7FD83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Diagnóstica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2841C67C">
            <w:pPr>
              <w:pBdr/>
              <w:spacing w:after="0" w:before="0" w:line="240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  <w:highlight w:val="yellow"/>
              </w:rPr>
              <w:t xml:space="preserve">5. ¿El bajo 'Ingresos mensuales' y/o 'Nivel de stock options' es la principal 'Razón de la desvinculación' para los empleados con 'Rendimiento' alto?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  <w:highlight w:val="yellow"/>
              </w:rPr>
              <w:t xml:space="preserve"> (Evalúa el costo de la retención de los mejores).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2918E58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Diagnóstica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1E783CB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6. ¿A partir de cuántos 'Años sin promocionar' o 'Años con el mismo jefe' se dispara la probabilidad de rotación voluntaria?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 (Identifica umbrales de estancamiento).</w:t>
            </w:r>
            <w:r/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09204A8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Predictiva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58718C1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7. ¿Es posible crear un </w:t>
            </w:r>
            <w:r>
              <w:rPr>
                <w:rFonts w:ascii="Arial" w:hAnsi="Arial" w:eastAsia="Arial" w:cs="Arial"/>
                <w:b/>
                <w:i/>
                <w:color w:val="1f1f1f"/>
                <w:spacing w:val="1"/>
                <w:sz w:val="17"/>
              </w:rPr>
              <w:t xml:space="preserve">score</w:t>
            </w: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 de riesgo de rotación utilizando solo 'Rendimiento', 'Satisfacción con el trabajo', y el número de 'Compañías empleadoras' previas?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 (Predicción simple y factible).</w:t>
            </w:r>
            <w:r/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374A7AC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Predictiva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1F5DED0A">
            <w:pPr>
              <w:pBdr/>
              <w:spacing w:after="0" w:before="0" w:line="240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  <w:highlight w:val="yellow"/>
              </w:rPr>
              <w:t xml:space="preserve">8. ¿Qué grupos de empleados (por 'Cargo' y 'Departamento') son más propensos a desvincularse después de no recibir un '% Incremento salarial' significativo en el último año?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  <w:highlight w:val="yellow"/>
              </w:rPr>
              <w:t xml:space="preserve"> (Predecir la reacción a la compensación).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155C32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Prescriptiva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0B6D9BC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9. ¿Qué efecto tendría una inversión en más 'Sesiones de formación' y una reducción en las 'Horas extraordinarias' en el 'Nivel de satisfacción' de los empleados con bajo 'Balance de la vida laboral'?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 (Propone una solución de RR. HH.).</w:t>
            </w:r>
            <w:r/>
          </w:p>
        </w:tc>
      </w:tr>
      <w:tr>
        <w:trPr/>
        <w:tc>
          <w:tcPr>
            <w:tcBorders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231" w:type="dxa"/>
            <w:vAlign w:val="center"/>
            <w:textDirection w:val="lrTb"/>
            <w:noWrap w:val="false"/>
          </w:tcPr>
          <w:p w14:paraId="6F54A44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Prescriptiva</w:t>
            </w:r>
            <w:r/>
          </w:p>
        </w:tc>
        <w:tc>
          <w:tcPr>
            <w:tcBorders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8667" w:type="dxa"/>
            <w:vAlign w:val="center"/>
            <w:textDirection w:val="lrTb"/>
            <w:noWrap w:val="false"/>
          </w:tcPr>
          <w:p w14:paraId="0C42F28F">
            <w:pPr>
              <w:pBdr/>
              <w:spacing w:after="0" w:before="0" w:line="240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  <w:highlight w:val="yellow"/>
              </w:rPr>
              <w:t xml:space="preserve">10. ¿Debería Recursos Humanos priorizar las intervenciones en 'Sedes' con alta 'Distancia al hogar' y baja 'Satisfacción con el ambiente'?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  <w:highlight w:val="yellow"/>
              </w:rPr>
              <w:t xml:space="preserve"> (Decisión basada en la logística y el entorno).</w:t>
            </w:r>
            <w:r>
              <w:rPr>
                <w:highlight w:val="yellow"/>
              </w:rPr>
            </w:r>
          </w:p>
        </w:tc>
      </w:tr>
    </w:tbl>
    <w:p w14:paraId="3B192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/>
          <w:bCs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21"/>
          <w:szCs w:val="21"/>
          <w:highlight w:val="none"/>
        </w:rPr>
      </w:r>
    </w:p>
    <w:p w14:paraId="6C4BA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1. 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Es la pregunta de partida. Permite a RR. HH. focalizar inmediatamente los recursos de análisis e intervención en las áreas geográficas y funcionales donde el problema de rotación es más grave.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5E1C7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3. 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Ayuda a segmentar la causa raíz. Determinará si el problema es de retención de talento joven (necesidad de onboarding o desarrollo) o de talento senior (necesidad de reconocimiento o planes de carrera avanzados).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6F571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5. Aborda la pérdida del talento más valioso. Perder a empleados de alto rendimiento por motivos salariales o de compensación es el mayor riesgo para la competitividad, obligando a una revisión prioritaria de la política retributiva.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3BE09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8. 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Permite a RR. HH. actuar proactivamente. Con un modelo predictivo, pueden identificar a empleados concretos en riesgo por sentimiento de infravaloración y realizar intervenciones personalizadas antes de que presenten su dimisión.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2562F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10. Es directamente accionable. Conecta el problema de rotación con decisiones logísticas (ubicación/teletrabajo) y de bienestar laboral, guiando una inversión específica en la mejora del entorno de trabajo de una sede en concreto.</w:t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30571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tbl>
      <w:tblPr>
        <w:tblStyle w:val="12"/>
        <w:tblInd w:w="0" w:type="dxa"/>
        <w:tblW w:w="0" w:type="auto"/>
        <w:tblBorders>
          <w:top w:val="single" w:color="c4c7c5" w:sz="5" w:space="0"/>
          <w:left w:val="single" w:color="c4c7c5" w:sz="5" w:space="0"/>
          <w:bottom w:val="single" w:color="c4c7c5" w:sz="3" w:space="0"/>
          <w:right w:val="single" w:color="c4c7c5" w:sz="3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fixed"/>
        <w:tblLook w:val="04A0" w:firstRow="1" w:lastRow="0" w:firstColumn="1" w:lastColumn="0" w:noHBand="0" w:noVBand="1"/>
      </w:tblPr>
      <w:tblGrid>
        <w:gridCol w:w="1111"/>
        <w:gridCol w:w="4112"/>
        <w:gridCol w:w="4131"/>
      </w:tblGrid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111" w:type="dxa"/>
            <w:vAlign w:val="center"/>
            <w:textDirection w:val="lrTb"/>
            <w:noWrap w:val="false"/>
          </w:tcPr>
          <w:p w14:paraId="06AFA48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8"/>
              </w:rPr>
              <w:t xml:space="preserve">Pregunta 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2" w:type="dxa"/>
            <w:vAlign w:val="center"/>
            <w:textDirection w:val="lrTb"/>
            <w:noWrap w:val="false"/>
          </w:tcPr>
          <w:p w14:paraId="4D8D9BD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8"/>
              </w:rPr>
              <w:t xml:space="preserve">Variables Necesarias </w:t>
            </w:r>
            <w:r/>
          </w:p>
        </w:tc>
        <w:tc>
          <w:tcPr>
            <w:tcBorders>
              <w:bottom w:val="single" w:color="c4c7c5" w:sz="5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31" w:type="dxa"/>
            <w:vAlign w:val="center"/>
            <w:textDirection w:val="lrTb"/>
            <w:noWrap w:val="false"/>
          </w:tcPr>
          <w:p w14:paraId="218CAB7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8"/>
              </w:rPr>
              <w:t xml:space="preserve">Carencias </w:t>
            </w:r>
            <w:r/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111" w:type="dxa"/>
            <w:vAlign w:val="center"/>
            <w:textDirection w:val="lrTb"/>
            <w:noWrap w:val="false"/>
          </w:tcPr>
          <w:p w14:paraId="2ECCAD9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1. 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12" w:type="dxa"/>
            <w:vAlign w:val="center"/>
            <w:textDirection w:val="lrTb"/>
            <w:noWrap w:val="false"/>
          </w:tcPr>
          <w:p w14:paraId="7818B9C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Departamento, Sede, Estado de la relaci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ón laboral (filtrar desvinculados), tipo de desvinculaci</w:t>
            </w: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ón (filtrar voluntarias)</w:t>
            </w:r>
            <w:r/>
          </w:p>
        </w:tc>
        <w:tc>
          <w:tcPr>
            <w:tcBorders>
              <w:bottom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31" w:type="dxa"/>
            <w:vAlign w:val="center"/>
            <w:textDirection w:val="lrTb"/>
            <w:noWrap w:val="false"/>
          </w:tcPr>
          <w:p w14:paraId="3106940A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-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111" w:type="dxa"/>
            <w:vAlign w:val="center"/>
            <w:textDirection w:val="lrTb"/>
            <w:noWrap w:val="false"/>
          </w:tcPr>
          <w:p w14:paraId="06527C6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3. 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12" w:type="dxa"/>
            <w:vAlign w:val="center"/>
            <w:textDirection w:val="lrTb"/>
            <w:noWrap w:val="false"/>
          </w:tcPr>
          <w:p w14:paraId="600DB9A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Edad, años en la empresa, Estado de la relación laboral (filtrar desvinculados), tipo de desvinculación.</w:t>
            </w:r>
            <w:r/>
          </w:p>
        </w:tc>
        <w:tc>
          <w:tcPr>
            <w:tcBorders>
              <w:bottom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31" w:type="dxa"/>
            <w:vAlign w:val="center"/>
            <w:textDirection w:val="lrTb"/>
            <w:noWrap w:val="false"/>
          </w:tcPr>
          <w:p w14:paraId="71A36769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-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111" w:type="dxa"/>
            <w:vAlign w:val="center"/>
            <w:textDirection w:val="lrTb"/>
            <w:noWrap w:val="false"/>
          </w:tcPr>
          <w:p w14:paraId="50FC6C1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5. 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12" w:type="dxa"/>
            <w:vAlign w:val="center"/>
            <w:textDirection w:val="lrTb"/>
            <w:noWrap w:val="false"/>
          </w:tcPr>
          <w:p w14:paraId="3FFE1A2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Ingresos mensuales, Nivel de stock options, Rendimiento, Razón de la desvinculación, estado de la relación laboral.</w:t>
            </w:r>
            <w:r/>
          </w:p>
        </w:tc>
        <w:tc>
          <w:tcPr>
            <w:tcBorders>
              <w:bottom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31" w:type="dxa"/>
            <w:vAlign w:val="center"/>
            <w:textDirection w:val="lrTb"/>
            <w:noWrap w:val="false"/>
          </w:tcPr>
          <w:p w14:paraId="2110BA93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Se carece de datos de salarios y compensación del mercado (de la competencia en el sector farmacéutico español) para establecer objetivamente qué se considera un 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"bajo"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 'Ingreso mensual'.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111" w:type="dxa"/>
            <w:vAlign w:val="center"/>
            <w:textDirection w:val="lrTb"/>
            <w:noWrap w:val="false"/>
          </w:tcPr>
          <w:p w14:paraId="28FB4A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8. </w:t>
            </w:r>
            <w:r/>
          </w:p>
        </w:tc>
        <w:tc>
          <w:tcPr>
            <w:tcBorders>
              <w:bottom w:val="single" w:color="c4c7c5" w:sz="5" w:space="0"/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12" w:type="dxa"/>
            <w:vAlign w:val="center"/>
            <w:textDirection w:val="lrTb"/>
            <w:noWrap w:val="false"/>
          </w:tcPr>
          <w:p w14:paraId="49E2AF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Cargo, Departamento, % Incremento salarial, Estado de la relación laboral, tipo de desvinculación.</w:t>
            </w:r>
            <w:r/>
          </w:p>
        </w:tc>
        <w:tc>
          <w:tcPr>
            <w:tcBorders>
              <w:bottom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31" w:type="dxa"/>
            <w:vAlign w:val="center"/>
            <w:textDirection w:val="lrTb"/>
            <w:noWrap w:val="false"/>
          </w:tcPr>
          <w:p w14:paraId="08911598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Falta una 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variable de contexto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 que defina qué porcentaje de incremento salarial es considerado "significativo" por la empresa o el mercado. Esto debe ser determinado por RR. HH. antes del análisis.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1111" w:type="dxa"/>
            <w:vAlign w:val="center"/>
            <w:textDirection w:val="lrTb"/>
            <w:noWrap w:val="false"/>
          </w:tcPr>
          <w:p w14:paraId="164CA7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pacing w:val="1"/>
                <w:sz w:val="17"/>
              </w:rPr>
              <w:t xml:space="preserve">10. </w:t>
            </w:r>
            <w:r/>
          </w:p>
        </w:tc>
        <w:tc>
          <w:tcPr>
            <w:tcBorders>
              <w:right w:val="single" w:color="c4c7c5" w:sz="5" w:space="0"/>
            </w:tcBorders>
            <w:tcMar>
              <w:left w:w="120" w:type="dxa"/>
              <w:top w:w="75" w:type="dxa"/>
              <w:right w:w="120" w:type="dxa"/>
              <w:bottom w:w="75" w:type="dxa"/>
            </w:tcMar>
            <w:tcW w:w="4112" w:type="dxa"/>
            <w:vAlign w:val="center"/>
            <w:textDirection w:val="lrTb"/>
            <w:noWrap w:val="false"/>
          </w:tcPr>
          <w:p w14:paraId="4711978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f1f1f"/>
                <w:spacing w:val="1"/>
                <w:sz w:val="17"/>
              </w:rPr>
              <w:t xml:space="preserve">Sede, Distancia al hogar, Satisfacción con el ambiente, Estado de la relación laboral.</w:t>
            </w:r>
            <w:r/>
          </w:p>
        </w:tc>
        <w:tc>
          <w:tcPr>
            <w:tcBorders/>
            <w:tcMar>
              <w:left w:w="120" w:type="dxa"/>
              <w:top w:w="75" w:type="dxa"/>
              <w:right w:w="120" w:type="dxa"/>
              <w:bottom w:w="75" w:type="dxa"/>
            </w:tcMar>
            <w:tcW w:w="4131" w:type="dxa"/>
            <w:vAlign w:val="center"/>
            <w:textDirection w:val="lrTb"/>
            <w:noWrap w:val="false"/>
          </w:tcPr>
          <w:p w14:paraId="15A00272">
            <w:pPr>
              <w:pBdr/>
              <w:spacing w:after="0" w:before="0" w:line="240"/>
              <w:ind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El dataset solo contiene el </w:t>
            </w:r>
            <w:r>
              <w:rPr>
                <w:rFonts w:ascii="Arial" w:hAnsi="Arial" w:eastAsia="Arial" w:cs="Arial"/>
                <w:b w:val="0"/>
                <w:bCs w:val="0"/>
                <w:i/>
                <w:color w:val="1f1f1f"/>
                <w:spacing w:val="1"/>
                <w:sz w:val="17"/>
              </w:rPr>
              <w:t xml:space="preserve">estado actual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. No incluye datos sobre la 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viabilidad o coste</w:t>
            </w:r>
            <w:r>
              <w:rPr>
                <w:rFonts w:ascii="Arial" w:hAnsi="Arial" w:eastAsia="Arial" w:cs="Arial"/>
                <w:b w:val="0"/>
                <w:bCs w:val="0"/>
                <w:color w:val="1f1f1f"/>
                <w:spacing w:val="1"/>
                <w:sz w:val="17"/>
              </w:rPr>
              <w:t xml:space="preserve"> de las intervenciones (ej. coste de mejorar el ambiente, coste de ofrecer teletrabajo) para justificar la priorización de una acción prescriptiva.</w:t>
            </w:r>
            <w:r>
              <w:rPr>
                <w:b w:val="0"/>
                <w:bCs w:val="0"/>
              </w:rPr>
            </w:r>
          </w:p>
        </w:tc>
      </w:tr>
    </w:tbl>
    <w:p w14:paraId="17929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335DF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1.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 Esta pregunta nos dice dónde está el problema real. Permite a RR. HH. dejar de analizar toda la empresa y concentrar la inversión y los recursos de mitigación en los 3-4 puntos calientes (ej. Barcelona - I+D) de forma inmediata.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62795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3. 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Nos ayuda a entender quién se está yendo. Si es talento junior, el enfoque será en el onboarding y la formación. Si es talento senior, será en la retención de conocimiento y los planes de sucesión/carrera.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15E6C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5. </w:t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  <w:t xml:space="preserve">Aborda la pérdida del talento más costoso de reemplazar. Si los empleados de alto rendimiento se marchan por compensación, la acción prioritaria de RR. HH. debe ser una revisión urgente y competitiva de la estructura salarial.</w:t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2C7BB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6043C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r>
    </w:p>
    <w:p w14:paraId="7D091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1f1f1f"/>
          <w:sz w:val="21"/>
          <w:szCs w:val="21"/>
          <w:highlight w:val="none"/>
        </w:rPr>
      </w:pP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  <w:r>
        <w:rPr>
          <w:rFonts w:ascii="Arial" w:hAnsi="Arial" w:eastAsia="Arial" w:cs="Arial"/>
          <w:b w:val="0"/>
          <w:bCs w:val="0"/>
          <w:color w:val="1f1f1f"/>
          <w:sz w:val="21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7238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BCF7A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35E25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A13F7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E3D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837285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6DDBBF6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2025-12-15T21:07:06Z</dcterms:modified>
</cp:coreProperties>
</file>