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62.00000000000003" w:type="dxa"/>
        <w:tblLayout w:type="fixed"/>
        <w:tblLook w:val="0400"/>
      </w:tblPr>
      <w:tblGrid>
        <w:gridCol w:w="1950"/>
        <w:gridCol w:w="2925"/>
        <w:gridCol w:w="495"/>
        <w:gridCol w:w="2430"/>
        <w:gridCol w:w="105"/>
        <w:gridCol w:w="2565"/>
        <w:tblGridChange w:id="0">
          <w:tblGrid>
            <w:gridCol w:w="1950"/>
            <w:gridCol w:w="2925"/>
            <w:gridCol w:w="495"/>
            <w:gridCol w:w="2430"/>
            <w:gridCol w:w="105"/>
            <w:gridCol w:w="2565"/>
          </w:tblGrid>
        </w:tblGridChange>
      </w:tblGrid>
      <w:tr>
        <w:trPr>
          <w:cantSplit w:val="0"/>
          <w:trHeight w:val="267.1455731729823" w:hRule="atLeast"/>
          <w:tblHeader w:val="0"/>
        </w:trPr>
        <w:tc>
          <w:tcPr>
            <w:gridSpan w:val="6"/>
            <w:tcBorders>
              <w:bottom w:color="b7b7b7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b w:val="1"/>
                <w:color w:val="434343"/>
                <w:sz w:val="44"/>
                <w:szCs w:val="4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44"/>
                <w:szCs w:val="44"/>
                <w:rtl w:val="0"/>
              </w:rPr>
              <w:t xml:space="preserve">STAKEHOLDER REGISTER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283.46456692913375" w:firstLine="0"/>
              <w:rPr>
                <w:rFonts w:ascii="Calibri" w:cs="Calibri" w:eastAsia="Calibri" w:hAnsi="Calibri"/>
                <w:b w:val="1"/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18" w:val="single"/>
              <w:right w:color="efefef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283.46456692913375" w:firstLine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31f20"/>
                <w:sz w:val="24"/>
                <w:szCs w:val="24"/>
                <w:rtl w:val="0"/>
              </w:rPr>
              <w:t xml:space="preserve">Project 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efefef" w:space="0" w:sz="4" w:val="single"/>
              <w:bottom w:color="b7b7b7" w:space="0" w:sz="18" w:val="single"/>
              <w:right w:color="b7b7b7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AWS CyberShift Initiative</w:t>
            </w:r>
          </w:p>
        </w:tc>
        <w:tc>
          <w:tcPr>
            <w:tcBorders>
              <w:top w:color="ffffff" w:space="0" w:sz="4" w:val="single"/>
              <w:left w:color="b7b7b7" w:space="0" w:sz="4" w:val="single"/>
              <w:bottom w:color="ffffff" w:space="0" w:sz="4" w:val="single"/>
              <w:right w:color="b7b7b7" w:space="0" w:sz="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7b7b7" w:space="0" w:sz="4" w:val="single"/>
              <w:left w:color="b7b7b7" w:space="0" w:sz="8" w:val="single"/>
              <w:bottom w:color="b7b7b7" w:space="0" w:sz="18" w:val="single"/>
              <w:right w:color="000000" w:space="0" w:sz="0" w:val="nil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31f20"/>
                <w:sz w:val="24"/>
                <w:szCs w:val="24"/>
                <w:rtl w:val="0"/>
              </w:rPr>
              <w:t xml:space="preserve">Date Prepared: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000000" w:space="0" w:sz="0" w:val="nil"/>
              <w:bottom w:color="b7b7b7" w:space="0" w:sz="18" w:val="single"/>
              <w:right w:color="b7b7b7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19th of June, 2023</w:t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484.27559055118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640"/>
        <w:gridCol w:w="1680"/>
        <w:gridCol w:w="1515"/>
        <w:gridCol w:w="2646.425196850394"/>
        <w:gridCol w:w="2646.425196850394"/>
        <w:gridCol w:w="2646.425196850394"/>
        <w:tblGridChange w:id="0">
          <w:tblGrid>
            <w:gridCol w:w="1710"/>
            <w:gridCol w:w="2640"/>
            <w:gridCol w:w="1680"/>
            <w:gridCol w:w="1515"/>
            <w:gridCol w:w="2646.425196850394"/>
            <w:gridCol w:w="2646.425196850394"/>
            <w:gridCol w:w="2646.425196850394"/>
          </w:tblGrid>
        </w:tblGridChange>
      </w:tblGrid>
      <w:tr>
        <w:trPr>
          <w:cantSplit w:val="0"/>
          <w:trHeight w:val="482.999999999999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6a5af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Stakeholder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6a5af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Contact Information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6a5af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 Role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6a5af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6a5af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 Concerns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6a5af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 Requirements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6a5af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Comments</w:t>
            </w:r>
          </w:p>
        </w:tc>
      </w:tr>
      <w:tr>
        <w:trPr>
          <w:cantSplit w:val="0"/>
          <w:trHeight w:val="1043.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OzCazual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Jan Tinbergen</w:t>
              <w:br w:type="textWrapping"/>
              <w:t xml:space="preserve">CEO &amp; Founder</w:t>
              <w:br w:type="textWrapping"/>
              <w:t xml:space="preserve">(03) 9369 4424</w:t>
              <w:br w:type="textWrapping"/>
              <w:t xml:space="preserve">jtinberger@ozcazual.com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Executives / Department Heads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Meeting business objectives, Scalability, Security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Timely completion, Cost-effectiveness, Business continuity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Key decision-makers and strategic direction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SecureNET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Giuseppe Raciti</w:t>
              <w:br w:type="textWrapping"/>
              <w:t xml:space="preserve">0432 775 387</w:t>
              <w:br w:type="textWrapping"/>
              <w:t xml:space="preserve">g.raciti@securenet.com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Project Managers / Cyber Security Specialists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Service Provider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Security implementation, Timely delivery, Technical expertise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Compliance with industry standards, secure cloud infrastructure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Responsible for project execution and security measures</w:t>
            </w:r>
          </w:p>
        </w:tc>
      </w:tr>
      <w:tr>
        <w:trPr>
          <w:cantSplit w:val="0"/>
          <w:trHeight w:val="839.17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AWS Cloud 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Technical Support</w:t>
              <w:br w:type="textWrapping"/>
              <w:t xml:space="preserve">+1 555 252 3248</w:t>
              <w:br w:type="textWrapping"/>
              <w:t xml:space="preserve">support@amazon.com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Cloud Service Provider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External / </w:t>
              <w:br w:type="textWrapping"/>
              <w:t xml:space="preserve">Cloud Technology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Inability to assure security, availability, scalability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Compliance with AWS security standards, reliable cloud services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Ensuring secure and reliable cloud infrastructure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Server Administrators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Mauricio Guerra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0400 847 574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m.guerra@securenet.com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Server Administrator 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Resource / Technical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Collaborating with SecureNet, Ensure smooth transition, maintain system functionality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Efficient system migration, Seamless integration, Security best practices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Assisting in server migration and ensuring smooth operations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IT 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John Hicks</w:t>
            </w:r>
          </w:p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0431 331 454</w:t>
            </w:r>
          </w:p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jhicks@ozcazual.com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OzCazual IT 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Internal / Support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Collaborating with SecureNet, Ensuring system compatibility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Integration with existing systems, Effective communication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Providing support and aligning IT infrastructure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Project Owner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Hettige Jayatissa</w:t>
            </w:r>
          </w:p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0432 665 784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h.jayatissa@ozcaual.com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Project Owner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Internal / Client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Project success, Business impact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Strategic alignment, Project approval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Overall project oversight and decision-making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End-Users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HR Department</w:t>
              <w:br w:type="textWrapping"/>
              <w:t xml:space="preserve">Mass Email Register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OzCazual Employees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Internal / User/Operational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User experience, System usability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Training and support, System reliability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Feedback and user acceptance of the implemented system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Stored data on OzCazual systems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OzCazual E-Commerce Customers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External / Customers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Data security, System availability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Secure online transactions, Reliable system performance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Ensuring customer trust and satisfaction</w:t>
            </w:r>
          </w:p>
        </w:tc>
      </w:tr>
      <w:tr>
        <w:trPr>
          <w:cantSplit w:val="0"/>
          <w:trHeight w:val="882.421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Regulatory and Compliance Authorities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Varied - Consult 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Industry specific governing bodies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External / Regulatory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Compliance with regulations, </w:t>
              <w:br w:type="textWrapping"/>
              <w:t xml:space="preserve">Data protection</w:t>
              <w:tab/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Adherence to industry standards, Auditability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Meeting legal and regulatory requirements</w:t>
            </w:r>
          </w:p>
        </w:tc>
      </w:tr>
    </w:tbl>
    <w:p w:rsidR="00000000" w:rsidDel="00000000" w:rsidP="00000000" w:rsidRDefault="00000000" w:rsidRPr="00000000" w14:paraId="0000005C">
      <w:pPr>
        <w:spacing w:after="0" w:before="0" w:line="240" w:lineRule="auto"/>
        <w:ind w:left="708.6614173228347" w:right="843.30708661417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993.5433070866151" w:top="283.46456692913387" w:left="566.9291338582675" w:right="542.7165354330737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