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9600.0" w:type="dxa"/>
        <w:jc w:val="center"/>
        <w:tblLayout w:type="fixed"/>
        <w:tblLook w:val="0400"/>
      </w:tblPr>
      <w:tblGrid>
        <w:gridCol w:w="1650"/>
        <w:gridCol w:w="2835"/>
        <w:gridCol w:w="855"/>
        <w:gridCol w:w="1950"/>
        <w:gridCol w:w="105"/>
        <w:gridCol w:w="2205"/>
        <w:tblGridChange w:id="0">
          <w:tblGrid>
            <w:gridCol w:w="1650"/>
            <w:gridCol w:w="2835"/>
            <w:gridCol w:w="855"/>
            <w:gridCol w:w="1950"/>
            <w:gridCol w:w="105"/>
            <w:gridCol w:w="2205"/>
          </w:tblGrid>
        </w:tblGridChange>
      </w:tblGrid>
      <w:tr>
        <w:trPr>
          <w:cantSplit w:val="0"/>
          <w:trHeight w:val="828.0078125" w:hRule="atLeast"/>
          <w:tblHeader w:val="0"/>
        </w:trPr>
        <w:tc>
          <w:tcPr>
            <w:gridSpan w:val="6"/>
            <w:tcBorders>
              <w:bottom w:color="b7b7b7" w:space="0" w:sz="4" w:val="single"/>
            </w:tcBorders>
            <w:vAlign w:val="center"/>
          </w:tcPr>
          <w:p w:rsidR="00000000" w:rsidDel="00000000" w:rsidP="00000000" w:rsidRDefault="00000000" w:rsidRPr="00000000" w14:paraId="00000002">
            <w:pPr>
              <w:widowControl w:val="0"/>
              <w:spacing w:after="0" w:line="240" w:lineRule="auto"/>
              <w:rPr>
                <w:b w:val="1"/>
                <w:color w:val="434343"/>
                <w:sz w:val="44"/>
                <w:szCs w:val="44"/>
              </w:rPr>
            </w:pPr>
            <w:r w:rsidDel="00000000" w:rsidR="00000000" w:rsidRPr="00000000">
              <w:rPr>
                <w:b w:val="1"/>
                <w:color w:val="434343"/>
                <w:sz w:val="44"/>
                <w:szCs w:val="44"/>
                <w:rtl w:val="0"/>
              </w:rPr>
              <w:t xml:space="preserve">QUALITY MANAGEMENT PLAN</w:t>
            </w:r>
          </w:p>
          <w:p w:rsidR="00000000" w:rsidDel="00000000" w:rsidP="00000000" w:rsidRDefault="00000000" w:rsidRPr="00000000" w14:paraId="00000003">
            <w:pPr>
              <w:widowControl w:val="0"/>
              <w:spacing w:after="0" w:line="240" w:lineRule="auto"/>
              <w:rPr>
                <w:b w:val="1"/>
                <w:color w:val="434343"/>
                <w:sz w:val="14"/>
                <w:szCs w:val="14"/>
              </w:rPr>
            </w:pPr>
            <w:r w:rsidDel="00000000" w:rsidR="00000000" w:rsidRPr="00000000">
              <w:rPr>
                <w:rtl w:val="0"/>
              </w:rPr>
            </w:r>
          </w:p>
        </w:tc>
      </w:tr>
      <w:tr>
        <w:trPr>
          <w:cantSplit w:val="0"/>
          <w:trHeight w:val="675" w:hRule="atLeast"/>
          <w:tblHeader w:val="0"/>
        </w:trPr>
        <w:tc>
          <w:tcPr>
            <w:tcBorders>
              <w:top w:color="b7b7b7" w:space="0" w:sz="4" w:val="single"/>
              <w:left w:color="b7b7b7" w:space="0" w:sz="4" w:val="single"/>
              <w:bottom w:color="b7b7b7" w:space="0" w:sz="18" w:val="single"/>
              <w:right w:color="efefef" w:space="0" w:sz="4" w:val="single"/>
            </w:tcBorders>
            <w:shd w:fill="efefef" w:val="clear"/>
            <w:vAlign w:val="center"/>
          </w:tcPr>
          <w:p w:rsidR="00000000" w:rsidDel="00000000" w:rsidP="00000000" w:rsidRDefault="00000000" w:rsidRPr="00000000" w14:paraId="00000009">
            <w:pPr>
              <w:widowControl w:val="0"/>
              <w:spacing w:after="0" w:line="240" w:lineRule="auto"/>
              <w:ind w:right="25.748031496063106"/>
              <w:jc w:val="right"/>
              <w:rPr>
                <w:sz w:val="24"/>
                <w:szCs w:val="24"/>
              </w:rPr>
            </w:pPr>
            <w:r w:rsidDel="00000000" w:rsidR="00000000" w:rsidRPr="00000000">
              <w:rPr>
                <w:color w:val="231f20"/>
                <w:sz w:val="24"/>
                <w:szCs w:val="24"/>
                <w:rtl w:val="0"/>
              </w:rPr>
              <w:t xml:space="preserve">Project Title:</w:t>
            </w:r>
            <w:r w:rsidDel="00000000" w:rsidR="00000000" w:rsidRPr="00000000">
              <w:rPr>
                <w:rtl w:val="0"/>
              </w:rPr>
            </w:r>
          </w:p>
        </w:tc>
        <w:tc>
          <w:tcPr>
            <w:tcBorders>
              <w:top w:color="b7b7b7" w:space="0" w:sz="4" w:val="single"/>
              <w:left w:color="efefef" w:space="0" w:sz="4" w:val="single"/>
              <w:bottom w:color="b7b7b7" w:space="0" w:sz="18" w:val="single"/>
              <w:right w:color="b7b7b7" w:space="0" w:sz="4" w:val="single"/>
            </w:tcBorders>
            <w:shd w:fill="efefef" w:val="clear"/>
            <w:vAlign w:val="center"/>
          </w:tcPr>
          <w:p w:rsidR="00000000" w:rsidDel="00000000" w:rsidP="00000000" w:rsidRDefault="00000000" w:rsidRPr="00000000" w14:paraId="0000000A">
            <w:pPr>
              <w:widowControl w:val="0"/>
              <w:spacing w:after="0" w:line="240" w:lineRule="auto"/>
              <w:rPr>
                <w:b w:val="1"/>
                <w:color w:val="1c4587"/>
                <w:sz w:val="24"/>
                <w:szCs w:val="24"/>
              </w:rPr>
            </w:pPr>
            <w:r w:rsidDel="00000000" w:rsidR="00000000" w:rsidRPr="00000000">
              <w:rPr>
                <w:b w:val="1"/>
                <w:color w:val="1c4587"/>
                <w:sz w:val="24"/>
                <w:szCs w:val="24"/>
                <w:rtl w:val="0"/>
              </w:rPr>
              <w:t xml:space="preserve">AWS CyberShift Initiative</w:t>
            </w:r>
          </w:p>
        </w:tc>
        <w:tc>
          <w:tcPr>
            <w:tcBorders>
              <w:top w:color="ffffff" w:space="0" w:sz="4" w:val="single"/>
              <w:left w:color="b7b7b7" w:space="0" w:sz="4" w:val="single"/>
              <w:bottom w:color="ffffff" w:space="0" w:sz="4" w:val="single"/>
              <w:right w:color="b7b7b7" w:space="0" w:sz="8" w:val="single"/>
            </w:tcBorders>
            <w:vAlign w:val="center"/>
          </w:tcPr>
          <w:p w:rsidR="00000000" w:rsidDel="00000000" w:rsidP="00000000" w:rsidRDefault="00000000" w:rsidRPr="00000000" w14:paraId="0000000B">
            <w:pPr>
              <w:widowControl w:val="0"/>
              <w:spacing w:after="0" w:line="240" w:lineRule="auto"/>
              <w:jc w:val="right"/>
              <w:rPr>
                <w:color w:val="231f20"/>
                <w:sz w:val="24"/>
                <w:szCs w:val="24"/>
              </w:rPr>
            </w:pPr>
            <w:r w:rsidDel="00000000" w:rsidR="00000000" w:rsidRPr="00000000">
              <w:rPr>
                <w:rtl w:val="0"/>
              </w:rPr>
            </w:r>
          </w:p>
        </w:tc>
        <w:tc>
          <w:tcPr>
            <w:gridSpan w:val="2"/>
            <w:tcBorders>
              <w:top w:color="b7b7b7" w:space="0" w:sz="4" w:val="single"/>
              <w:left w:color="b7b7b7" w:space="0" w:sz="8" w:val="single"/>
              <w:bottom w:color="b7b7b7" w:space="0" w:sz="18" w:val="single"/>
              <w:right w:color="000000" w:space="0" w:sz="0" w:val="nil"/>
            </w:tcBorders>
            <w:shd w:fill="efefef" w:val="clear"/>
            <w:vAlign w:val="center"/>
          </w:tcPr>
          <w:p w:rsidR="00000000" w:rsidDel="00000000" w:rsidP="00000000" w:rsidRDefault="00000000" w:rsidRPr="00000000" w14:paraId="0000000C">
            <w:pPr>
              <w:widowControl w:val="0"/>
              <w:spacing w:after="0" w:line="240" w:lineRule="auto"/>
              <w:ind w:right="137.48031496062936"/>
              <w:jc w:val="right"/>
              <w:rPr>
                <w:sz w:val="24"/>
                <w:szCs w:val="24"/>
              </w:rPr>
            </w:pPr>
            <w:r w:rsidDel="00000000" w:rsidR="00000000" w:rsidRPr="00000000">
              <w:rPr>
                <w:color w:val="231f20"/>
                <w:sz w:val="24"/>
                <w:szCs w:val="24"/>
                <w:rtl w:val="0"/>
              </w:rPr>
              <w:t xml:space="preserve">Date Prepared:</w:t>
            </w:r>
            <w:r w:rsidDel="00000000" w:rsidR="00000000" w:rsidRPr="00000000">
              <w:rPr>
                <w:rtl w:val="0"/>
              </w:rPr>
            </w:r>
          </w:p>
        </w:tc>
        <w:tc>
          <w:tcPr>
            <w:tcBorders>
              <w:top w:color="b7b7b7" w:space="0" w:sz="4" w:val="single"/>
              <w:left w:color="000000" w:space="0" w:sz="0" w:val="nil"/>
              <w:bottom w:color="b7b7b7" w:space="0" w:sz="18" w:val="single"/>
              <w:right w:color="b7b7b7" w:space="0" w:sz="4" w:val="single"/>
            </w:tcBorders>
            <w:shd w:fill="efefef" w:val="clear"/>
            <w:vAlign w:val="center"/>
          </w:tcPr>
          <w:p w:rsidR="00000000" w:rsidDel="00000000" w:rsidP="00000000" w:rsidRDefault="00000000" w:rsidRPr="00000000" w14:paraId="0000000E">
            <w:pPr>
              <w:widowControl w:val="0"/>
              <w:spacing w:after="0" w:line="240" w:lineRule="auto"/>
              <w:rPr>
                <w:b w:val="1"/>
                <w:color w:val="1c4587"/>
                <w:sz w:val="24"/>
                <w:szCs w:val="24"/>
              </w:rPr>
            </w:pPr>
            <w:r w:rsidDel="00000000" w:rsidR="00000000" w:rsidRPr="00000000">
              <w:rPr>
                <w:b w:val="1"/>
                <w:color w:val="1c4587"/>
                <w:sz w:val="24"/>
                <w:szCs w:val="24"/>
                <w:rtl w:val="0"/>
              </w:rPr>
              <w:t xml:space="preserve">18th of June, 2023</w:t>
            </w:r>
          </w:p>
        </w:tc>
      </w:tr>
      <w:tr>
        <w:trPr>
          <w:cantSplit w:val="0"/>
          <w:trHeight w:val="220" w:hRule="atLeast"/>
          <w:tblHeader w:val="0"/>
        </w:trPr>
        <w:tc>
          <w:tcPr>
            <w:tcBorders>
              <w:top w:color="b7b7b7" w:space="0" w:sz="18" w:val="single"/>
              <w:left w:color="ffffff" w:space="0" w:sz="4" w:val="single"/>
              <w:bottom w:color="b7b7b7" w:space="0" w:sz="4" w:val="single"/>
              <w:right w:color="000000" w:space="0" w:sz="0" w:val="nil"/>
            </w:tcBorders>
            <w:vAlign w:val="center"/>
          </w:tcPr>
          <w:p w:rsidR="00000000" w:rsidDel="00000000" w:rsidP="00000000" w:rsidRDefault="00000000" w:rsidRPr="00000000" w14:paraId="0000000F">
            <w:pPr>
              <w:widowControl w:val="0"/>
              <w:spacing w:after="0" w:line="240" w:lineRule="auto"/>
              <w:ind w:right="25.748031496063106"/>
              <w:jc w:val="right"/>
              <w:rPr>
                <w:color w:val="231f20"/>
                <w:sz w:val="2"/>
                <w:szCs w:val="2"/>
              </w:rPr>
            </w:pPr>
            <w:r w:rsidDel="00000000" w:rsidR="00000000" w:rsidRPr="00000000">
              <w:rPr>
                <w:rtl w:val="0"/>
              </w:rPr>
            </w:r>
          </w:p>
        </w:tc>
        <w:tc>
          <w:tcPr>
            <w:tcBorders>
              <w:top w:color="b7b7b7" w:space="0" w:sz="18" w:val="single"/>
              <w:left w:color="000000" w:space="0" w:sz="0" w:val="nil"/>
              <w:bottom w:color="b7b7b7" w:space="0" w:sz="4" w:val="single"/>
              <w:right w:color="000000" w:space="0" w:sz="0" w:val="nil"/>
            </w:tcBorders>
            <w:vAlign w:val="center"/>
          </w:tcPr>
          <w:p w:rsidR="00000000" w:rsidDel="00000000" w:rsidP="00000000" w:rsidRDefault="00000000" w:rsidRPr="00000000" w14:paraId="00000010">
            <w:pPr>
              <w:widowControl w:val="0"/>
              <w:spacing w:after="0" w:line="240" w:lineRule="auto"/>
              <w:jc w:val="center"/>
              <w:rPr>
                <w:b w:val="1"/>
                <w:color w:val="1c4587"/>
                <w:sz w:val="12"/>
                <w:szCs w:val="12"/>
              </w:rPr>
            </w:pP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11">
            <w:pPr>
              <w:widowControl w:val="0"/>
              <w:spacing w:after="0" w:line="240" w:lineRule="auto"/>
              <w:jc w:val="right"/>
              <w:rPr>
                <w:color w:val="231f20"/>
                <w:sz w:val="12"/>
                <w:szCs w:val="12"/>
              </w:rPr>
            </w:pPr>
            <w:r w:rsidDel="00000000" w:rsidR="00000000" w:rsidRPr="00000000">
              <w:rPr>
                <w:rtl w:val="0"/>
              </w:rPr>
            </w:r>
          </w:p>
        </w:tc>
        <w:tc>
          <w:tcPr>
            <w:gridSpan w:val="2"/>
            <w:tcBorders>
              <w:top w:color="b7b7b7" w:space="0" w:sz="18" w:val="single"/>
              <w:left w:color="000000" w:space="0" w:sz="0" w:val="nil"/>
              <w:bottom w:color="b7b7b7" w:space="0" w:sz="4" w:val="single"/>
            </w:tcBorders>
            <w:vAlign w:val="center"/>
          </w:tcPr>
          <w:p w:rsidR="00000000" w:rsidDel="00000000" w:rsidP="00000000" w:rsidRDefault="00000000" w:rsidRPr="00000000" w14:paraId="00000012">
            <w:pPr>
              <w:widowControl w:val="0"/>
              <w:spacing w:after="0" w:line="240" w:lineRule="auto"/>
              <w:jc w:val="right"/>
              <w:rPr>
                <w:color w:val="231f20"/>
                <w:sz w:val="12"/>
                <w:szCs w:val="12"/>
              </w:rPr>
            </w:pPr>
            <w:r w:rsidDel="00000000" w:rsidR="00000000" w:rsidRPr="00000000">
              <w:rPr>
                <w:rtl w:val="0"/>
              </w:rPr>
            </w:r>
          </w:p>
        </w:tc>
        <w:tc>
          <w:tcPr>
            <w:tcBorders>
              <w:top w:color="b7b7b7" w:space="0" w:sz="18" w:val="single"/>
              <w:left w:color="000000" w:space="0" w:sz="0" w:val="nil"/>
              <w:bottom w:color="b7b7b7" w:space="0" w:sz="4" w:val="single"/>
              <w:right w:color="ffffff" w:space="0" w:sz="4" w:val="single"/>
            </w:tcBorders>
            <w:vAlign w:val="center"/>
          </w:tcPr>
          <w:p w:rsidR="00000000" w:rsidDel="00000000" w:rsidP="00000000" w:rsidRDefault="00000000" w:rsidRPr="00000000" w14:paraId="00000014">
            <w:pPr>
              <w:widowControl w:val="0"/>
              <w:spacing w:after="0" w:line="240" w:lineRule="auto"/>
              <w:rPr>
                <w:b w:val="1"/>
                <w:color w:val="1c4587"/>
                <w:sz w:val="12"/>
                <w:szCs w:val="12"/>
              </w:rPr>
            </w:pPr>
            <w:r w:rsidDel="00000000" w:rsidR="00000000" w:rsidRPr="00000000">
              <w:rPr>
                <w:rtl w:val="0"/>
              </w:rPr>
            </w:r>
          </w:p>
        </w:tc>
      </w:tr>
      <w:tr>
        <w:trPr>
          <w:cantSplit w:val="0"/>
          <w:trHeight w:val="570" w:hRule="atLeast"/>
          <w:tblHeader w:val="0"/>
        </w:trPr>
        <w:tc>
          <w:tcPr>
            <w:tcBorders>
              <w:top w:color="b7b7b7" w:space="0" w:sz="4" w:val="single"/>
              <w:left w:color="b7b7b7" w:space="0" w:sz="4" w:val="single"/>
              <w:bottom w:color="b7b7b7" w:space="0" w:sz="18" w:val="single"/>
              <w:right w:color="000000" w:space="0" w:sz="0" w:val="nil"/>
            </w:tcBorders>
            <w:shd w:fill="efefef" w:val="clear"/>
            <w:vAlign w:val="center"/>
          </w:tcPr>
          <w:p w:rsidR="00000000" w:rsidDel="00000000" w:rsidP="00000000" w:rsidRDefault="00000000" w:rsidRPr="00000000" w14:paraId="00000015">
            <w:pPr>
              <w:widowControl w:val="0"/>
              <w:spacing w:after="0" w:line="240" w:lineRule="auto"/>
              <w:ind w:right="25.748031496063106"/>
              <w:jc w:val="right"/>
              <w:rPr>
                <w:color w:val="231f20"/>
                <w:sz w:val="24"/>
                <w:szCs w:val="24"/>
              </w:rPr>
            </w:pPr>
            <w:r w:rsidDel="00000000" w:rsidR="00000000" w:rsidRPr="00000000">
              <w:rPr>
                <w:color w:val="231f20"/>
                <w:sz w:val="24"/>
                <w:szCs w:val="24"/>
                <w:rtl w:val="0"/>
              </w:rPr>
              <w:t xml:space="preserve">Prepared By:</w:t>
            </w:r>
          </w:p>
        </w:tc>
        <w:tc>
          <w:tcPr>
            <w:tcBorders>
              <w:top w:color="b7b7b7" w:space="0" w:sz="4" w:val="single"/>
              <w:left w:color="000000" w:space="0" w:sz="0" w:val="nil"/>
              <w:bottom w:color="b7b7b7" w:space="0" w:sz="18" w:val="single"/>
              <w:right w:color="b7b7b7" w:space="0" w:sz="8" w:val="single"/>
            </w:tcBorders>
            <w:shd w:fill="efefef" w:val="clear"/>
            <w:vAlign w:val="center"/>
          </w:tcPr>
          <w:p w:rsidR="00000000" w:rsidDel="00000000" w:rsidP="00000000" w:rsidRDefault="00000000" w:rsidRPr="00000000" w14:paraId="00000016">
            <w:pPr>
              <w:widowControl w:val="0"/>
              <w:spacing w:after="0" w:line="240" w:lineRule="auto"/>
              <w:rPr>
                <w:b w:val="1"/>
                <w:color w:val="1c4587"/>
                <w:sz w:val="24"/>
                <w:szCs w:val="24"/>
              </w:rPr>
            </w:pPr>
            <w:r w:rsidDel="00000000" w:rsidR="00000000" w:rsidRPr="00000000">
              <w:rPr>
                <w:b w:val="1"/>
                <w:color w:val="1c4587"/>
                <w:sz w:val="24"/>
                <w:szCs w:val="24"/>
                <w:rtl w:val="0"/>
              </w:rPr>
              <w:t xml:space="preserve">Shaun Heywood</w:t>
            </w:r>
          </w:p>
        </w:tc>
        <w:tc>
          <w:tcPr>
            <w:tcBorders>
              <w:top w:color="ffffff" w:space="0" w:sz="4" w:val="single"/>
              <w:left w:color="b7b7b7" w:space="0" w:sz="8" w:val="single"/>
              <w:bottom w:color="ffffff" w:space="0" w:sz="4" w:val="single"/>
              <w:right w:color="b7b7b7" w:space="0" w:sz="8" w:val="single"/>
            </w:tcBorders>
            <w:vAlign w:val="center"/>
          </w:tcPr>
          <w:p w:rsidR="00000000" w:rsidDel="00000000" w:rsidP="00000000" w:rsidRDefault="00000000" w:rsidRPr="00000000" w14:paraId="00000017">
            <w:pPr>
              <w:widowControl w:val="0"/>
              <w:spacing w:after="0" w:line="240" w:lineRule="auto"/>
              <w:jc w:val="right"/>
              <w:rPr>
                <w:color w:val="231f20"/>
                <w:sz w:val="24"/>
                <w:szCs w:val="24"/>
              </w:rPr>
            </w:pPr>
            <w:r w:rsidDel="00000000" w:rsidR="00000000" w:rsidRPr="00000000">
              <w:rPr>
                <w:rtl w:val="0"/>
              </w:rPr>
            </w:r>
          </w:p>
        </w:tc>
        <w:tc>
          <w:tcPr>
            <w:tcBorders>
              <w:top w:color="b7b7b7" w:space="0" w:sz="4" w:val="single"/>
              <w:left w:color="b7b7b7" w:space="0" w:sz="8" w:val="single"/>
              <w:bottom w:color="b7b7b7" w:space="0" w:sz="18" w:val="single"/>
              <w:right w:color="000000" w:space="0" w:sz="0" w:val="nil"/>
            </w:tcBorders>
            <w:shd w:fill="efefef" w:val="clear"/>
            <w:vAlign w:val="center"/>
          </w:tcPr>
          <w:p w:rsidR="00000000" w:rsidDel="00000000" w:rsidP="00000000" w:rsidRDefault="00000000" w:rsidRPr="00000000" w14:paraId="00000018">
            <w:pPr>
              <w:widowControl w:val="0"/>
              <w:spacing w:after="0" w:line="240" w:lineRule="auto"/>
              <w:jc w:val="right"/>
              <w:rPr>
                <w:color w:val="231f20"/>
                <w:sz w:val="24"/>
                <w:szCs w:val="24"/>
              </w:rPr>
            </w:pPr>
            <w:r w:rsidDel="00000000" w:rsidR="00000000" w:rsidRPr="00000000">
              <w:rPr>
                <w:color w:val="231f20"/>
                <w:sz w:val="24"/>
                <w:szCs w:val="24"/>
                <w:rtl w:val="0"/>
              </w:rPr>
              <w:t xml:space="preserve">Project Sponsor:</w:t>
            </w:r>
          </w:p>
        </w:tc>
        <w:tc>
          <w:tcPr>
            <w:gridSpan w:val="2"/>
            <w:tcBorders>
              <w:top w:color="b7b7b7" w:space="0" w:sz="4" w:val="single"/>
              <w:left w:color="000000" w:space="0" w:sz="0" w:val="nil"/>
              <w:bottom w:color="b7b7b7" w:space="0" w:sz="18" w:val="single"/>
              <w:right w:color="b7b7b7" w:space="0" w:sz="8" w:val="single"/>
            </w:tcBorders>
            <w:shd w:fill="efefef" w:val="clear"/>
            <w:vAlign w:val="center"/>
          </w:tcPr>
          <w:p w:rsidR="00000000" w:rsidDel="00000000" w:rsidP="00000000" w:rsidRDefault="00000000" w:rsidRPr="00000000" w14:paraId="00000019">
            <w:pPr>
              <w:widowControl w:val="0"/>
              <w:spacing w:after="0" w:line="240" w:lineRule="auto"/>
              <w:ind w:left="141.7322834645671" w:firstLine="0"/>
              <w:rPr>
                <w:b w:val="1"/>
                <w:color w:val="1c4587"/>
                <w:sz w:val="24"/>
                <w:szCs w:val="24"/>
              </w:rPr>
            </w:pPr>
            <w:r w:rsidDel="00000000" w:rsidR="00000000" w:rsidRPr="00000000">
              <w:rPr>
                <w:b w:val="1"/>
                <w:color w:val="1c4587"/>
                <w:sz w:val="24"/>
                <w:szCs w:val="24"/>
                <w:rtl w:val="0"/>
              </w:rPr>
              <w:t xml:space="preserve">OzCazual</w:t>
            </w:r>
          </w:p>
        </w:tc>
      </w:tr>
    </w:tbl>
    <w:p w:rsidR="00000000" w:rsidDel="00000000" w:rsidP="00000000" w:rsidRDefault="00000000" w:rsidRPr="00000000" w14:paraId="0000001B">
      <w:pPr>
        <w:widowControl w:val="0"/>
        <w:spacing w:after="0" w:line="240" w:lineRule="auto"/>
        <w:rPr>
          <w:color w:val="8eaadb"/>
        </w:rPr>
      </w:pPr>
      <w:r w:rsidDel="00000000" w:rsidR="00000000" w:rsidRPr="00000000">
        <w:rPr>
          <w:rtl w:val="0"/>
        </w:rPr>
      </w:r>
    </w:p>
    <w:tbl>
      <w:tblPr>
        <w:tblStyle w:val="Table2"/>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00"/>
        <w:gridCol w:w="1700"/>
        <w:gridCol w:w="1700"/>
        <w:gridCol w:w="1700"/>
        <w:gridCol w:w="1880"/>
        <w:tblGridChange w:id="0">
          <w:tblGrid>
            <w:gridCol w:w="1800"/>
            <w:gridCol w:w="1700"/>
            <w:gridCol w:w="1700"/>
            <w:gridCol w:w="1700"/>
            <w:gridCol w:w="1700"/>
            <w:gridCol w:w="1880"/>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1C">
            <w:pPr>
              <w:widowControl w:val="0"/>
              <w:spacing w:after="0" w:line="240" w:lineRule="auto"/>
              <w:rPr>
                <w:b w:val="1"/>
                <w:sz w:val="24"/>
                <w:szCs w:val="24"/>
              </w:rPr>
            </w:pPr>
            <w:bookmarkStart w:colFirst="0" w:colLast="0" w:name="_gjdgxs" w:id="0"/>
            <w:bookmarkEnd w:id="0"/>
            <w:r w:rsidDel="00000000" w:rsidR="00000000" w:rsidRPr="00000000">
              <w:rPr>
                <w:b w:val="1"/>
                <w:sz w:val="24"/>
                <w:szCs w:val="24"/>
                <w:rtl w:val="0"/>
              </w:rPr>
              <w:t xml:space="preserve">Quality Standards</w:t>
            </w:r>
          </w:p>
        </w:tc>
      </w:tr>
      <w:tr>
        <w:trPr>
          <w:cantSplit w:val="0"/>
          <w:trHeight w:val="661.9368489583333" w:hRule="atLeast"/>
          <w:tblHeader w:val="0"/>
        </w:trPr>
        <w:tc>
          <w:tcPr>
            <w:gridSpan w:val="6"/>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22">
            <w:pPr>
              <w:spacing w:after="0" w:lineRule="auto"/>
              <w:ind w:right="40.27559055118218"/>
              <w:rPr>
                <w:b w:val="1"/>
                <w:color w:val="1f3864"/>
                <w:sz w:val="24"/>
                <w:szCs w:val="24"/>
              </w:rPr>
            </w:pPr>
            <w:bookmarkStart w:colFirst="0" w:colLast="0" w:name="_gjdgxs" w:id="0"/>
            <w:bookmarkEnd w:id="0"/>
            <w:r w:rsidDel="00000000" w:rsidR="00000000" w:rsidRPr="00000000">
              <w:rPr>
                <w:color w:val="1f3864"/>
                <w:rtl w:val="0"/>
              </w:rPr>
              <w:t xml:space="preserve">Setting quality standards establishes benchmarks or requirements that specify the level of excellence or suitability expected for the project. For the SecureNET AWS CyberShift Initiative project, the following quality standards apply:</w:t>
            </w:r>
            <w:r w:rsidDel="00000000" w:rsidR="00000000" w:rsidRPr="00000000">
              <w:rPr>
                <w:rtl w:val="0"/>
              </w:rPr>
            </w:r>
          </w:p>
        </w:tc>
      </w:tr>
    </w:tbl>
    <w:p w:rsidR="00000000" w:rsidDel="00000000" w:rsidP="00000000" w:rsidRDefault="00000000" w:rsidRPr="00000000" w14:paraId="00000028">
      <w:pPr>
        <w:pStyle w:val="Heading3"/>
        <w:tabs>
          <w:tab w:val="right" w:leader="none" w:pos="2490"/>
        </w:tabs>
        <w:spacing w:before="47" w:lineRule="auto"/>
        <w:ind w:left="-566.9291338582677" w:right="-607.7952755905511" w:firstLine="0"/>
        <w:rPr>
          <w:b w:val="1"/>
        </w:rPr>
      </w:pPr>
      <w:r w:rsidDel="00000000" w:rsidR="00000000" w:rsidRPr="00000000">
        <w:rPr>
          <w:b w:val="1"/>
          <w:rtl w:val="0"/>
        </w:rPr>
        <w:t xml:space="preserve">Security Standards:</w:t>
      </w:r>
    </w:p>
    <w:p w:rsidR="00000000" w:rsidDel="00000000" w:rsidP="00000000" w:rsidRDefault="00000000" w:rsidRPr="00000000" w14:paraId="00000029">
      <w:pPr>
        <w:ind w:left="-566.9291338582677" w:right="-607.7952755905511" w:firstLine="0"/>
        <w:rPr>
          <w:rFonts w:ascii="Calibri" w:cs="Calibri" w:eastAsia="Calibri" w:hAnsi="Calibri"/>
          <w:color w:val="1f3863"/>
        </w:rPr>
      </w:pPr>
      <w:r w:rsidDel="00000000" w:rsidR="00000000" w:rsidRPr="00000000">
        <w:rPr>
          <w:rFonts w:ascii="Calibri" w:cs="Calibri" w:eastAsia="Calibri" w:hAnsi="Calibri"/>
          <w:color w:val="1f3863"/>
          <w:rtl w:val="0"/>
        </w:rPr>
        <w:t xml:space="preserve">To guarantee the privacy, accuracy, and accessibility of data and systems, compliance with relevant security frameworks is required, such as the ISO 27001 standard and the SANS Cybersecurity Framework.  </w:t>
      </w:r>
    </w:p>
    <w:p w:rsidR="00000000" w:rsidDel="00000000" w:rsidP="00000000" w:rsidRDefault="00000000" w:rsidRPr="00000000" w14:paraId="0000002A">
      <w:pPr>
        <w:spacing w:after="0" w:lineRule="auto"/>
        <w:ind w:left="-566.9291338582677" w:right="-607.7952755905511" w:firstLine="0"/>
        <w:rPr>
          <w:sz w:val="20"/>
          <w:szCs w:val="20"/>
        </w:rPr>
      </w:pPr>
      <w:r w:rsidDel="00000000" w:rsidR="00000000" w:rsidRPr="00000000">
        <w:rPr>
          <w:rFonts w:ascii="Calibri" w:cs="Calibri" w:eastAsia="Calibri" w:hAnsi="Calibri"/>
          <w:color w:val="1f3863"/>
          <w:rtl w:val="0"/>
        </w:rPr>
        <w:t xml:space="preserve">SecureNET will also look at the implementation of secure network settings, encryption techniques, and access control measures, while placing an emphasis on the adherence to industry best </w:t>
      </w:r>
      <w:r w:rsidDel="00000000" w:rsidR="00000000" w:rsidRPr="00000000">
        <w:rPr>
          <w:color w:val="1f3863"/>
          <w:rtl w:val="0"/>
        </w:rPr>
        <w:t xml:space="preserve">practices</w:t>
      </w:r>
      <w:r w:rsidDel="00000000" w:rsidR="00000000" w:rsidRPr="00000000">
        <w:rPr>
          <w:rFonts w:ascii="Calibri" w:cs="Calibri" w:eastAsia="Calibri" w:hAnsi="Calibri"/>
          <w:color w:val="1f3863"/>
          <w:rtl w:val="0"/>
        </w:rPr>
        <w:t xml:space="preserve"> for detecting and reducing security risks and vulnerabilities.</w:t>
        <w:br w:type="textWrapping"/>
      </w:r>
      <w:r w:rsidDel="00000000" w:rsidR="00000000" w:rsidRPr="00000000">
        <w:rPr>
          <w:rtl w:val="0"/>
        </w:rPr>
      </w:r>
    </w:p>
    <w:p w:rsidR="00000000" w:rsidDel="00000000" w:rsidP="00000000" w:rsidRDefault="00000000" w:rsidRPr="00000000" w14:paraId="0000002B">
      <w:pPr>
        <w:pStyle w:val="Heading3"/>
        <w:tabs>
          <w:tab w:val="right" w:leader="none" w:pos="2490"/>
        </w:tabs>
        <w:spacing w:before="47" w:lineRule="auto"/>
        <w:ind w:left="-566.9291338582677" w:right="-607.7952755905511" w:firstLine="0"/>
        <w:rPr>
          <w:b w:val="1"/>
        </w:rPr>
      </w:pPr>
      <w:r w:rsidDel="00000000" w:rsidR="00000000" w:rsidRPr="00000000">
        <w:rPr>
          <w:b w:val="1"/>
          <w:rtl w:val="0"/>
        </w:rPr>
        <w:t xml:space="preserve">Compliance Standards:</w:t>
      </w:r>
    </w:p>
    <w:p w:rsidR="00000000" w:rsidDel="00000000" w:rsidP="00000000" w:rsidRDefault="00000000" w:rsidRPr="00000000" w14:paraId="0000002C">
      <w:pPr>
        <w:pStyle w:val="Heading3"/>
        <w:tabs>
          <w:tab w:val="right" w:leader="none" w:pos="2490"/>
        </w:tabs>
        <w:spacing w:before="47" w:lineRule="auto"/>
        <w:ind w:left="-566.9291338582677" w:right="-607.7952755905511" w:firstLine="0"/>
        <w:rPr>
          <w:sz w:val="20"/>
          <w:szCs w:val="20"/>
        </w:rPr>
      </w:pPr>
      <w:r w:rsidDel="00000000" w:rsidR="00000000" w:rsidRPr="00000000">
        <w:rPr>
          <w:sz w:val="22"/>
          <w:szCs w:val="22"/>
          <w:rtl w:val="0"/>
        </w:rPr>
        <w:t xml:space="preserve">SecureNET will implement compliance with relevant legal and regulatory standards, including industry-specific rules and regulations and data protection laws (such as GDPR and CCPA).  Additionally, the project will adhere to relevant compliance frameworks, such as PCI-DSS for e-commerce environments' payment card data security.</w:t>
      </w:r>
      <w:r w:rsidDel="00000000" w:rsidR="00000000" w:rsidRPr="00000000">
        <w:rPr>
          <w:sz w:val="20"/>
          <w:szCs w:val="20"/>
          <w:rtl w:val="0"/>
        </w:rPr>
        <w:br w:type="textWrapping"/>
      </w:r>
    </w:p>
    <w:p w:rsidR="00000000" w:rsidDel="00000000" w:rsidP="00000000" w:rsidRDefault="00000000" w:rsidRPr="00000000" w14:paraId="0000002D">
      <w:pPr>
        <w:pStyle w:val="Heading3"/>
        <w:tabs>
          <w:tab w:val="right" w:leader="none" w:pos="2490"/>
        </w:tabs>
        <w:spacing w:before="47" w:lineRule="auto"/>
        <w:ind w:left="-566.9291338582677" w:right="-607.7952755905511" w:firstLine="0"/>
        <w:rPr>
          <w:b w:val="1"/>
          <w:sz w:val="22"/>
          <w:szCs w:val="22"/>
        </w:rPr>
      </w:pPr>
      <w:r w:rsidDel="00000000" w:rsidR="00000000" w:rsidRPr="00000000">
        <w:rPr>
          <w:b w:val="1"/>
          <w:sz w:val="22"/>
          <w:szCs w:val="22"/>
          <w:rtl w:val="0"/>
        </w:rPr>
        <w:t xml:space="preserve">Performance Standards:</w:t>
      </w:r>
    </w:p>
    <w:p w:rsidR="00000000" w:rsidDel="00000000" w:rsidP="00000000" w:rsidRDefault="00000000" w:rsidRPr="00000000" w14:paraId="0000002E">
      <w:pPr>
        <w:pStyle w:val="Heading3"/>
        <w:tabs>
          <w:tab w:val="right" w:leader="none" w:pos="2490"/>
        </w:tabs>
        <w:spacing w:before="47" w:lineRule="auto"/>
        <w:ind w:left="-566.9291338582677" w:right="-607.7952755905511" w:firstLine="0"/>
        <w:rPr>
          <w:sz w:val="22"/>
          <w:szCs w:val="22"/>
        </w:rPr>
      </w:pPr>
      <w:r w:rsidDel="00000000" w:rsidR="00000000" w:rsidRPr="00000000">
        <w:rPr>
          <w:sz w:val="22"/>
          <w:szCs w:val="22"/>
          <w:rtl w:val="0"/>
        </w:rPr>
        <w:t xml:space="preserve">SecureNET will ensure the system meets the expected performance levels, including response times, throughput, and scalability, to handle the increased online sales and staff.</w:t>
      </w:r>
    </w:p>
    <w:p w:rsidR="00000000" w:rsidDel="00000000" w:rsidP="00000000" w:rsidRDefault="00000000" w:rsidRPr="00000000" w14:paraId="0000002F">
      <w:pPr>
        <w:pStyle w:val="Heading3"/>
        <w:tabs>
          <w:tab w:val="right" w:leader="none" w:pos="2490"/>
        </w:tabs>
        <w:spacing w:before="47" w:lineRule="auto"/>
        <w:ind w:left="-566.9291338582677" w:right="-607.7952755905511" w:firstLine="0"/>
        <w:rPr>
          <w:sz w:val="22"/>
          <w:szCs w:val="22"/>
        </w:rPr>
      </w:pPr>
      <w:r w:rsidDel="00000000" w:rsidR="00000000" w:rsidRPr="00000000">
        <w:rPr>
          <w:sz w:val="22"/>
          <w:szCs w:val="22"/>
          <w:rtl w:val="0"/>
        </w:rPr>
        <w:t xml:space="preserve">The project will adhere to a service level agreement (SLA) for uptime, availability, and reliability of the AWS cloud infrastructure.</w:t>
      </w:r>
    </w:p>
    <w:p w:rsidR="00000000" w:rsidDel="00000000" w:rsidP="00000000" w:rsidRDefault="00000000" w:rsidRPr="00000000" w14:paraId="00000030">
      <w:pPr>
        <w:widowControl w:val="0"/>
        <w:spacing w:after="0" w:line="240" w:lineRule="auto"/>
        <w:rPr/>
      </w:pPr>
      <w:r w:rsidDel="00000000" w:rsidR="00000000" w:rsidRPr="00000000">
        <w:rPr>
          <w:rtl w:val="0"/>
        </w:rPr>
      </w:r>
    </w:p>
    <w:tbl>
      <w:tblPr>
        <w:tblStyle w:val="Table3"/>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00"/>
        <w:gridCol w:w="1700"/>
        <w:gridCol w:w="1700"/>
        <w:gridCol w:w="1700"/>
        <w:gridCol w:w="1880"/>
        <w:tblGridChange w:id="0">
          <w:tblGrid>
            <w:gridCol w:w="1800"/>
            <w:gridCol w:w="1700"/>
            <w:gridCol w:w="1700"/>
            <w:gridCol w:w="1700"/>
            <w:gridCol w:w="1700"/>
            <w:gridCol w:w="1880"/>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31">
            <w:pPr>
              <w:widowControl w:val="0"/>
              <w:spacing w:after="0" w:line="240" w:lineRule="auto"/>
              <w:rPr>
                <w:b w:val="1"/>
              </w:rPr>
            </w:pPr>
            <w:bookmarkStart w:colFirst="0" w:colLast="0" w:name="_gjdgxs" w:id="0"/>
            <w:bookmarkEnd w:id="0"/>
            <w:r w:rsidDel="00000000" w:rsidR="00000000" w:rsidRPr="00000000">
              <w:rPr>
                <w:b w:val="1"/>
                <w:rtl w:val="0"/>
              </w:rPr>
              <w:t xml:space="preserve">Usability and User Experience Standards for Data Migration to the Cloud</w:t>
            </w:r>
          </w:p>
        </w:tc>
      </w:tr>
    </w:tbl>
    <w:p w:rsidR="00000000" w:rsidDel="00000000" w:rsidP="00000000" w:rsidRDefault="00000000" w:rsidRPr="00000000" w14:paraId="00000037">
      <w:pPr>
        <w:spacing w:after="200" w:before="200" w:lineRule="auto"/>
        <w:ind w:left="-566.9291338582677" w:right="-607.7952755905511" w:firstLine="0"/>
        <w:rPr>
          <w:b w:val="1"/>
          <w:color w:val="1f3863"/>
        </w:rPr>
      </w:pPr>
      <w:r w:rsidDel="00000000" w:rsidR="00000000" w:rsidRPr="00000000">
        <w:rPr>
          <w:b w:val="1"/>
          <w:color w:val="1f3863"/>
          <w:rtl w:val="0"/>
        </w:rPr>
        <w:t xml:space="preserve">User-friendly Interfaces:</w:t>
      </w:r>
    </w:p>
    <w:p w:rsidR="00000000" w:rsidDel="00000000" w:rsidP="00000000" w:rsidRDefault="00000000" w:rsidRPr="00000000" w14:paraId="00000038">
      <w:pPr>
        <w:spacing w:after="200" w:lineRule="auto"/>
        <w:ind w:left="-566.9291338582677" w:right="-607.7952755905511" w:firstLine="0"/>
        <w:rPr>
          <w:b w:val="1"/>
          <w:color w:val="1f3863"/>
        </w:rPr>
      </w:pPr>
      <w:r w:rsidDel="00000000" w:rsidR="00000000" w:rsidRPr="00000000">
        <w:rPr>
          <w:rFonts w:ascii="Calibri" w:cs="Calibri" w:eastAsia="Calibri" w:hAnsi="Calibri"/>
          <w:color w:val="1f3863"/>
          <w:rtl w:val="0"/>
        </w:rPr>
        <w:t xml:space="preserve">Designing user-friendly and simple interfaces will be an important step to improve the user experience while moving servers and data to the cloud. These user interfaces will make it simple for users to move around as they carry out necessary tasks. To ensure a smooth and user-friendly experience during the migration process, clear and simple instructions will be available to required users.</w:t>
      </w:r>
      <w:r w:rsidDel="00000000" w:rsidR="00000000" w:rsidRPr="00000000">
        <w:rPr>
          <w:rFonts w:ascii="Calibri" w:cs="Calibri" w:eastAsia="Calibri" w:hAnsi="Calibri"/>
          <w:color w:val="1f3863"/>
          <w:sz w:val="20"/>
          <w:szCs w:val="20"/>
          <w:rtl w:val="0"/>
        </w:rPr>
        <w:br w:type="textWrapping"/>
        <w:br w:type="textWrapping"/>
      </w:r>
      <w:r w:rsidDel="00000000" w:rsidR="00000000" w:rsidRPr="00000000">
        <w:rPr>
          <w:b w:val="1"/>
          <w:color w:val="1f3863"/>
          <w:rtl w:val="0"/>
        </w:rPr>
        <w:t xml:space="preserve">Consistent Branding and Design:</w:t>
      </w:r>
    </w:p>
    <w:p w:rsidR="00000000" w:rsidDel="00000000" w:rsidP="00000000" w:rsidRDefault="00000000" w:rsidRPr="00000000" w14:paraId="00000039">
      <w:pPr>
        <w:ind w:left="-566.9291338582677" w:right="-607.7952755905511" w:firstLine="0"/>
        <w:rPr/>
      </w:pPr>
      <w:r w:rsidDel="00000000" w:rsidR="00000000" w:rsidRPr="00000000">
        <w:rPr>
          <w:rFonts w:ascii="Calibri" w:cs="Calibri" w:eastAsia="Calibri" w:hAnsi="Calibri"/>
          <w:color w:val="1f3863"/>
          <w:rtl w:val="0"/>
        </w:rPr>
        <w:t xml:space="preserve">Maintaining similar branding components, such as logos, colours, and typography, across the cloud-based server and data management interfaces is crucial to establishing a unified and recognisable brand identity during the transfer of servers and data to the cloud. </w:t>
        <w:br w:type="textWrapping"/>
        <w:br w:type="textWrapping"/>
        <w:t xml:space="preserve">By using a visually cohesive design that complements the on-premises systems' current branding, users may readily recognise and relate to the well-known brand identity encouraging a feeling of familiarity and trust.</w:t>
      </w:r>
      <w:r w:rsidDel="00000000" w:rsidR="00000000" w:rsidRPr="00000000">
        <w:rPr>
          <w:rtl w:val="0"/>
        </w:rPr>
      </w:r>
    </w:p>
    <w:tbl>
      <w:tblPr>
        <w:tblStyle w:val="Table4"/>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00"/>
        <w:gridCol w:w="1700"/>
        <w:gridCol w:w="1700"/>
        <w:gridCol w:w="1700"/>
        <w:gridCol w:w="1880"/>
        <w:tblGridChange w:id="0">
          <w:tblGrid>
            <w:gridCol w:w="1800"/>
            <w:gridCol w:w="1700"/>
            <w:gridCol w:w="1700"/>
            <w:gridCol w:w="1700"/>
            <w:gridCol w:w="1700"/>
            <w:gridCol w:w="1880"/>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3A">
            <w:pPr>
              <w:widowControl w:val="0"/>
              <w:spacing w:after="0" w:line="240" w:lineRule="auto"/>
              <w:rPr>
                <w:b w:val="1"/>
              </w:rPr>
            </w:pPr>
            <w:bookmarkStart w:colFirst="0" w:colLast="0" w:name="_tsrcjkq59tei" w:id="1"/>
            <w:bookmarkEnd w:id="1"/>
            <w:r w:rsidDel="00000000" w:rsidR="00000000" w:rsidRPr="00000000">
              <w:rPr>
                <w:b w:val="1"/>
                <w:rtl w:val="0"/>
              </w:rPr>
              <w:t xml:space="preserve">Cross-Device and Cross-Browser Compatibility</w:t>
            </w:r>
          </w:p>
        </w:tc>
      </w:tr>
    </w:tbl>
    <w:p w:rsidR="00000000" w:rsidDel="00000000" w:rsidP="00000000" w:rsidRDefault="00000000" w:rsidRPr="00000000" w14:paraId="00000040">
      <w:pPr>
        <w:tabs>
          <w:tab w:val="left" w:leader="none" w:pos="6330"/>
        </w:tabs>
        <w:spacing w:after="0" w:lineRule="auto"/>
        <w:ind w:left="-566.9291338582677" w:right="-607.7952755905511" w:firstLine="0"/>
        <w:rPr>
          <w:b w:val="1"/>
          <w:color w:val="1f3863"/>
        </w:rPr>
      </w:pPr>
      <w:r w:rsidDel="00000000" w:rsidR="00000000" w:rsidRPr="00000000">
        <w:rPr>
          <w:rtl w:val="0"/>
        </w:rPr>
      </w:r>
    </w:p>
    <w:p w:rsidR="00000000" w:rsidDel="00000000" w:rsidP="00000000" w:rsidRDefault="00000000" w:rsidRPr="00000000" w14:paraId="00000041">
      <w:pPr>
        <w:ind w:left="-566.9291338582677" w:right="-607.7952755905511" w:firstLine="0"/>
        <w:rPr>
          <w:rFonts w:ascii="Calibri" w:cs="Calibri" w:eastAsia="Calibri" w:hAnsi="Calibri"/>
          <w:color w:val="1f3863"/>
        </w:rPr>
      </w:pPr>
      <w:r w:rsidDel="00000000" w:rsidR="00000000" w:rsidRPr="00000000">
        <w:rPr>
          <w:rFonts w:ascii="Calibri" w:cs="Calibri" w:eastAsia="Calibri" w:hAnsi="Calibri"/>
          <w:color w:val="1f3863"/>
          <w:rtl w:val="0"/>
        </w:rPr>
        <w:t xml:space="preserve">SecureNET will </w:t>
      </w:r>
      <w:r w:rsidDel="00000000" w:rsidR="00000000" w:rsidRPr="00000000">
        <w:rPr>
          <w:color w:val="1f3863"/>
          <w:rtl w:val="0"/>
        </w:rPr>
        <w:t xml:space="preserve">optimize</w:t>
      </w:r>
      <w:r w:rsidDel="00000000" w:rsidR="00000000" w:rsidRPr="00000000">
        <w:rPr>
          <w:rFonts w:ascii="Calibri" w:cs="Calibri" w:eastAsia="Calibri" w:hAnsi="Calibri"/>
          <w:color w:val="1f3863"/>
          <w:rtl w:val="0"/>
        </w:rPr>
        <w:t xml:space="preserve"> the AWS cloud-based management interfaces to work seamlessly across different devices, such as desktops, laptops, tablets, and mobile phones, whilst also ensuring compatibility with various web browsers, including popular ones like Chrome, Firefox, Safari, and Edge.</w:t>
      </w:r>
    </w:p>
    <w:p w:rsidR="00000000" w:rsidDel="00000000" w:rsidP="00000000" w:rsidRDefault="00000000" w:rsidRPr="00000000" w14:paraId="00000042">
      <w:pPr>
        <w:spacing w:after="0" w:lineRule="auto"/>
        <w:ind w:left="-566.9291338582677" w:right="-607.7952755905511" w:firstLine="0"/>
        <w:rPr/>
      </w:pPr>
      <w:r w:rsidDel="00000000" w:rsidR="00000000" w:rsidRPr="00000000">
        <w:rPr>
          <w:rFonts w:ascii="Calibri" w:cs="Calibri" w:eastAsia="Calibri" w:hAnsi="Calibri"/>
          <w:color w:val="1f3863"/>
          <w:rtl w:val="0"/>
        </w:rPr>
        <w:t xml:space="preserve">Furthermore, SecureNET will conduct thorough testing on different devices and browsers to ensure consistent functionality and user experience.</w:t>
      </w:r>
      <w:r w:rsidDel="00000000" w:rsidR="00000000" w:rsidRPr="00000000">
        <w:rPr>
          <w:rFonts w:ascii="Calibri" w:cs="Calibri" w:eastAsia="Calibri" w:hAnsi="Calibri"/>
          <w:color w:val="1f3863"/>
          <w:sz w:val="20"/>
          <w:szCs w:val="20"/>
          <w:rtl w:val="0"/>
        </w:rPr>
        <w:br w:type="textWrapping"/>
      </w:r>
      <w:r w:rsidDel="00000000" w:rsidR="00000000" w:rsidRPr="00000000">
        <w:rPr>
          <w:rtl w:val="0"/>
        </w:rPr>
      </w:r>
    </w:p>
    <w:tbl>
      <w:tblPr>
        <w:tblStyle w:val="Table5"/>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00"/>
        <w:gridCol w:w="1700"/>
        <w:gridCol w:w="1700"/>
        <w:gridCol w:w="1700"/>
        <w:gridCol w:w="1880"/>
        <w:tblGridChange w:id="0">
          <w:tblGrid>
            <w:gridCol w:w="1800"/>
            <w:gridCol w:w="1700"/>
            <w:gridCol w:w="1700"/>
            <w:gridCol w:w="1700"/>
            <w:gridCol w:w="1700"/>
            <w:gridCol w:w="1880"/>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43">
            <w:pPr>
              <w:widowControl w:val="0"/>
              <w:spacing w:after="0" w:line="240" w:lineRule="auto"/>
              <w:rPr>
                <w:b w:val="1"/>
              </w:rPr>
            </w:pPr>
            <w:bookmarkStart w:colFirst="0" w:colLast="0" w:name="_gjdgxs" w:id="0"/>
            <w:bookmarkEnd w:id="0"/>
            <w:r w:rsidDel="00000000" w:rsidR="00000000" w:rsidRPr="00000000">
              <w:rPr>
                <w:b w:val="1"/>
                <w:rtl w:val="0"/>
              </w:rPr>
              <w:t xml:space="preserve">Data Integrity and Accuracy Standards</w:t>
            </w:r>
          </w:p>
        </w:tc>
      </w:tr>
    </w:tbl>
    <w:p w:rsidR="00000000" w:rsidDel="00000000" w:rsidP="00000000" w:rsidRDefault="00000000" w:rsidRPr="00000000" w14:paraId="00000049">
      <w:pPr>
        <w:tabs>
          <w:tab w:val="left" w:leader="none" w:pos="6330"/>
        </w:tabs>
        <w:spacing w:after="0" w:lineRule="auto"/>
        <w:ind w:left="-566.9291338582677" w:right="-607.7952755905511" w:firstLine="0"/>
        <w:rPr>
          <w:color w:val="1f3864"/>
          <w:sz w:val="24"/>
          <w:szCs w:val="24"/>
        </w:rPr>
      </w:pPr>
      <w:r w:rsidDel="00000000" w:rsidR="00000000" w:rsidRPr="00000000">
        <w:rPr>
          <w:rtl w:val="0"/>
        </w:rPr>
      </w:r>
    </w:p>
    <w:p w:rsidR="00000000" w:rsidDel="00000000" w:rsidP="00000000" w:rsidRDefault="00000000" w:rsidRPr="00000000" w14:paraId="0000004A">
      <w:pPr>
        <w:tabs>
          <w:tab w:val="left" w:leader="none" w:pos="6330"/>
        </w:tabs>
        <w:spacing w:after="0" w:lineRule="auto"/>
        <w:ind w:left="-566.9291338582677" w:right="-607.7952755905511" w:firstLine="0"/>
        <w:rPr/>
      </w:pPr>
      <w:r w:rsidDel="00000000" w:rsidR="00000000" w:rsidRPr="00000000">
        <w:rPr>
          <w:rFonts w:ascii="Calibri" w:cs="Calibri" w:eastAsia="Calibri" w:hAnsi="Calibri"/>
          <w:color w:val="1f3863"/>
          <w:rtl w:val="0"/>
        </w:rPr>
        <w:t xml:space="preserve">SecureNET will make sure that data is accurately and reliably transferred, stored, and processed throughout the migration process, by putting in place suitable error management and data validation systems, and preserving data consistency and integrity throughout the cloud environment.</w:t>
        <w:br w:type="textWrapping"/>
      </w:r>
      <w:r w:rsidDel="00000000" w:rsidR="00000000" w:rsidRPr="00000000">
        <w:rPr>
          <w:rtl w:val="0"/>
        </w:rPr>
      </w:r>
    </w:p>
    <w:tbl>
      <w:tblPr>
        <w:tblStyle w:val="Table6"/>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00"/>
        <w:gridCol w:w="1700"/>
        <w:gridCol w:w="1700"/>
        <w:gridCol w:w="1700"/>
        <w:gridCol w:w="1880"/>
        <w:tblGridChange w:id="0">
          <w:tblGrid>
            <w:gridCol w:w="1800"/>
            <w:gridCol w:w="1700"/>
            <w:gridCol w:w="1700"/>
            <w:gridCol w:w="1700"/>
            <w:gridCol w:w="1700"/>
            <w:gridCol w:w="1880"/>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4B">
            <w:pPr>
              <w:widowControl w:val="0"/>
              <w:spacing w:after="0" w:line="240" w:lineRule="auto"/>
              <w:rPr>
                <w:b w:val="1"/>
              </w:rPr>
            </w:pPr>
            <w:bookmarkStart w:colFirst="0" w:colLast="0" w:name="_gjdgxs" w:id="0"/>
            <w:bookmarkEnd w:id="0"/>
            <w:r w:rsidDel="00000000" w:rsidR="00000000" w:rsidRPr="00000000">
              <w:rPr>
                <w:b w:val="1"/>
                <w:rtl w:val="0"/>
              </w:rPr>
              <w:t xml:space="preserve">Testing and Quality Assurance Standards</w:t>
            </w:r>
          </w:p>
        </w:tc>
      </w:tr>
    </w:tbl>
    <w:p w:rsidR="00000000" w:rsidDel="00000000" w:rsidP="00000000" w:rsidRDefault="00000000" w:rsidRPr="00000000" w14:paraId="00000051">
      <w:pPr>
        <w:tabs>
          <w:tab w:val="left" w:leader="none" w:pos="6330"/>
        </w:tabs>
        <w:spacing w:after="0" w:lineRule="auto"/>
        <w:ind w:left="-566.9291338582677" w:right="-607.7952755905511" w:firstLine="0"/>
        <w:rPr>
          <w:b w:val="1"/>
          <w:color w:val="1f3864"/>
        </w:rPr>
      </w:pPr>
      <w:r w:rsidDel="00000000" w:rsidR="00000000" w:rsidRPr="00000000">
        <w:rPr>
          <w:rtl w:val="0"/>
        </w:rPr>
      </w:r>
    </w:p>
    <w:p w:rsidR="00000000" w:rsidDel="00000000" w:rsidP="00000000" w:rsidRDefault="00000000" w:rsidRPr="00000000" w14:paraId="00000052">
      <w:pPr>
        <w:tabs>
          <w:tab w:val="left" w:leader="none" w:pos="6330"/>
        </w:tabs>
        <w:ind w:left="-566.9291338582677" w:right="-607.7952755905511"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SecureNET will </w:t>
      </w:r>
      <w:r w:rsidDel="00000000" w:rsidR="00000000" w:rsidRPr="00000000">
        <w:rPr>
          <w:color w:val="1f3864"/>
          <w:rtl w:val="0"/>
        </w:rPr>
        <w:t xml:space="preserve">adhere</w:t>
      </w:r>
      <w:r w:rsidDel="00000000" w:rsidR="00000000" w:rsidRPr="00000000">
        <w:rPr>
          <w:rFonts w:ascii="Calibri" w:cs="Calibri" w:eastAsia="Calibri" w:hAnsi="Calibri"/>
          <w:color w:val="1f3864"/>
          <w:rtl w:val="0"/>
        </w:rPr>
        <w:t xml:space="preserve"> to best </w:t>
      </w:r>
      <w:r w:rsidDel="00000000" w:rsidR="00000000" w:rsidRPr="00000000">
        <w:rPr>
          <w:color w:val="1f3864"/>
          <w:rtl w:val="0"/>
        </w:rPr>
        <w:t xml:space="preserve">practices</w:t>
      </w:r>
      <w:r w:rsidDel="00000000" w:rsidR="00000000" w:rsidRPr="00000000">
        <w:rPr>
          <w:rFonts w:ascii="Calibri" w:cs="Calibri" w:eastAsia="Calibri" w:hAnsi="Calibri"/>
          <w:color w:val="1f3864"/>
          <w:rtl w:val="0"/>
        </w:rPr>
        <w:t xml:space="preserve"> for testing, such as those set forth by the ISTQB (International Software Testing Qualifications Board).</w:t>
      </w:r>
    </w:p>
    <w:p w:rsidR="00000000" w:rsidDel="00000000" w:rsidP="00000000" w:rsidRDefault="00000000" w:rsidRPr="00000000" w14:paraId="00000053">
      <w:pPr>
        <w:tabs>
          <w:tab w:val="left" w:leader="none" w:pos="6330"/>
        </w:tabs>
        <w:ind w:left="-566.9291338582677" w:right="-607.7952755905511"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We will be putting into practise solid test strategies, test procedures, and test scripts to validate the performance, security, and functionality of cloud infrastructure and apps, whilst also testing effectiveness and efficiency through the use of automated testing tools and procedures, and conducting red team, blue team penetration testing.</w:t>
      </w:r>
    </w:p>
    <w:p w:rsidR="00000000" w:rsidDel="00000000" w:rsidP="00000000" w:rsidRDefault="00000000" w:rsidRPr="00000000" w14:paraId="00000054">
      <w:pPr>
        <w:widowControl w:val="0"/>
        <w:spacing w:after="0" w:line="240" w:lineRule="auto"/>
        <w:rPr/>
      </w:pPr>
      <w:r w:rsidDel="00000000" w:rsidR="00000000" w:rsidRPr="00000000">
        <w:rPr>
          <w:rtl w:val="0"/>
        </w:rPr>
      </w:r>
    </w:p>
    <w:tbl>
      <w:tblPr>
        <w:tblStyle w:val="Table7"/>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00"/>
        <w:gridCol w:w="1700"/>
        <w:gridCol w:w="1700"/>
        <w:gridCol w:w="1700"/>
        <w:gridCol w:w="1880"/>
        <w:tblGridChange w:id="0">
          <w:tblGrid>
            <w:gridCol w:w="1800"/>
            <w:gridCol w:w="1700"/>
            <w:gridCol w:w="1700"/>
            <w:gridCol w:w="1700"/>
            <w:gridCol w:w="1700"/>
            <w:gridCol w:w="1880"/>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55">
            <w:pPr>
              <w:widowControl w:val="0"/>
              <w:spacing w:after="0" w:line="240" w:lineRule="auto"/>
              <w:rPr>
                <w:b w:val="1"/>
              </w:rPr>
            </w:pPr>
            <w:bookmarkStart w:colFirst="0" w:colLast="0" w:name="_gjdgxs" w:id="0"/>
            <w:bookmarkEnd w:id="0"/>
            <w:r w:rsidDel="00000000" w:rsidR="00000000" w:rsidRPr="00000000">
              <w:rPr>
                <w:b w:val="1"/>
                <w:rtl w:val="0"/>
              </w:rPr>
              <w:t xml:space="preserve">Documentation Standards</w:t>
            </w:r>
          </w:p>
        </w:tc>
      </w:tr>
    </w:tbl>
    <w:p w:rsidR="00000000" w:rsidDel="00000000" w:rsidP="00000000" w:rsidRDefault="00000000" w:rsidRPr="00000000" w14:paraId="0000005B">
      <w:pPr>
        <w:tabs>
          <w:tab w:val="left" w:leader="none" w:pos="6330"/>
        </w:tabs>
        <w:spacing w:after="0" w:lineRule="auto"/>
        <w:ind w:left="-566.9291338582677" w:right="-607.7952755905511" w:firstLine="0"/>
        <w:rPr>
          <w:b w:val="1"/>
          <w:color w:val="1f3863"/>
        </w:rPr>
      </w:pPr>
      <w:r w:rsidDel="00000000" w:rsidR="00000000" w:rsidRPr="00000000">
        <w:rPr>
          <w:rtl w:val="0"/>
        </w:rPr>
      </w:r>
    </w:p>
    <w:p w:rsidR="00000000" w:rsidDel="00000000" w:rsidP="00000000" w:rsidRDefault="00000000" w:rsidRPr="00000000" w14:paraId="0000005C">
      <w:pPr>
        <w:tabs>
          <w:tab w:val="left" w:leader="none" w:pos="6330"/>
        </w:tabs>
        <w:ind w:left="-566.9291338582677" w:right="-607.7952755905511"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SecureNET will provide clear and concise documentation of design requirements, configuration information, test schedules, and incident response processes.  Processes for managing change will be well-documented, such as records of change requests, impact analyses, and implementation.</w:t>
      </w:r>
    </w:p>
    <w:p w:rsidR="00000000" w:rsidDel="00000000" w:rsidP="00000000" w:rsidRDefault="00000000" w:rsidRPr="00000000" w14:paraId="0000005D">
      <w:pPr>
        <w:tabs>
          <w:tab w:val="left" w:leader="none" w:pos="6330"/>
        </w:tabs>
        <w:ind w:left="-566.9291338582677" w:right="-607.7952755905511" w:firstLine="0"/>
        <w:rPr>
          <w:rFonts w:ascii="Calibri" w:cs="Calibri" w:eastAsia="Calibri" w:hAnsi="Calibri"/>
          <w:b w:val="0"/>
          <w:i w:val="0"/>
          <w:smallCaps w:val="0"/>
          <w:strike w:val="0"/>
          <w:color w:val="1f3863"/>
          <w:u w:val="none"/>
          <w:shd w:fill="auto" w:val="clear"/>
          <w:vertAlign w:val="baseline"/>
        </w:rPr>
      </w:pPr>
      <w:r w:rsidDel="00000000" w:rsidR="00000000" w:rsidRPr="00000000">
        <w:rPr>
          <w:rFonts w:ascii="Calibri" w:cs="Calibri" w:eastAsia="Calibri" w:hAnsi="Calibri"/>
          <w:color w:val="1f3864"/>
          <w:rtl w:val="0"/>
        </w:rPr>
        <w:t xml:space="preserve">Additionally, SecureNET will provide documentation that demonstrates compliance, such as data processing agreements, permission papers, and privacy policies</w:t>
      </w:r>
      <w:r w:rsidDel="00000000" w:rsidR="00000000" w:rsidRPr="00000000">
        <w:rPr>
          <w:rFonts w:ascii="Calibri" w:cs="Calibri" w:eastAsia="Calibri" w:hAnsi="Calibri"/>
          <w:b w:val="0"/>
          <w:i w:val="0"/>
          <w:smallCaps w:val="0"/>
          <w:strike w:val="0"/>
          <w:color w:val="1f3863"/>
          <w:u w:val="none"/>
          <w:shd w:fill="auto" w:val="clear"/>
          <w:vertAlign w:val="baseline"/>
          <w:rtl w:val="0"/>
        </w:rPr>
        <w:tab/>
      </w:r>
    </w:p>
    <w:p w:rsidR="00000000" w:rsidDel="00000000" w:rsidP="00000000" w:rsidRDefault="00000000" w:rsidRPr="00000000" w14:paraId="0000005E">
      <w:pPr>
        <w:ind w:left="-566.9291338582677" w:right="-607.7952755905511" w:firstLine="0"/>
        <w:rPr>
          <w:rFonts w:ascii="Calibri" w:cs="Calibri" w:eastAsia="Calibri" w:hAnsi="Calibri"/>
          <w:color w:val="1f3863"/>
        </w:rPr>
      </w:pPr>
      <w:r w:rsidDel="00000000" w:rsidR="00000000" w:rsidRPr="00000000">
        <w:rPr>
          <w:rFonts w:ascii="Calibri" w:cs="Calibri" w:eastAsia="Calibri" w:hAnsi="Calibri"/>
          <w:color w:val="1f3863"/>
          <w:rtl w:val="0"/>
        </w:rPr>
        <w:t xml:space="preserve">By adhering to these usability and user experience standards, the migration process from on-premises servers to the cloud ensures that users can easily navigate the interfaces, experience consistent branding, and access the systems across different devices and browsers. Additionally, these quality standards offer a framework to make sure that the project deliverables and procedures adhere to industry best </w:t>
      </w:r>
      <w:r w:rsidDel="00000000" w:rsidR="00000000" w:rsidRPr="00000000">
        <w:rPr>
          <w:color w:val="1f3863"/>
          <w:rtl w:val="0"/>
        </w:rPr>
        <w:t xml:space="preserve">practices</w:t>
      </w:r>
      <w:r w:rsidDel="00000000" w:rsidR="00000000" w:rsidRPr="00000000">
        <w:rPr>
          <w:rFonts w:ascii="Calibri" w:cs="Calibri" w:eastAsia="Calibri" w:hAnsi="Calibri"/>
          <w:color w:val="1f3863"/>
          <w:rtl w:val="0"/>
        </w:rPr>
        <w:t xml:space="preserve">, satisfy the needs and expectations of the stakeholders, and are of the intended level of quality. Following these guidelines promotes reliability, confidence, and trust in the cloud migration effort.</w:t>
      </w:r>
    </w:p>
    <w:p w:rsidR="00000000" w:rsidDel="00000000" w:rsidP="00000000" w:rsidRDefault="00000000" w:rsidRPr="00000000" w14:paraId="0000005F">
      <w:pPr>
        <w:widowControl w:val="0"/>
        <w:spacing w:after="0" w:line="240" w:lineRule="auto"/>
        <w:rPr/>
      </w:pPr>
      <w:r w:rsidDel="00000000" w:rsidR="00000000" w:rsidRPr="00000000">
        <w:rPr>
          <w:rtl w:val="0"/>
        </w:rPr>
      </w:r>
    </w:p>
    <w:tbl>
      <w:tblPr>
        <w:tblStyle w:val="Table8"/>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00"/>
        <w:gridCol w:w="1700"/>
        <w:gridCol w:w="1700"/>
        <w:gridCol w:w="1700"/>
        <w:gridCol w:w="1880"/>
        <w:tblGridChange w:id="0">
          <w:tblGrid>
            <w:gridCol w:w="1800"/>
            <w:gridCol w:w="1700"/>
            <w:gridCol w:w="1700"/>
            <w:gridCol w:w="1700"/>
            <w:gridCol w:w="1700"/>
            <w:gridCol w:w="1880"/>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60">
            <w:pPr>
              <w:widowControl w:val="0"/>
              <w:spacing w:after="0" w:line="240" w:lineRule="auto"/>
              <w:rPr>
                <w:b w:val="1"/>
              </w:rPr>
            </w:pPr>
            <w:bookmarkStart w:colFirst="0" w:colLast="0" w:name="_gjdgxs" w:id="0"/>
            <w:bookmarkEnd w:id="0"/>
            <w:r w:rsidDel="00000000" w:rsidR="00000000" w:rsidRPr="00000000">
              <w:rPr>
                <w:b w:val="1"/>
                <w:rtl w:val="0"/>
              </w:rPr>
              <w:t xml:space="preserve">Data Integrity and Accuracy Standards:</w:t>
            </w:r>
          </w:p>
        </w:tc>
      </w:tr>
    </w:tbl>
    <w:p w:rsidR="00000000" w:rsidDel="00000000" w:rsidP="00000000" w:rsidRDefault="00000000" w:rsidRPr="00000000" w14:paraId="00000066">
      <w:pPr>
        <w:pStyle w:val="Heading3"/>
        <w:tabs>
          <w:tab w:val="right" w:leader="none" w:pos="2490"/>
        </w:tabs>
        <w:spacing w:before="47" w:lineRule="auto"/>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67">
      <w:pPr>
        <w:pStyle w:val="Heading3"/>
        <w:tabs>
          <w:tab w:val="right" w:leader="none" w:pos="2490"/>
        </w:tabs>
        <w:spacing w:before="47" w:lineRule="auto"/>
        <w:ind w:left="-566.9291338582677" w:right="-607.7952755905511" w:firstLine="0"/>
        <w:rPr>
          <w:sz w:val="22"/>
          <w:szCs w:val="22"/>
        </w:rPr>
      </w:pPr>
      <w:r w:rsidDel="00000000" w:rsidR="00000000" w:rsidRPr="00000000">
        <w:rPr>
          <w:sz w:val="22"/>
          <w:szCs w:val="22"/>
          <w:rtl w:val="0"/>
        </w:rPr>
        <w:t xml:space="preserve">SecureNET will ensure the accurate and reliable transfer, storage, and processing of data during the migration process, as well as implement appropriate data validation mechanisms and error handling procedures.</w:t>
      </w:r>
    </w:p>
    <w:p w:rsidR="00000000" w:rsidDel="00000000" w:rsidP="00000000" w:rsidRDefault="00000000" w:rsidRPr="00000000" w14:paraId="00000068">
      <w:pPr>
        <w:widowControl w:val="0"/>
        <w:spacing w:after="0" w:line="240" w:lineRule="auto"/>
        <w:rPr>
          <w:b w:val="1"/>
          <w:color w:val="8eaadb"/>
          <w:sz w:val="28"/>
          <w:szCs w:val="28"/>
        </w:rPr>
      </w:pPr>
      <w:r w:rsidDel="00000000" w:rsidR="00000000" w:rsidRPr="00000000">
        <w:rPr>
          <w:rtl w:val="0"/>
        </w:rPr>
      </w:r>
    </w:p>
    <w:p w:rsidR="00000000" w:rsidDel="00000000" w:rsidP="00000000" w:rsidRDefault="00000000" w:rsidRPr="00000000" w14:paraId="00000069">
      <w:pPr>
        <w:widowControl w:val="0"/>
        <w:spacing w:after="0" w:line="240" w:lineRule="auto"/>
        <w:rPr>
          <w:b w:val="1"/>
          <w:color w:val="8eaadb"/>
          <w:sz w:val="28"/>
          <w:szCs w:val="28"/>
        </w:rPr>
      </w:pPr>
      <w:r w:rsidDel="00000000" w:rsidR="00000000" w:rsidRPr="00000000">
        <w:rPr>
          <w:rtl w:val="0"/>
        </w:rPr>
      </w:r>
    </w:p>
    <w:p w:rsidR="00000000" w:rsidDel="00000000" w:rsidP="00000000" w:rsidRDefault="00000000" w:rsidRPr="00000000" w14:paraId="0000006A">
      <w:pPr>
        <w:widowControl w:val="0"/>
        <w:spacing w:after="0" w:line="240" w:lineRule="auto"/>
        <w:rPr>
          <w:b w:val="1"/>
          <w:color w:val="8eaadb"/>
          <w:sz w:val="28"/>
          <w:szCs w:val="28"/>
        </w:rPr>
      </w:pPr>
      <w:r w:rsidDel="00000000" w:rsidR="00000000" w:rsidRPr="00000000">
        <w:rPr>
          <w:rtl w:val="0"/>
        </w:rPr>
      </w:r>
    </w:p>
    <w:tbl>
      <w:tblPr>
        <w:tblStyle w:val="Table9"/>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00"/>
        <w:gridCol w:w="1700"/>
        <w:gridCol w:w="1700"/>
        <w:gridCol w:w="1700"/>
        <w:gridCol w:w="1880"/>
        <w:tblGridChange w:id="0">
          <w:tblGrid>
            <w:gridCol w:w="1800"/>
            <w:gridCol w:w="1700"/>
            <w:gridCol w:w="1700"/>
            <w:gridCol w:w="1700"/>
            <w:gridCol w:w="1700"/>
            <w:gridCol w:w="1880"/>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6B">
            <w:pPr>
              <w:widowControl w:val="0"/>
              <w:spacing w:after="0" w:line="240" w:lineRule="auto"/>
              <w:rPr>
                <w:b w:val="1"/>
              </w:rPr>
            </w:pPr>
            <w:bookmarkStart w:colFirst="0" w:colLast="0" w:name="_gjdgxs" w:id="0"/>
            <w:bookmarkEnd w:id="0"/>
            <w:r w:rsidDel="00000000" w:rsidR="00000000" w:rsidRPr="00000000">
              <w:rPr>
                <w:b w:val="1"/>
                <w:rtl w:val="0"/>
              </w:rPr>
              <w:t xml:space="preserve">Quality Objectives</w:t>
            </w:r>
          </w:p>
        </w:tc>
      </w:tr>
      <w:tr>
        <w:trPr>
          <w:cantSplit w:val="0"/>
          <w:trHeight w:val="661.9368489583333" w:hRule="atLeast"/>
          <w:tblHeader w:val="0"/>
        </w:trPr>
        <w:tc>
          <w:tcPr>
            <w:gridSpan w:val="6"/>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1">
            <w:pPr>
              <w:spacing w:after="0" w:lineRule="auto"/>
              <w:ind w:right="40.27559055118218"/>
              <w:rPr>
                <w:b w:val="1"/>
                <w:color w:val="1f3864"/>
                <w:sz w:val="24"/>
                <w:szCs w:val="24"/>
              </w:rPr>
            </w:pPr>
            <w:bookmarkStart w:colFirst="0" w:colLast="0" w:name="_gjdgxs" w:id="0"/>
            <w:bookmarkEnd w:id="0"/>
            <w:r w:rsidDel="00000000" w:rsidR="00000000" w:rsidRPr="00000000">
              <w:rPr>
                <w:color w:val="1f3864"/>
                <w:rtl w:val="0"/>
              </w:rPr>
              <w:t xml:space="preserve">These measures help evaluate the achievement of the corresponding quality objectives and provide quantifiable data or assessments to determine the effectiveness and success of the project in meeting these objectives.</w:t>
            </w:r>
            <w:r w:rsidDel="00000000" w:rsidR="00000000" w:rsidRPr="00000000">
              <w:rPr>
                <w:rtl w:val="0"/>
              </w:rPr>
            </w:r>
          </w:p>
        </w:tc>
      </w:tr>
    </w:tbl>
    <w:p w:rsidR="00000000" w:rsidDel="00000000" w:rsidP="00000000" w:rsidRDefault="00000000" w:rsidRPr="00000000" w14:paraId="00000077">
      <w:pPr>
        <w:spacing w:after="0" w:lineRule="auto"/>
        <w:ind w:left="-566.9291338582677" w:right="-607.7952755905511" w:firstLine="0"/>
        <w:rPr>
          <w:b w:val="1"/>
          <w:color w:val="8eaadb"/>
          <w:sz w:val="2"/>
          <w:szCs w:val="2"/>
        </w:rPr>
      </w:pPr>
      <w:r w:rsidDel="00000000" w:rsidR="00000000" w:rsidRPr="00000000">
        <w:rPr>
          <w:rtl w:val="0"/>
        </w:rPr>
      </w:r>
    </w:p>
    <w:tbl>
      <w:tblPr>
        <w:tblStyle w:val="Table10"/>
        <w:tblW w:w="10320.0" w:type="dxa"/>
        <w:jc w:val="center"/>
        <w:tblLayout w:type="fixed"/>
        <w:tblLook w:val="0000"/>
      </w:tblPr>
      <w:tblGrid>
        <w:gridCol w:w="2985"/>
        <w:gridCol w:w="7335"/>
        <w:tblGridChange w:id="0">
          <w:tblGrid>
            <w:gridCol w:w="2985"/>
            <w:gridCol w:w="7335"/>
          </w:tblGrid>
        </w:tblGridChange>
      </w:tblGrid>
      <w:tr>
        <w:trPr>
          <w:cantSplit w:val="0"/>
          <w:trHeight w:val="637" w:hRule="atLeast"/>
          <w:tblHeader w:val="0"/>
        </w:trPr>
        <w:tc>
          <w:tcPr>
            <w:tcBorders>
              <w:top w:color="231f20" w:space="0" w:sz="4" w:val="single"/>
              <w:left w:color="231f20" w:space="0" w:sz="4" w:val="single"/>
              <w:bottom w:color="231f20" w:space="0" w:sz="4" w:val="single"/>
              <w:right w:color="231f20" w:space="0" w:sz="4" w:val="single"/>
            </w:tcBorders>
            <w:shd w:fill="a2c4c9" w:val="cle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661417322844" w:firstLine="0"/>
              <w:jc w:val="center"/>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Metric or Specification</w:t>
            </w:r>
          </w:p>
        </w:tc>
        <w:tc>
          <w:tcPr>
            <w:tcBorders>
              <w:top w:color="231f20" w:space="0" w:sz="4" w:val="single"/>
              <w:left w:color="231f20" w:space="0" w:sz="4" w:val="single"/>
              <w:bottom w:color="231f20" w:space="0" w:sz="4" w:val="single"/>
              <w:right w:color="231f20" w:space="0" w:sz="4" w:val="single"/>
            </w:tcBorders>
            <w:shd w:fill="a2c4c9" w:val="cle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661417322844" w:firstLine="0"/>
              <w:jc w:val="center"/>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Measure</w:t>
            </w:r>
          </w:p>
        </w:tc>
      </w:tr>
      <w:tr>
        <w:trPr>
          <w:cantSplit w:val="0"/>
          <w:trHeight w:val="960" w:hRule="atLeast"/>
          <w:tblHeader w:val="0"/>
        </w:trPr>
        <w:tc>
          <w:tcPr>
            <w:tcBorders>
              <w:top w:color="231f20" w:space="0" w:sz="4" w:val="single"/>
              <w:left w:color="231f20" w:space="0" w:sz="4" w:val="single"/>
              <w:bottom w:color="231f20" w:space="0" w:sz="4" w:val="single"/>
              <w:right w:color="231f20" w:space="0" w:sz="4" w:val="single"/>
            </w:tcBorders>
            <w:shd w:fill="f2f2f2"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2.08661417322844" w:firstLine="0"/>
              <w:jc w:val="left"/>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1.Design &amp; Implementation</w:t>
            </w:r>
          </w:p>
        </w:tc>
        <w:tc>
          <w:tcPr>
            <w:tcBorders>
              <w:top w:color="231f20" w:space="0" w:sz="4" w:val="single"/>
              <w:left w:color="231f20" w:space="0" w:sz="4" w:val="single"/>
              <w:bottom w:color="231f20" w:space="0" w:sz="4" w:val="single"/>
              <w:right w:color="231f20" w:space="0" w:sz="4" w:val="single"/>
            </w:tcBorders>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35.905511811023985" w:firstLine="0"/>
              <w:jc w:val="left"/>
              <w:rPr>
                <w:rFonts w:ascii="Calibri" w:cs="Calibri" w:eastAsia="Calibri" w:hAnsi="Calibri"/>
                <w:b w:val="0"/>
                <w:i w:val="0"/>
                <w:smallCaps w:val="0"/>
                <w:strike w:val="0"/>
                <w:color w:val="1f3864"/>
                <w:sz w:val="20"/>
                <w:szCs w:val="20"/>
                <w:u w:val="none"/>
                <w:shd w:fill="auto" w:val="clear"/>
                <w:vertAlign w:val="baseline"/>
              </w:rPr>
            </w:pPr>
            <w:r w:rsidDel="00000000" w:rsidR="00000000" w:rsidRPr="00000000">
              <w:rPr>
                <w:rFonts w:ascii="Calibri" w:cs="Calibri" w:eastAsia="Calibri" w:hAnsi="Calibri"/>
                <w:b w:val="1"/>
                <w:i w:val="0"/>
                <w:smallCaps w:val="0"/>
                <w:strike w:val="0"/>
                <w:color w:val="1f3864"/>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1f3864"/>
                <w:sz w:val="20"/>
                <w:szCs w:val="20"/>
                <w:u w:val="none"/>
                <w:shd w:fill="auto" w:val="clear"/>
                <w:vertAlign w:val="baseline"/>
                <w:rtl w:val="0"/>
              </w:rPr>
              <w:t xml:space="preserve"> Evaluate the design documents, configuration specifications, and migration plan to confirm their accuracy, and adherence to industry best practices and standards.</w:t>
            </w:r>
          </w:p>
        </w:tc>
      </w:tr>
      <w:tr>
        <w:trPr>
          <w:cantSplit w:val="0"/>
          <w:trHeight w:val="2010" w:hRule="atLeast"/>
          <w:tblHeader w:val="0"/>
        </w:trPr>
        <w:tc>
          <w:tcPr>
            <w:tcBorders>
              <w:top w:color="231f20" w:space="0" w:sz="4" w:val="single"/>
              <w:left w:color="231f20" w:space="0" w:sz="4" w:val="single"/>
              <w:bottom w:color="231f20" w:space="0" w:sz="4" w:val="single"/>
              <w:right w:color="231f20" w:space="0" w:sz="4" w:val="single"/>
            </w:tcBorders>
            <w:shd w:fill="f2f2f2" w:val="cle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22.08661417322844" w:firstLine="0"/>
              <w:jc w:val="left"/>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2. Robust Security Measures</w:t>
            </w:r>
          </w:p>
        </w:tc>
        <w:tc>
          <w:tcPr>
            <w:tcBorders>
              <w:top w:color="231f20" w:space="0" w:sz="4" w:val="single"/>
              <w:left w:color="231f20" w:space="0" w:sz="4" w:val="single"/>
              <w:bottom w:color="231f20" w:space="0" w:sz="4" w:val="single"/>
              <w:right w:color="231f20" w:space="0" w:sz="4" w:val="single"/>
            </w:tcBorders>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35.905511811023985" w:firstLine="0"/>
              <w:jc w:val="left"/>
              <w:rPr>
                <w:rFonts w:ascii="Calibri" w:cs="Calibri" w:eastAsia="Calibri" w:hAnsi="Calibri"/>
                <w:b w:val="0"/>
                <w:i w:val="0"/>
                <w:smallCaps w:val="0"/>
                <w:strike w:val="0"/>
                <w:color w:val="1f3864"/>
                <w:sz w:val="20"/>
                <w:szCs w:val="20"/>
                <w:u w:val="none"/>
                <w:shd w:fill="auto" w:val="clear"/>
                <w:vertAlign w:val="baseline"/>
              </w:rPr>
            </w:pPr>
            <w:r w:rsidDel="00000000" w:rsidR="00000000" w:rsidRPr="00000000">
              <w:rPr>
                <w:rFonts w:ascii="Calibri" w:cs="Calibri" w:eastAsia="Calibri" w:hAnsi="Calibri"/>
                <w:b w:val="1"/>
                <w:i w:val="0"/>
                <w:smallCaps w:val="0"/>
                <w:strike w:val="0"/>
                <w:color w:val="1f3864"/>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1f3864"/>
                <w:sz w:val="20"/>
                <w:szCs w:val="20"/>
                <w:u w:val="none"/>
                <w:shd w:fill="auto" w:val="clear"/>
                <w:vertAlign w:val="baseline"/>
                <w:rtl w:val="0"/>
              </w:rPr>
              <w:t xml:space="preserve"> Perform security assessments, including red team blue team penetration testing, vulnerability scanning, and risk assessments, in order to identify, mitigate and rectify any security vulnerabilities or weaknesses in the cloud environment. </w:t>
              <w:br w:type="textWrapping"/>
              <w:br w:type="textWrapping"/>
              <w:t xml:space="preserve">This measure will also cover monitoring access controls, encryption mechanisms, authentication, and authorization mechanisms for their effectiveness and compliance with security standards.</w:t>
            </w:r>
          </w:p>
        </w:tc>
      </w:tr>
      <w:tr>
        <w:trPr>
          <w:cantSplit w:val="0"/>
          <w:trHeight w:val="1290" w:hRule="atLeast"/>
          <w:tblHeader w:val="0"/>
        </w:trPr>
        <w:tc>
          <w:tcPr>
            <w:tcBorders>
              <w:top w:color="231f20" w:space="0" w:sz="4" w:val="single"/>
              <w:left w:color="231f20" w:space="0" w:sz="4" w:val="single"/>
              <w:bottom w:color="231f20" w:space="0" w:sz="4" w:val="single"/>
              <w:right w:color="231f20" w:space="0" w:sz="4" w:val="single"/>
            </w:tcBorders>
            <w:shd w:fill="f2f2f2"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22.08661417322844" w:firstLine="0"/>
              <w:jc w:val="left"/>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3.Seamless migration</w:t>
            </w:r>
          </w:p>
        </w:tc>
        <w:tc>
          <w:tcPr>
            <w:tcBorders>
              <w:top w:color="231f20" w:space="0" w:sz="4" w:val="single"/>
              <w:left w:color="231f20" w:space="0" w:sz="4" w:val="single"/>
              <w:bottom w:color="231f20" w:space="0" w:sz="4" w:val="single"/>
              <w:right w:color="231f20" w:space="0" w:sz="4" w:val="single"/>
            </w:tcBorders>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35.905511811023985" w:firstLine="0"/>
              <w:jc w:val="left"/>
              <w:rPr>
                <w:rFonts w:ascii="Calibri" w:cs="Calibri" w:eastAsia="Calibri" w:hAnsi="Calibri"/>
                <w:b w:val="0"/>
                <w:i w:val="0"/>
                <w:smallCaps w:val="0"/>
                <w:strike w:val="0"/>
                <w:color w:val="1f3864"/>
                <w:sz w:val="20"/>
                <w:szCs w:val="20"/>
                <w:u w:val="none"/>
                <w:shd w:fill="auto" w:val="clear"/>
                <w:vertAlign w:val="baseline"/>
              </w:rPr>
            </w:pPr>
            <w:r w:rsidDel="00000000" w:rsidR="00000000" w:rsidRPr="00000000">
              <w:rPr>
                <w:rFonts w:ascii="Calibri" w:cs="Calibri" w:eastAsia="Calibri" w:hAnsi="Calibri"/>
                <w:b w:val="1"/>
                <w:i w:val="0"/>
                <w:smallCaps w:val="0"/>
                <w:strike w:val="0"/>
                <w:color w:val="1f3864"/>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1f3864"/>
                <w:sz w:val="20"/>
                <w:szCs w:val="20"/>
                <w:u w:val="none"/>
                <w:shd w:fill="auto" w:val="clear"/>
                <w:vertAlign w:val="baseline"/>
                <w:rtl w:val="0"/>
              </w:rPr>
              <w:t xml:space="preserve"> SecureNET will prioritise minimising downtime and disruption to normal business operations during the migration process. The metric can be measured by keeping note of how long the migration took, how many problems or disruptions occurred, and how satisfied users were with the migration process.</w:t>
            </w:r>
          </w:p>
        </w:tc>
      </w:tr>
      <w:tr>
        <w:trPr>
          <w:cantSplit w:val="0"/>
          <w:trHeight w:val="1680" w:hRule="atLeast"/>
          <w:tblHeader w:val="0"/>
        </w:trPr>
        <w:tc>
          <w:tcPr>
            <w:tcBorders>
              <w:top w:color="231f20" w:space="0" w:sz="4" w:val="single"/>
              <w:left w:color="231f20" w:space="0" w:sz="4" w:val="single"/>
              <w:bottom w:color="231f20" w:space="0" w:sz="4" w:val="single"/>
              <w:right w:color="231f20" w:space="0" w:sz="4" w:val="single"/>
            </w:tcBorders>
            <w:shd w:fill="f2f2f2" w:val="cle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22.08661417322844" w:firstLine="0"/>
              <w:jc w:val="left"/>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4.Compliance</w:t>
            </w:r>
          </w:p>
        </w:tc>
        <w:tc>
          <w:tcPr>
            <w:tcBorders>
              <w:top w:color="231f20" w:space="0" w:sz="4" w:val="single"/>
              <w:left w:color="231f20" w:space="0" w:sz="4" w:val="single"/>
              <w:bottom w:color="231f20" w:space="0" w:sz="4" w:val="single"/>
              <w:right w:color="231f20" w:space="0" w:sz="4" w:val="single"/>
            </w:tcBorders>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35.905511811023985" w:firstLine="0"/>
              <w:jc w:val="left"/>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rFonts w:ascii="Calibri" w:cs="Calibri" w:eastAsia="Calibri" w:hAnsi="Calibri"/>
                <w:b w:val="1"/>
                <w:i w:val="0"/>
                <w:smallCaps w:val="0"/>
                <w:strike w:val="0"/>
                <w:color w:val="1f3864"/>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During the AWS cyberShift Initiative, SecureNET will provide </w:t>
            </w:r>
            <w:r w:rsidDel="00000000" w:rsidR="00000000" w:rsidRPr="00000000">
              <w:rPr>
                <w:rFonts w:ascii="Calibri" w:cs="Calibri" w:eastAsia="Calibri" w:hAnsi="Calibri"/>
                <w:b w:val="0"/>
                <w:i w:val="0"/>
                <w:smallCaps w:val="0"/>
                <w:strike w:val="0"/>
                <w:color w:val="1f3864"/>
                <w:sz w:val="20"/>
                <w:szCs w:val="20"/>
                <w:u w:val="none"/>
                <w:shd w:fill="auto" w:val="clear"/>
                <w:vertAlign w:val="baseline"/>
                <w:rtl w:val="0"/>
              </w:rPr>
              <w:t xml:space="preserve">regular audits and assessments to verify adherence to relevant compliance regulations and industry standards. </w:t>
              <w:br w:type="textWrapping"/>
              <w:br w:type="textWrapping"/>
              <w:t xml:space="preserve">As part of this, compliance procedures must be documented, internal and external audits must be carried out, and any compliance gaps must be addressed and rectified.</w:t>
            </w:r>
            <w:r w:rsidDel="00000000" w:rsidR="00000000" w:rsidRPr="00000000">
              <w:rPr>
                <w:rtl w:val="0"/>
              </w:rPr>
            </w:r>
          </w:p>
        </w:tc>
      </w:tr>
      <w:tr>
        <w:trPr>
          <w:cantSplit w:val="0"/>
          <w:trHeight w:val="1905" w:hRule="atLeast"/>
          <w:tblHeader w:val="0"/>
        </w:trPr>
        <w:tc>
          <w:tcPr>
            <w:tcBorders>
              <w:top w:color="231f20" w:space="0" w:sz="4" w:val="single"/>
              <w:left w:color="231f20" w:space="0" w:sz="4" w:val="single"/>
              <w:bottom w:color="231f20" w:space="0" w:sz="4" w:val="single"/>
              <w:right w:color="231f20" w:space="0" w:sz="4" w:val="single"/>
            </w:tcBorders>
            <w:shd w:fill="f2f2f2" w:val="cle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22.08661417322844" w:firstLine="0"/>
              <w:jc w:val="left"/>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5. Data Confidentiality, Integrity, and Availability</w:t>
            </w:r>
          </w:p>
        </w:tc>
        <w:tc>
          <w:tcPr>
            <w:tcBorders>
              <w:top w:color="231f20" w:space="0" w:sz="4" w:val="single"/>
              <w:left w:color="231f20" w:space="0" w:sz="4" w:val="single"/>
              <w:bottom w:color="231f20" w:space="0" w:sz="4" w:val="single"/>
              <w:right w:color="231f20" w:space="0" w:sz="4" w:val="single"/>
            </w:tcBorders>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35.905511811023985" w:firstLine="0"/>
              <w:jc w:val="left"/>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rFonts w:ascii="Calibri" w:cs="Calibri" w:eastAsia="Calibri" w:hAnsi="Calibri"/>
                <w:b w:val="1"/>
                <w:i w:val="0"/>
                <w:smallCaps w:val="0"/>
                <w:strike w:val="0"/>
                <w:color w:val="1f3864"/>
                <w:sz w:val="20"/>
                <w:szCs w:val="20"/>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1f3864"/>
                <w:sz w:val="20"/>
                <w:szCs w:val="20"/>
                <w:u w:val="none"/>
                <w:shd w:fill="auto" w:val="clear"/>
                <w:vertAlign w:val="baseline"/>
                <w:rtl w:val="0"/>
              </w:rPr>
              <w:t xml:space="preserve">To maintain the privacy, availability, and integrity of data, regular monitoring of data access logs, encryption methods, and backup and recovery procedures are necessary. </w:t>
              <w:br w:type="textWrapping"/>
              <w:br w:type="textWrapping"/>
              <w:t xml:space="preserve">Verifying the accuracy of data backups, recording incidents linked to data breaches or unauthorised access, and evaluating the system's capacity to recover data in the event of a failure or disaster are measures that SecureNET will have in place.</w:t>
            </w:r>
            <w:r w:rsidDel="00000000" w:rsidR="00000000" w:rsidRPr="00000000">
              <w:rPr>
                <w:rtl w:val="0"/>
              </w:rPr>
            </w:r>
          </w:p>
        </w:tc>
      </w:tr>
    </w:tbl>
    <w:p w:rsidR="00000000" w:rsidDel="00000000" w:rsidP="00000000" w:rsidRDefault="00000000" w:rsidRPr="00000000" w14:paraId="00000084">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85">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86">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87">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88">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89">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8A">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8B">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8C">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8D">
      <w:pPr>
        <w:widowControl w:val="0"/>
        <w:spacing w:after="0" w:line="240" w:lineRule="auto"/>
        <w:rPr>
          <w:b w:val="1"/>
          <w:color w:val="8eaadb"/>
          <w:sz w:val="28"/>
          <w:szCs w:val="28"/>
        </w:rPr>
      </w:pPr>
      <w:r w:rsidDel="00000000" w:rsidR="00000000" w:rsidRPr="00000000">
        <w:rPr>
          <w:rtl w:val="0"/>
        </w:rPr>
      </w:r>
    </w:p>
    <w:tbl>
      <w:tblPr>
        <w:tblStyle w:val="Table11"/>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00"/>
        <w:gridCol w:w="1700"/>
        <w:gridCol w:w="1700"/>
        <w:gridCol w:w="1700"/>
        <w:gridCol w:w="1880"/>
        <w:tblGridChange w:id="0">
          <w:tblGrid>
            <w:gridCol w:w="1800"/>
            <w:gridCol w:w="1700"/>
            <w:gridCol w:w="1700"/>
            <w:gridCol w:w="1700"/>
            <w:gridCol w:w="1700"/>
            <w:gridCol w:w="1880"/>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8E">
            <w:pPr>
              <w:widowControl w:val="0"/>
              <w:spacing w:after="0" w:line="240" w:lineRule="auto"/>
              <w:rPr>
                <w:b w:val="1"/>
              </w:rPr>
            </w:pPr>
            <w:bookmarkStart w:colFirst="0" w:colLast="0" w:name="_gjdgxs" w:id="0"/>
            <w:bookmarkEnd w:id="0"/>
            <w:r w:rsidDel="00000000" w:rsidR="00000000" w:rsidRPr="00000000">
              <w:rPr>
                <w:b w:val="1"/>
                <w:rtl w:val="0"/>
              </w:rPr>
              <w:t xml:space="preserve">Quality Roles and Responsibilities</w:t>
            </w:r>
          </w:p>
        </w:tc>
      </w:tr>
    </w:tbl>
    <w:p w:rsidR="00000000" w:rsidDel="00000000" w:rsidP="00000000" w:rsidRDefault="00000000" w:rsidRPr="00000000" w14:paraId="00000094">
      <w:pPr>
        <w:ind w:left="-566.9291338582677" w:right="-607.7952755905511" w:firstLine="0"/>
        <w:rPr>
          <w:b w:val="1"/>
          <w:color w:val="8eaadb"/>
          <w:sz w:val="2"/>
          <w:szCs w:val="2"/>
        </w:rPr>
      </w:pPr>
      <w:r w:rsidDel="00000000" w:rsidR="00000000" w:rsidRPr="00000000">
        <w:rPr>
          <w:rtl w:val="0"/>
        </w:rPr>
      </w:r>
    </w:p>
    <w:tbl>
      <w:tblPr>
        <w:tblStyle w:val="Table12"/>
        <w:tblW w:w="10350.0" w:type="dxa"/>
        <w:jc w:val="left"/>
        <w:tblInd w:w="-6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7815"/>
        <w:tblGridChange w:id="0">
          <w:tblGrid>
            <w:gridCol w:w="2535"/>
            <w:gridCol w:w="7815"/>
          </w:tblGrid>
        </w:tblGridChange>
      </w:tblGrid>
      <w:tr>
        <w:trPr>
          <w:cantSplit w:val="0"/>
          <w:trHeight w:val="382.96875" w:hRule="atLeast"/>
          <w:tblHeader w:val="0"/>
        </w:trPr>
        <w:tc>
          <w:tcPr>
            <w:shd w:fill="76a5af" w:val="clear"/>
            <w:vAlign w:val="center"/>
          </w:tcPr>
          <w:p w:rsidR="00000000" w:rsidDel="00000000" w:rsidP="00000000" w:rsidRDefault="00000000" w:rsidRPr="00000000" w14:paraId="00000095">
            <w:pPr>
              <w:ind w:left="0" w:right="-88.70078740157425" w:firstLine="0"/>
              <w:jc w:val="center"/>
              <w:rPr>
                <w:b w:val="1"/>
                <w:sz w:val="24"/>
                <w:szCs w:val="24"/>
              </w:rPr>
            </w:pPr>
            <w:r w:rsidDel="00000000" w:rsidR="00000000" w:rsidRPr="00000000">
              <w:rPr>
                <w:b w:val="1"/>
                <w:sz w:val="24"/>
                <w:szCs w:val="24"/>
                <w:rtl w:val="0"/>
              </w:rPr>
              <w:t xml:space="preserve">Roles</w:t>
            </w:r>
          </w:p>
        </w:tc>
        <w:tc>
          <w:tcPr>
            <w:shd w:fill="76a5af" w:val="clear"/>
            <w:vAlign w:val="center"/>
          </w:tcPr>
          <w:p w:rsidR="00000000" w:rsidDel="00000000" w:rsidP="00000000" w:rsidRDefault="00000000" w:rsidRPr="00000000" w14:paraId="00000096">
            <w:pPr>
              <w:ind w:left="283.4645669291342" w:right="-88.70078740157425" w:hanging="283.4645669291342"/>
              <w:jc w:val="center"/>
              <w:rPr>
                <w:b w:val="1"/>
                <w:sz w:val="24"/>
                <w:szCs w:val="24"/>
              </w:rPr>
            </w:pPr>
            <w:r w:rsidDel="00000000" w:rsidR="00000000" w:rsidRPr="00000000">
              <w:rPr>
                <w:b w:val="1"/>
                <w:sz w:val="24"/>
                <w:szCs w:val="24"/>
                <w:rtl w:val="0"/>
              </w:rPr>
              <w:t xml:space="preserve">Responsibilities</w:t>
            </w:r>
          </w:p>
        </w:tc>
      </w:tr>
      <w:tr>
        <w:trPr>
          <w:cantSplit w:val="0"/>
          <w:trHeight w:val="2565.3564453124995" w:hRule="atLeast"/>
          <w:tblHeader w:val="0"/>
        </w:trPr>
        <w:tc>
          <w:tcPr>
            <w:shd w:fill="d9d9d9" w:val="clear"/>
            <w:vAlign w:val="center"/>
          </w:tcPr>
          <w:p w:rsidR="00000000" w:rsidDel="00000000" w:rsidP="00000000" w:rsidRDefault="00000000" w:rsidRPr="00000000" w14:paraId="00000097">
            <w:pPr>
              <w:ind w:left="0" w:right="-88.70078740157425" w:firstLine="0"/>
              <w:rPr>
                <w:rFonts w:ascii="Calibri" w:cs="Calibri" w:eastAsia="Calibri" w:hAnsi="Calibri"/>
                <w:color w:val="1f3864"/>
                <w:sz w:val="20"/>
                <w:szCs w:val="20"/>
              </w:rPr>
            </w:pPr>
            <w:r w:rsidDel="00000000" w:rsidR="00000000" w:rsidRPr="00000000">
              <w:rPr>
                <w:rFonts w:ascii="Calibri" w:cs="Calibri" w:eastAsia="Calibri" w:hAnsi="Calibri"/>
                <w:b w:val="1"/>
                <w:color w:val="1f3864"/>
                <w:sz w:val="20"/>
                <w:szCs w:val="20"/>
                <w:rtl w:val="0"/>
              </w:rPr>
              <w:t xml:space="preserve">Project Owner</w:t>
            </w:r>
            <w:r w:rsidDel="00000000" w:rsidR="00000000" w:rsidRPr="00000000">
              <w:rPr>
                <w:rFonts w:ascii="Calibri" w:cs="Calibri" w:eastAsia="Calibri" w:hAnsi="Calibri"/>
                <w:color w:val="1f3864"/>
                <w:sz w:val="20"/>
                <w:szCs w:val="20"/>
                <w:rtl w:val="0"/>
              </w:rPr>
              <w:t xml:space="preserve"> - </w:t>
              <w:br w:type="textWrapping"/>
              <w:t xml:space="preserve">Hettige Jayatissa</w:t>
            </w:r>
          </w:p>
          <w:p w:rsidR="00000000" w:rsidDel="00000000" w:rsidP="00000000" w:rsidRDefault="00000000" w:rsidRPr="00000000" w14:paraId="00000098">
            <w:pPr>
              <w:ind w:left="0" w:right="-88.70078740157425" w:firstLine="0"/>
              <w:rPr>
                <w:rFonts w:ascii="Calibri" w:cs="Calibri" w:eastAsia="Calibri" w:hAnsi="Calibri"/>
                <w:b w:val="1"/>
                <w:color w:val="1f3864"/>
                <w:sz w:val="20"/>
                <w:szCs w:val="20"/>
              </w:rPr>
            </w:pPr>
            <w:r w:rsidDel="00000000" w:rsidR="00000000" w:rsidRPr="00000000">
              <w:rPr>
                <w:rtl w:val="0"/>
              </w:rPr>
            </w:r>
          </w:p>
        </w:tc>
        <w:tc>
          <w:tcPr>
            <w:vAlign w:val="center"/>
          </w:tcPr>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Defines the project objectives</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project direction and guidance</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 project stakeholders</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 project deliverables</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Make decisions and resolve issues</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 project constraints</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project success</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Participate in project governance</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 as a liaison between the project team and senior managemen</w:t>
            </w:r>
            <w:r w:rsidDel="00000000" w:rsidR="00000000" w:rsidRPr="00000000">
              <w:rPr>
                <w:sz w:val="20"/>
                <w:szCs w:val="20"/>
                <w:rtl w:val="0"/>
              </w:rPr>
              <w:t xml:space="preserve">t</w:t>
            </w:r>
            <w:r w:rsidDel="00000000" w:rsidR="00000000" w:rsidRPr="00000000">
              <w:rPr>
                <w:rtl w:val="0"/>
              </w:rPr>
            </w:r>
          </w:p>
        </w:tc>
      </w:tr>
      <w:tr>
        <w:trPr>
          <w:cantSplit w:val="0"/>
          <w:trHeight w:val="1542.342122395833" w:hRule="atLeast"/>
          <w:tblHeader w:val="0"/>
        </w:trPr>
        <w:tc>
          <w:tcPr>
            <w:shd w:fill="d9d9d9" w:val="clear"/>
            <w:vAlign w:val="center"/>
          </w:tcPr>
          <w:p w:rsidR="00000000" w:rsidDel="00000000" w:rsidP="00000000" w:rsidRDefault="00000000" w:rsidRPr="00000000" w14:paraId="000000A2">
            <w:pPr>
              <w:ind w:left="0" w:right="-88.70078740157425" w:firstLine="0"/>
              <w:rPr>
                <w:rFonts w:ascii="Calibri" w:cs="Calibri" w:eastAsia="Calibri" w:hAnsi="Calibri"/>
                <w:color w:val="1f3864"/>
                <w:sz w:val="20"/>
                <w:szCs w:val="20"/>
              </w:rPr>
            </w:pPr>
            <w:r w:rsidDel="00000000" w:rsidR="00000000" w:rsidRPr="00000000">
              <w:rPr>
                <w:rFonts w:ascii="Calibri" w:cs="Calibri" w:eastAsia="Calibri" w:hAnsi="Calibri"/>
                <w:b w:val="1"/>
                <w:color w:val="1f3864"/>
                <w:sz w:val="20"/>
                <w:szCs w:val="20"/>
                <w:rtl w:val="0"/>
              </w:rPr>
              <w:t xml:space="preserve">Project Manager </w:t>
            </w:r>
            <w:r w:rsidDel="00000000" w:rsidR="00000000" w:rsidRPr="00000000">
              <w:rPr>
                <w:rFonts w:ascii="Calibri" w:cs="Calibri" w:eastAsia="Calibri" w:hAnsi="Calibri"/>
                <w:color w:val="1f3864"/>
                <w:sz w:val="20"/>
                <w:szCs w:val="20"/>
                <w:rtl w:val="0"/>
              </w:rPr>
              <w:t xml:space="preserve">- </w:t>
              <w:br w:type="textWrapping"/>
              <w:t xml:space="preserve">Giuseppe Raciti</w:t>
            </w:r>
          </w:p>
          <w:p w:rsidR="00000000" w:rsidDel="00000000" w:rsidP="00000000" w:rsidRDefault="00000000" w:rsidRPr="00000000" w14:paraId="000000A3">
            <w:pPr>
              <w:ind w:left="0" w:right="-88.70078740157425" w:firstLine="0"/>
              <w:rPr>
                <w:rFonts w:ascii="Calibri" w:cs="Calibri" w:eastAsia="Calibri" w:hAnsi="Calibri"/>
                <w:b w:val="1"/>
                <w:color w:val="1f3864"/>
                <w:sz w:val="20"/>
                <w:szCs w:val="20"/>
              </w:rPr>
            </w:pP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Overall project coordination and management</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organize, and control project activities</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Ensures project deliverables are completed on time and within budget</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Risk management and mitigation</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Stakeholder Communication and Reportin</w:t>
            </w:r>
            <w:r w:rsidDel="00000000" w:rsidR="00000000" w:rsidRPr="00000000">
              <w:rPr>
                <w:sz w:val="20"/>
                <w:szCs w:val="20"/>
                <w:rtl w:val="0"/>
              </w:rPr>
              <w:t xml:space="preserve">g</w:t>
            </w:r>
            <w:r w:rsidDel="00000000" w:rsidR="00000000" w:rsidRPr="00000000">
              <w:rPr>
                <w:rtl w:val="0"/>
              </w:rPr>
            </w:r>
          </w:p>
        </w:tc>
      </w:tr>
      <w:tr>
        <w:trPr>
          <w:cantSplit w:val="0"/>
          <w:trHeight w:val="2114.278971354166" w:hRule="atLeast"/>
          <w:tblHeader w:val="0"/>
        </w:trPr>
        <w:tc>
          <w:tcPr>
            <w:shd w:fill="d9d9d9" w:val="clear"/>
            <w:vAlign w:val="center"/>
          </w:tcPr>
          <w:p w:rsidR="00000000" w:rsidDel="00000000" w:rsidP="00000000" w:rsidRDefault="00000000" w:rsidRPr="00000000" w14:paraId="000000A9">
            <w:pPr>
              <w:ind w:left="0" w:right="-88.70078740157425" w:firstLine="0"/>
              <w:rPr>
                <w:rFonts w:ascii="Calibri" w:cs="Calibri" w:eastAsia="Calibri" w:hAnsi="Calibri"/>
                <w:color w:val="1f3864"/>
                <w:sz w:val="20"/>
                <w:szCs w:val="20"/>
              </w:rPr>
            </w:pPr>
            <w:r w:rsidDel="00000000" w:rsidR="00000000" w:rsidRPr="00000000">
              <w:rPr>
                <w:rFonts w:ascii="Calibri" w:cs="Calibri" w:eastAsia="Calibri" w:hAnsi="Calibri"/>
                <w:b w:val="1"/>
                <w:color w:val="1f3864"/>
                <w:sz w:val="20"/>
                <w:szCs w:val="20"/>
                <w:rtl w:val="0"/>
              </w:rPr>
              <w:t xml:space="preserve">Cyber Security Specialist </w:t>
            </w:r>
            <w:r w:rsidDel="00000000" w:rsidR="00000000" w:rsidRPr="00000000">
              <w:rPr>
                <w:rFonts w:ascii="Calibri" w:cs="Calibri" w:eastAsia="Calibri" w:hAnsi="Calibri"/>
                <w:color w:val="1f3864"/>
                <w:sz w:val="20"/>
                <w:szCs w:val="20"/>
                <w:rtl w:val="0"/>
              </w:rPr>
              <w:t xml:space="preserve">- </w:t>
              <w:br w:type="textWrapping"/>
              <w:t xml:space="preserve">Shaun Heywood</w:t>
            </w:r>
          </w:p>
          <w:p w:rsidR="00000000" w:rsidDel="00000000" w:rsidP="00000000" w:rsidRDefault="00000000" w:rsidRPr="00000000" w14:paraId="000000AA">
            <w:pPr>
              <w:ind w:left="0" w:right="-88.70078740157425" w:firstLine="0"/>
              <w:rPr>
                <w:rFonts w:ascii="Calibri" w:cs="Calibri" w:eastAsia="Calibri" w:hAnsi="Calibri"/>
                <w:b w:val="1"/>
                <w:color w:val="1f3864"/>
                <w:sz w:val="20"/>
                <w:szCs w:val="20"/>
              </w:rPr>
            </w:pP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Conduct assessments of the existing infrastructure</w:t>
            </w:r>
          </w:p>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and implement security measures for the cloud infrastructure</w:t>
            </w:r>
          </w:p>
          <w:p w:rsidR="00000000" w:rsidDel="00000000" w:rsidP="00000000" w:rsidRDefault="00000000" w:rsidRPr="00000000" w14:paraId="000000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Configure and manage firewalls, IPS/IDS systems, and antivirus/malware protection</w:t>
            </w:r>
          </w:p>
          <w:p w:rsidR="00000000" w:rsidDel="00000000" w:rsidP="00000000" w:rsidRDefault="00000000" w:rsidRPr="00000000" w14:paraId="000000A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Oversee testing and incident response</w:t>
            </w:r>
          </w:p>
          <w:p w:rsidR="00000000" w:rsidDel="00000000" w:rsidP="00000000" w:rsidRDefault="00000000" w:rsidRPr="00000000" w14:paraId="000000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 and analyze logs for potential security threats or breaches</w:t>
            </w:r>
          </w:p>
          <w:p w:rsidR="00000000" w:rsidDel="00000000" w:rsidP="00000000" w:rsidRDefault="00000000" w:rsidRPr="00000000" w14:paraId="000000B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guidance on security best practices</w:t>
            </w:r>
          </w:p>
          <w:p w:rsidR="00000000" w:rsidDel="00000000" w:rsidP="00000000" w:rsidRDefault="00000000" w:rsidRPr="00000000" w14:paraId="000000B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 with the project team to address security vulnerabilities and risks</w:t>
            </w:r>
            <w:r w:rsidDel="00000000" w:rsidR="00000000" w:rsidRPr="00000000">
              <w:rPr>
                <w:rtl w:val="0"/>
              </w:rPr>
            </w:r>
          </w:p>
        </w:tc>
      </w:tr>
      <w:tr>
        <w:trPr>
          <w:cantSplit w:val="0"/>
          <w:trHeight w:val="1925.8105468749995" w:hRule="atLeast"/>
          <w:tblHeader w:val="0"/>
        </w:trPr>
        <w:tc>
          <w:tcPr>
            <w:shd w:fill="d9d9d9" w:val="clear"/>
            <w:vAlign w:val="center"/>
          </w:tcPr>
          <w:p w:rsidR="00000000" w:rsidDel="00000000" w:rsidP="00000000" w:rsidRDefault="00000000" w:rsidRPr="00000000" w14:paraId="000000B2">
            <w:pPr>
              <w:ind w:left="0" w:right="-88.70078740157425" w:firstLine="0"/>
              <w:rPr>
                <w:rFonts w:ascii="Calibri" w:cs="Calibri" w:eastAsia="Calibri" w:hAnsi="Calibri"/>
                <w:color w:val="1f3864"/>
                <w:sz w:val="20"/>
                <w:szCs w:val="20"/>
              </w:rPr>
            </w:pPr>
            <w:r w:rsidDel="00000000" w:rsidR="00000000" w:rsidRPr="00000000">
              <w:rPr>
                <w:rFonts w:ascii="Calibri" w:cs="Calibri" w:eastAsia="Calibri" w:hAnsi="Calibri"/>
                <w:b w:val="1"/>
                <w:color w:val="1f3864"/>
                <w:sz w:val="20"/>
                <w:szCs w:val="20"/>
                <w:rtl w:val="0"/>
              </w:rPr>
              <w:t xml:space="preserve">Cloud Architect / Engineer </w:t>
            </w:r>
            <w:r w:rsidDel="00000000" w:rsidR="00000000" w:rsidRPr="00000000">
              <w:rPr>
                <w:rFonts w:ascii="Calibri" w:cs="Calibri" w:eastAsia="Calibri" w:hAnsi="Calibri"/>
                <w:color w:val="1f3864"/>
                <w:sz w:val="20"/>
                <w:szCs w:val="20"/>
                <w:rtl w:val="0"/>
              </w:rPr>
              <w:t xml:space="preserve">- </w:t>
              <w:br w:type="textWrapping"/>
              <w:t xml:space="preserve">Mark Byrne</w:t>
            </w:r>
          </w:p>
          <w:p w:rsidR="00000000" w:rsidDel="00000000" w:rsidP="00000000" w:rsidRDefault="00000000" w:rsidRPr="00000000" w14:paraId="000000B3">
            <w:pPr>
              <w:ind w:left="0" w:right="-88.70078740157425" w:firstLine="0"/>
              <w:rPr>
                <w:rFonts w:ascii="Calibri" w:cs="Calibri" w:eastAsia="Calibri" w:hAnsi="Calibri"/>
                <w:b w:val="1"/>
                <w:color w:val="1f3864"/>
                <w:sz w:val="20"/>
                <w:szCs w:val="20"/>
              </w:rPr>
            </w:pP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Designing and configuring the cloud infrastructure on Amazon AWS</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Setting up network connectivity with on-site systems</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Ensuring scalability and high availability of the cloud environment</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Collaborating with the Cyber Security Specialist to implement security measures</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Monitoring and optimizing cloud infrastructure performance</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Providing technical expertise on cloud architecture and services</w:t>
            </w:r>
            <w:r w:rsidDel="00000000" w:rsidR="00000000" w:rsidRPr="00000000">
              <w:rPr>
                <w:rtl w:val="0"/>
              </w:rPr>
            </w:r>
          </w:p>
        </w:tc>
      </w:tr>
      <w:tr>
        <w:trPr>
          <w:cantSplit w:val="0"/>
          <w:trHeight w:val="1925.8105468749995" w:hRule="atLeast"/>
          <w:tblHeader w:val="0"/>
        </w:trPr>
        <w:tc>
          <w:tcPr>
            <w:shd w:fill="d9d9d9" w:val="clear"/>
            <w:vAlign w:val="center"/>
          </w:tcPr>
          <w:p w:rsidR="00000000" w:rsidDel="00000000" w:rsidP="00000000" w:rsidRDefault="00000000" w:rsidRPr="00000000" w14:paraId="000000BA">
            <w:pPr>
              <w:ind w:left="0" w:right="-88.70078740157425" w:firstLine="0"/>
              <w:rPr>
                <w:rFonts w:ascii="Calibri" w:cs="Calibri" w:eastAsia="Calibri" w:hAnsi="Calibri"/>
                <w:color w:val="1f3864"/>
                <w:sz w:val="20"/>
                <w:szCs w:val="20"/>
              </w:rPr>
            </w:pPr>
            <w:r w:rsidDel="00000000" w:rsidR="00000000" w:rsidRPr="00000000">
              <w:rPr>
                <w:rFonts w:ascii="Calibri" w:cs="Calibri" w:eastAsia="Calibri" w:hAnsi="Calibri"/>
                <w:b w:val="1"/>
                <w:color w:val="1f3864"/>
                <w:sz w:val="20"/>
                <w:szCs w:val="20"/>
                <w:rtl w:val="0"/>
              </w:rPr>
              <w:t xml:space="preserve">Server Administrator </w:t>
            </w:r>
            <w:r w:rsidDel="00000000" w:rsidR="00000000" w:rsidRPr="00000000">
              <w:rPr>
                <w:rFonts w:ascii="Calibri" w:cs="Calibri" w:eastAsia="Calibri" w:hAnsi="Calibri"/>
                <w:color w:val="1f3864"/>
                <w:sz w:val="20"/>
                <w:szCs w:val="20"/>
                <w:rtl w:val="0"/>
              </w:rPr>
              <w:t xml:space="preserve">- Mauricio Guerra</w:t>
            </w:r>
          </w:p>
          <w:p w:rsidR="00000000" w:rsidDel="00000000" w:rsidP="00000000" w:rsidRDefault="00000000" w:rsidRPr="00000000" w14:paraId="000000BB">
            <w:pPr>
              <w:ind w:left="0" w:right="-88.70078740157425" w:firstLine="0"/>
              <w:rPr>
                <w:rFonts w:ascii="Calibri" w:cs="Calibri" w:eastAsia="Calibri" w:hAnsi="Calibri"/>
                <w:b w:val="1"/>
                <w:color w:val="1f3864"/>
                <w:sz w:val="20"/>
                <w:szCs w:val="20"/>
              </w:rPr>
            </w:pPr>
            <w:r w:rsidDel="00000000" w:rsidR="00000000" w:rsidRPr="00000000">
              <w:rPr>
                <w:rtl w:val="0"/>
              </w:rPr>
            </w:r>
          </w:p>
        </w:tc>
        <w:tc>
          <w:tcPr>
            <w:vAlign w:val="center"/>
          </w:tcPr>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Collaborating with the project team to ensure a secure transition to AWS</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Assisting in the migration of systems and data to the cloud environment</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Configuring and managing the Windows Server 2019 Active Directory server</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Supporting the setup and configuration of the Amazon Linux 2 web server</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Providing technical assistance during the transition phase</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3.4645669291342" w:right="-88.70078740157425" w:hanging="283.4645669291342"/>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Ensuring the smooth operation of the server infrastructure in the cloud environment</w:t>
            </w:r>
            <w:r w:rsidDel="00000000" w:rsidR="00000000" w:rsidRPr="00000000">
              <w:rPr>
                <w:rtl w:val="0"/>
              </w:rPr>
            </w:r>
          </w:p>
        </w:tc>
      </w:tr>
    </w:tbl>
    <w:p w:rsidR="00000000" w:rsidDel="00000000" w:rsidP="00000000" w:rsidRDefault="00000000" w:rsidRPr="00000000" w14:paraId="000000C2">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C3">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C4">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C5">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C6">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C7">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C8">
      <w:pPr>
        <w:widowControl w:val="0"/>
        <w:spacing w:after="0" w:line="240" w:lineRule="auto"/>
        <w:rPr>
          <w:b w:val="1"/>
          <w:color w:val="8eaadb"/>
          <w:sz w:val="28"/>
          <w:szCs w:val="28"/>
        </w:rPr>
      </w:pPr>
      <w:r w:rsidDel="00000000" w:rsidR="00000000" w:rsidRPr="00000000">
        <w:rPr>
          <w:rtl w:val="0"/>
        </w:rPr>
      </w:r>
    </w:p>
    <w:tbl>
      <w:tblPr>
        <w:tblStyle w:val="Table13"/>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00"/>
        <w:gridCol w:w="1700"/>
        <w:gridCol w:w="1700"/>
        <w:gridCol w:w="1700"/>
        <w:gridCol w:w="1880"/>
        <w:tblGridChange w:id="0">
          <w:tblGrid>
            <w:gridCol w:w="1800"/>
            <w:gridCol w:w="1700"/>
            <w:gridCol w:w="1700"/>
            <w:gridCol w:w="1700"/>
            <w:gridCol w:w="1700"/>
            <w:gridCol w:w="1880"/>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C9">
            <w:pPr>
              <w:widowControl w:val="0"/>
              <w:spacing w:after="0" w:line="240" w:lineRule="auto"/>
              <w:rPr>
                <w:b w:val="1"/>
              </w:rPr>
            </w:pPr>
            <w:bookmarkStart w:colFirst="0" w:colLast="0" w:name="_gjdgxs" w:id="0"/>
            <w:bookmarkEnd w:id="0"/>
            <w:r w:rsidDel="00000000" w:rsidR="00000000" w:rsidRPr="00000000">
              <w:rPr>
                <w:b w:val="1"/>
                <w:rtl w:val="0"/>
              </w:rPr>
              <w:t xml:space="preserve">Deliverables and Processes Subject to Quality Review</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566.9291338582677" w:right="-607.7952755905511" w:firstLine="0"/>
        <w:jc w:val="left"/>
        <w:rPr>
          <w:color w:val="1f3864"/>
        </w:rPr>
      </w:pPr>
      <w:r w:rsidDel="00000000" w:rsidR="00000000" w:rsidRPr="00000000">
        <w:rPr>
          <w:i w:val="0"/>
          <w:smallCaps w:val="0"/>
          <w:strike w:val="0"/>
          <w:color w:val="1f3864"/>
          <w:u w:val="none"/>
          <w:shd w:fill="auto" w:val="clear"/>
          <w:vertAlign w:val="baseline"/>
          <w:rtl w:val="0"/>
        </w:rPr>
        <w:t xml:space="preserve">The following deliverables undergo a quality review to ensure they meet the specified quality standards and requirements. In the context of the SecureNET AWS CyberShift Initiative project, the following deliverables and processes are subject to quality review:</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607.7952755905511" w:firstLine="0"/>
        <w:jc w:val="left"/>
        <w:rPr>
          <w:color w:val="1f3864"/>
          <w:sz w:val="20"/>
          <w:szCs w:val="20"/>
        </w:rPr>
      </w:pPr>
      <w:r w:rsidDel="00000000" w:rsidR="00000000" w:rsidRPr="00000000">
        <w:rPr>
          <w:rtl w:val="0"/>
        </w:rPr>
      </w:r>
    </w:p>
    <w:tbl>
      <w:tblPr>
        <w:tblStyle w:val="Table14"/>
        <w:tblW w:w="10335.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7875"/>
        <w:tblGridChange w:id="0">
          <w:tblGrid>
            <w:gridCol w:w="2460"/>
            <w:gridCol w:w="7875"/>
          </w:tblGrid>
        </w:tblGridChange>
      </w:tblGrid>
      <w:tr>
        <w:trPr>
          <w:cantSplit w:val="0"/>
          <w:tblHeader w:val="0"/>
        </w:trPr>
        <w:tc>
          <w:tcPr>
            <w:shd w:fill="76a5af" w:val="clear"/>
          </w:tcPr>
          <w:p w:rsidR="00000000" w:rsidDel="00000000" w:rsidP="00000000" w:rsidRDefault="00000000" w:rsidRPr="00000000" w14:paraId="000000D1">
            <w:pPr>
              <w:ind w:left="0" w:right="14.173228346456881" w:firstLine="0"/>
              <w:jc w:val="center"/>
              <w:rPr>
                <w:b w:val="1"/>
                <w:sz w:val="26"/>
                <w:szCs w:val="26"/>
              </w:rPr>
            </w:pPr>
            <w:r w:rsidDel="00000000" w:rsidR="00000000" w:rsidRPr="00000000">
              <w:rPr>
                <w:b w:val="1"/>
                <w:sz w:val="26"/>
                <w:szCs w:val="26"/>
                <w:rtl w:val="0"/>
              </w:rPr>
              <w:t xml:space="preserve">Deliverables</w:t>
            </w:r>
          </w:p>
        </w:tc>
        <w:tc>
          <w:tcPr>
            <w:shd w:fill="76a5af" w:val="clear"/>
          </w:tcPr>
          <w:p w:rsidR="00000000" w:rsidDel="00000000" w:rsidP="00000000" w:rsidRDefault="00000000" w:rsidRPr="00000000" w14:paraId="000000D2">
            <w:pPr>
              <w:ind w:left="0" w:right="14.173228346456881" w:firstLine="0"/>
              <w:jc w:val="center"/>
              <w:rPr>
                <w:b w:val="1"/>
                <w:sz w:val="26"/>
                <w:szCs w:val="26"/>
              </w:rPr>
            </w:pPr>
            <w:r w:rsidDel="00000000" w:rsidR="00000000" w:rsidRPr="00000000">
              <w:rPr>
                <w:b w:val="1"/>
                <w:sz w:val="26"/>
                <w:szCs w:val="26"/>
                <w:rtl w:val="0"/>
              </w:rPr>
              <w:t xml:space="preserve">Processes</w:t>
            </w:r>
          </w:p>
        </w:tc>
      </w:tr>
      <w:tr>
        <w:trPr>
          <w:cantSplit w:val="0"/>
          <w:tblHeader w:val="0"/>
        </w:trPr>
        <w:tc>
          <w:tcPr>
            <w:vAlign w:val="center"/>
          </w:tcPr>
          <w:p w:rsidR="00000000" w:rsidDel="00000000" w:rsidP="00000000" w:rsidRDefault="00000000" w:rsidRPr="00000000" w14:paraId="000000D3">
            <w:pPr>
              <w:ind w:left="0" w:right="14.173228346456881" w:firstLine="0"/>
              <w:rPr>
                <w:b w:val="1"/>
                <w:color w:val="8eaadb"/>
                <w:sz w:val="28"/>
                <w:szCs w:val="28"/>
              </w:rPr>
            </w:pPr>
            <w:r w:rsidDel="00000000" w:rsidR="00000000" w:rsidRPr="00000000">
              <w:rPr>
                <w:rFonts w:ascii="Calibri" w:cs="Calibri" w:eastAsia="Calibri" w:hAnsi="Calibri"/>
                <w:b w:val="1"/>
                <w:color w:val="1f3864"/>
                <w:sz w:val="20"/>
                <w:szCs w:val="20"/>
                <w:rtl w:val="0"/>
              </w:rPr>
              <w:t xml:space="preserve">Design and Implementation Documentation</w:t>
            </w:r>
            <w:r w:rsidDel="00000000" w:rsidR="00000000" w:rsidRPr="00000000">
              <w:rPr>
                <w:rtl w:val="0"/>
              </w:rPr>
            </w:r>
          </w:p>
        </w:tc>
        <w:tc>
          <w:tcPr>
            <w:vAlign w:val="center"/>
          </w:tcPr>
          <w:p w:rsidR="00000000" w:rsidDel="00000000" w:rsidP="00000000" w:rsidRDefault="00000000" w:rsidRPr="00000000" w14:paraId="000000D4">
            <w:pPr>
              <w:numPr>
                <w:ilvl w:val="0"/>
                <w:numId w:val="11"/>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Documents used in the creation of the safe Amazon AWS cloud environment</w:t>
            </w:r>
          </w:p>
          <w:p w:rsidR="00000000" w:rsidDel="00000000" w:rsidP="00000000" w:rsidRDefault="00000000" w:rsidRPr="00000000" w14:paraId="000000D5">
            <w:pPr>
              <w:numPr>
                <w:ilvl w:val="0"/>
                <w:numId w:val="11"/>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Configuration guidelines for servers, network infrastructure, and security measures.</w:t>
            </w:r>
          </w:p>
          <w:p w:rsidR="00000000" w:rsidDel="00000000" w:rsidP="00000000" w:rsidRDefault="00000000" w:rsidRPr="00000000" w14:paraId="000000D6">
            <w:pPr>
              <w:numPr>
                <w:ilvl w:val="0"/>
                <w:numId w:val="11"/>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A thorough migration plan outlining the procedures and due dates for moving Active Directory and the online store.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7">
            <w:pPr>
              <w:pStyle w:val="Heading3"/>
              <w:tabs>
                <w:tab w:val="right" w:leader="none" w:pos="2490"/>
              </w:tabs>
              <w:spacing w:before="47" w:lineRule="auto"/>
              <w:ind w:left="0" w:right="14.173228346456881" w:firstLine="0"/>
              <w:rPr>
                <w:b w:val="1"/>
                <w:sz w:val="20"/>
                <w:szCs w:val="20"/>
              </w:rPr>
            </w:pPr>
            <w:r w:rsidDel="00000000" w:rsidR="00000000" w:rsidRPr="00000000">
              <w:rPr>
                <w:b w:val="1"/>
                <w:sz w:val="20"/>
                <w:szCs w:val="20"/>
                <w:rtl w:val="0"/>
              </w:rPr>
              <w:t xml:space="preserve">Security Measures and Controls:</w:t>
            </w:r>
          </w:p>
          <w:p w:rsidR="00000000" w:rsidDel="00000000" w:rsidP="00000000" w:rsidRDefault="00000000" w:rsidRPr="00000000" w14:paraId="000000D8">
            <w:pPr>
              <w:ind w:left="0" w:right="14.173228346456881" w:firstLine="0"/>
              <w:rPr>
                <w:b w:val="1"/>
                <w:color w:val="8eaadb"/>
                <w:sz w:val="28"/>
                <w:szCs w:val="28"/>
              </w:rPr>
            </w:pPr>
            <w:r w:rsidDel="00000000" w:rsidR="00000000" w:rsidRPr="00000000">
              <w:rPr>
                <w:rtl w:val="0"/>
              </w:rPr>
            </w:r>
          </w:p>
        </w:tc>
        <w:tc>
          <w:tcPr>
            <w:vAlign w:val="center"/>
          </w:tcPr>
          <w:p w:rsidR="00000000" w:rsidDel="00000000" w:rsidP="00000000" w:rsidRDefault="00000000" w:rsidRPr="00000000" w14:paraId="000000D9">
            <w:pPr>
              <w:numPr>
                <w:ilvl w:val="0"/>
                <w:numId w:val="1"/>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Configure protocols for user authentication and authorisation</w:t>
            </w:r>
          </w:p>
          <w:p w:rsidR="00000000" w:rsidDel="00000000" w:rsidP="00000000" w:rsidRDefault="00000000" w:rsidRPr="00000000" w14:paraId="000000DA">
            <w:pPr>
              <w:numPr>
                <w:ilvl w:val="0"/>
                <w:numId w:val="1"/>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Provide mechanisms for both data in transit and data at rest being encrypted.</w:t>
            </w:r>
          </w:p>
          <w:p w:rsidR="00000000" w:rsidDel="00000000" w:rsidP="00000000" w:rsidRDefault="00000000" w:rsidRPr="00000000" w14:paraId="000000DB">
            <w:pPr>
              <w:numPr>
                <w:ilvl w:val="0"/>
                <w:numId w:val="1"/>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Implement Firewalls and intrusion detection and prevention systems (IDPS).</w:t>
            </w:r>
          </w:p>
          <w:p w:rsidR="00000000" w:rsidDel="00000000" w:rsidP="00000000" w:rsidRDefault="00000000" w:rsidRPr="00000000" w14:paraId="000000DC">
            <w:pPr>
              <w:numPr>
                <w:ilvl w:val="0"/>
                <w:numId w:val="1"/>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Create procedures for handling security incidents.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D">
            <w:pPr>
              <w:pStyle w:val="Heading3"/>
              <w:tabs>
                <w:tab w:val="right" w:leader="none" w:pos="2490"/>
              </w:tabs>
              <w:spacing w:before="47" w:lineRule="auto"/>
              <w:ind w:left="0" w:right="14.173228346456881" w:firstLine="0"/>
              <w:rPr>
                <w:b w:val="1"/>
                <w:sz w:val="20"/>
                <w:szCs w:val="20"/>
              </w:rPr>
            </w:pPr>
            <w:r w:rsidDel="00000000" w:rsidR="00000000" w:rsidRPr="00000000">
              <w:rPr>
                <w:b w:val="1"/>
                <w:sz w:val="20"/>
                <w:szCs w:val="20"/>
                <w:rtl w:val="0"/>
              </w:rPr>
              <w:t xml:space="preserve">Testing and Validation:</w:t>
            </w:r>
          </w:p>
          <w:p w:rsidR="00000000" w:rsidDel="00000000" w:rsidP="00000000" w:rsidRDefault="00000000" w:rsidRPr="00000000" w14:paraId="000000DE">
            <w:pPr>
              <w:ind w:left="0" w:right="14.173228346456881" w:firstLine="0"/>
              <w:rPr>
                <w:b w:val="1"/>
                <w:color w:val="8eaadb"/>
                <w:sz w:val="28"/>
                <w:szCs w:val="28"/>
              </w:rPr>
            </w:pPr>
            <w:r w:rsidDel="00000000" w:rsidR="00000000" w:rsidRPr="00000000">
              <w:rPr>
                <w:rtl w:val="0"/>
              </w:rPr>
            </w:r>
          </w:p>
        </w:tc>
        <w:tc>
          <w:tcPr>
            <w:vAlign w:val="center"/>
          </w:tcPr>
          <w:p w:rsidR="00000000" w:rsidDel="00000000" w:rsidP="00000000" w:rsidRDefault="00000000" w:rsidRPr="00000000" w14:paraId="000000DF">
            <w:pPr>
              <w:numPr>
                <w:ilvl w:val="0"/>
                <w:numId w:val="5"/>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Test and validate the AWS cloud infrastructure for functionality, performance and security.</w:t>
            </w:r>
          </w:p>
          <w:p w:rsidR="00000000" w:rsidDel="00000000" w:rsidP="00000000" w:rsidRDefault="00000000" w:rsidRPr="00000000" w14:paraId="000000E0">
            <w:pPr>
              <w:numPr>
                <w:ilvl w:val="0"/>
                <w:numId w:val="5"/>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Gather results from vulnerability testing and penetration testing</w:t>
            </w:r>
          </w:p>
          <w:p w:rsidR="00000000" w:rsidDel="00000000" w:rsidP="00000000" w:rsidRDefault="00000000" w:rsidRPr="00000000" w14:paraId="000000E1">
            <w:pPr>
              <w:numPr>
                <w:ilvl w:val="0"/>
                <w:numId w:val="5"/>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Validate data migration and data integrity</w:t>
            </w:r>
          </w:p>
        </w:tc>
      </w:tr>
      <w:tr>
        <w:trPr>
          <w:cantSplit w:val="0"/>
          <w:tblHeader w:val="0"/>
        </w:trPr>
        <w:tc>
          <w:tcPr>
            <w:vAlign w:val="center"/>
          </w:tcPr>
          <w:p w:rsidR="00000000" w:rsidDel="00000000" w:rsidP="00000000" w:rsidRDefault="00000000" w:rsidRPr="00000000" w14:paraId="000000E2">
            <w:pPr>
              <w:pStyle w:val="Heading3"/>
              <w:tabs>
                <w:tab w:val="right" w:leader="none" w:pos="2490"/>
              </w:tabs>
              <w:spacing w:before="47" w:lineRule="auto"/>
              <w:ind w:left="0" w:right="14.173228346456881" w:firstLine="0"/>
              <w:rPr>
                <w:b w:val="1"/>
                <w:sz w:val="20"/>
                <w:szCs w:val="20"/>
              </w:rPr>
            </w:pPr>
            <w:r w:rsidDel="00000000" w:rsidR="00000000" w:rsidRPr="00000000">
              <w:rPr>
                <w:b w:val="1"/>
                <w:sz w:val="20"/>
                <w:szCs w:val="20"/>
                <w:rtl w:val="0"/>
              </w:rPr>
              <w:t xml:space="preserve">Compliance:</w:t>
            </w:r>
          </w:p>
        </w:tc>
        <w:tc>
          <w:tcPr>
            <w:vAlign w:val="center"/>
          </w:tcPr>
          <w:p w:rsidR="00000000" w:rsidDel="00000000" w:rsidP="00000000" w:rsidRDefault="00000000" w:rsidRPr="00000000" w14:paraId="000000E3">
            <w:pPr>
              <w:numPr>
                <w:ilvl w:val="0"/>
                <w:numId w:val="3"/>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Provide documentation to demonstrate compliance with relevant regulations and data protection and privacy laws</w:t>
            </w:r>
          </w:p>
          <w:p w:rsidR="00000000" w:rsidDel="00000000" w:rsidP="00000000" w:rsidRDefault="00000000" w:rsidRPr="00000000" w14:paraId="000000E4">
            <w:pPr>
              <w:numPr>
                <w:ilvl w:val="0"/>
                <w:numId w:val="3"/>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Document adherence to industry standards such as Iso 27001 – Information Security Management</w:t>
            </w:r>
          </w:p>
          <w:p w:rsidR="00000000" w:rsidDel="00000000" w:rsidP="00000000" w:rsidRDefault="00000000" w:rsidRPr="00000000" w14:paraId="000000E5">
            <w:pPr>
              <w:numPr>
                <w:ilvl w:val="0"/>
                <w:numId w:val="3"/>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Provide audit reports and compliance assessments.</w:t>
            </w:r>
          </w:p>
        </w:tc>
      </w:tr>
      <w:tr>
        <w:trPr>
          <w:cantSplit w:val="0"/>
          <w:tblHeader w:val="0"/>
        </w:trPr>
        <w:tc>
          <w:tcPr>
            <w:vAlign w:val="center"/>
          </w:tcPr>
          <w:p w:rsidR="00000000" w:rsidDel="00000000" w:rsidP="00000000" w:rsidRDefault="00000000" w:rsidRPr="00000000" w14:paraId="000000E6">
            <w:pPr>
              <w:pStyle w:val="Heading3"/>
              <w:tabs>
                <w:tab w:val="right" w:leader="none" w:pos="2490"/>
              </w:tabs>
              <w:spacing w:before="47" w:lineRule="auto"/>
              <w:ind w:left="0" w:right="14.173228346456881" w:firstLine="0"/>
              <w:rPr>
                <w:b w:val="1"/>
                <w:sz w:val="20"/>
                <w:szCs w:val="20"/>
              </w:rPr>
            </w:pPr>
            <w:r w:rsidDel="00000000" w:rsidR="00000000" w:rsidRPr="00000000">
              <w:rPr>
                <w:b w:val="1"/>
                <w:sz w:val="20"/>
                <w:szCs w:val="20"/>
                <w:rtl w:val="0"/>
              </w:rPr>
              <w:t xml:space="preserve">Incident Response Plan:</w:t>
            </w:r>
          </w:p>
          <w:p w:rsidR="00000000" w:rsidDel="00000000" w:rsidP="00000000" w:rsidRDefault="00000000" w:rsidRPr="00000000" w14:paraId="000000E7">
            <w:pPr>
              <w:pStyle w:val="Heading3"/>
              <w:tabs>
                <w:tab w:val="right" w:leader="none" w:pos="2490"/>
              </w:tabs>
              <w:spacing w:before="47" w:lineRule="auto"/>
              <w:ind w:left="0" w:right="14.173228346456881" w:firstLine="0"/>
              <w:rPr>
                <w:b w:val="1"/>
                <w:sz w:val="20"/>
                <w:szCs w:val="20"/>
              </w:rPr>
            </w:pPr>
            <w:r w:rsidDel="00000000" w:rsidR="00000000" w:rsidRPr="00000000">
              <w:rPr>
                <w:rtl w:val="0"/>
              </w:rPr>
            </w:r>
          </w:p>
        </w:tc>
        <w:tc>
          <w:tcPr>
            <w:vAlign w:val="center"/>
          </w:tcPr>
          <w:p w:rsidR="00000000" w:rsidDel="00000000" w:rsidP="00000000" w:rsidRDefault="00000000" w:rsidRPr="00000000" w14:paraId="000000E8">
            <w:pPr>
              <w:numPr>
                <w:ilvl w:val="0"/>
                <w:numId w:val="7"/>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Provide an incident response plan stating the processes to be followed in case of a security issue.</w:t>
            </w:r>
          </w:p>
          <w:p w:rsidR="00000000" w:rsidDel="00000000" w:rsidP="00000000" w:rsidRDefault="00000000" w:rsidRPr="00000000" w14:paraId="000000E9">
            <w:pPr>
              <w:numPr>
                <w:ilvl w:val="0"/>
                <w:numId w:val="7"/>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Document records of security occurrences, including as logs, reports, and post-incident analyses.</w:t>
            </w:r>
          </w:p>
          <w:p w:rsidR="00000000" w:rsidDel="00000000" w:rsidP="00000000" w:rsidRDefault="00000000" w:rsidRPr="00000000" w14:paraId="000000EA">
            <w:pPr>
              <w:numPr>
                <w:ilvl w:val="0"/>
                <w:numId w:val="7"/>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Document proof of incident identification, reaction, containment, and resolution.</w:t>
            </w:r>
          </w:p>
        </w:tc>
      </w:tr>
      <w:tr>
        <w:trPr>
          <w:cantSplit w:val="0"/>
          <w:tblHeader w:val="0"/>
        </w:trPr>
        <w:tc>
          <w:tcPr>
            <w:vAlign w:val="center"/>
          </w:tcPr>
          <w:p w:rsidR="00000000" w:rsidDel="00000000" w:rsidP="00000000" w:rsidRDefault="00000000" w:rsidRPr="00000000" w14:paraId="000000EB">
            <w:pPr>
              <w:pStyle w:val="Heading3"/>
              <w:tabs>
                <w:tab w:val="right" w:leader="none" w:pos="2490"/>
              </w:tabs>
              <w:spacing w:before="47" w:lineRule="auto"/>
              <w:ind w:left="0" w:right="14.173228346456881" w:firstLine="0"/>
              <w:rPr>
                <w:b w:val="1"/>
                <w:sz w:val="20"/>
                <w:szCs w:val="20"/>
              </w:rPr>
            </w:pPr>
            <w:r w:rsidDel="00000000" w:rsidR="00000000" w:rsidRPr="00000000">
              <w:rPr>
                <w:b w:val="1"/>
                <w:sz w:val="20"/>
                <w:szCs w:val="20"/>
                <w:rtl w:val="0"/>
              </w:rPr>
              <w:t xml:space="preserve">Change Management:</w:t>
            </w:r>
          </w:p>
        </w:tc>
        <w:tc>
          <w:tcPr>
            <w:vAlign w:val="center"/>
          </w:tcPr>
          <w:p w:rsidR="00000000" w:rsidDel="00000000" w:rsidP="00000000" w:rsidRDefault="00000000" w:rsidRPr="00000000" w14:paraId="000000EC">
            <w:pPr>
              <w:numPr>
                <w:ilvl w:val="0"/>
                <w:numId w:val="9"/>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Documentation of change requests, including change descriptions, justifications, and impact assessments.</w:t>
            </w:r>
          </w:p>
          <w:p w:rsidR="00000000" w:rsidDel="00000000" w:rsidP="00000000" w:rsidRDefault="00000000" w:rsidRPr="00000000" w14:paraId="000000ED">
            <w:pPr>
              <w:numPr>
                <w:ilvl w:val="0"/>
                <w:numId w:val="9"/>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Change implementation plans and records of change execution.</w:t>
            </w:r>
          </w:p>
          <w:p w:rsidR="00000000" w:rsidDel="00000000" w:rsidP="00000000" w:rsidRDefault="00000000" w:rsidRPr="00000000" w14:paraId="000000EE">
            <w:pPr>
              <w:numPr>
                <w:ilvl w:val="0"/>
                <w:numId w:val="9"/>
              </w:numPr>
              <w:ind w:left="425.19685039370046" w:right="14.173228346456881" w:hanging="283.46456692913335"/>
              <w:rPr>
                <w:rFonts w:ascii="Calibri" w:cs="Calibri" w:eastAsia="Calibri" w:hAnsi="Calibri"/>
                <w:color w:val="1f3864"/>
                <w:sz w:val="20"/>
                <w:szCs w:val="20"/>
                <w:u w:val="none"/>
              </w:rPr>
            </w:pPr>
            <w:r w:rsidDel="00000000" w:rsidR="00000000" w:rsidRPr="00000000">
              <w:rPr>
                <w:rFonts w:ascii="Calibri" w:cs="Calibri" w:eastAsia="Calibri" w:hAnsi="Calibri"/>
                <w:color w:val="1f3864"/>
                <w:sz w:val="20"/>
                <w:szCs w:val="20"/>
                <w:rtl w:val="0"/>
              </w:rPr>
              <w:t xml:space="preserve">Reviews and approvals of changes by the appropriate stakeholders.</w:t>
            </w:r>
          </w:p>
        </w:tc>
      </w:tr>
    </w:tbl>
    <w:p w:rsidR="00000000" w:rsidDel="00000000" w:rsidP="00000000" w:rsidRDefault="00000000" w:rsidRPr="00000000" w14:paraId="000000EF">
      <w:pPr>
        <w:widowControl w:val="0"/>
        <w:spacing w:after="0" w:line="240" w:lineRule="auto"/>
        <w:rPr>
          <w:b w:val="1"/>
          <w:color w:val="8eaadb"/>
          <w:sz w:val="28"/>
          <w:szCs w:val="28"/>
        </w:rPr>
      </w:pPr>
      <w:r w:rsidDel="00000000" w:rsidR="00000000" w:rsidRPr="00000000">
        <w:rPr>
          <w:rtl w:val="0"/>
        </w:rPr>
      </w:r>
    </w:p>
    <w:p w:rsidR="00000000" w:rsidDel="00000000" w:rsidP="00000000" w:rsidRDefault="00000000" w:rsidRPr="00000000" w14:paraId="000000F0">
      <w:pPr>
        <w:widowControl w:val="0"/>
        <w:spacing w:after="0" w:line="240" w:lineRule="auto"/>
        <w:rPr>
          <w:b w:val="1"/>
          <w:color w:val="8eaadb"/>
          <w:sz w:val="28"/>
          <w:szCs w:val="28"/>
        </w:rPr>
      </w:pPr>
      <w:r w:rsidDel="00000000" w:rsidR="00000000" w:rsidRPr="00000000">
        <w:rPr>
          <w:rtl w:val="0"/>
        </w:rPr>
      </w:r>
    </w:p>
    <w:tbl>
      <w:tblPr>
        <w:tblStyle w:val="Table15"/>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00"/>
        <w:gridCol w:w="1700"/>
        <w:gridCol w:w="1700"/>
        <w:gridCol w:w="1700"/>
        <w:gridCol w:w="1880"/>
        <w:tblGridChange w:id="0">
          <w:tblGrid>
            <w:gridCol w:w="1800"/>
            <w:gridCol w:w="1700"/>
            <w:gridCol w:w="1700"/>
            <w:gridCol w:w="1700"/>
            <w:gridCol w:w="1700"/>
            <w:gridCol w:w="1880"/>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F1">
            <w:pPr>
              <w:widowControl w:val="0"/>
              <w:spacing w:after="0" w:line="240" w:lineRule="auto"/>
              <w:rPr>
                <w:b w:val="1"/>
              </w:rPr>
            </w:pPr>
            <w:bookmarkStart w:colFirst="0" w:colLast="0" w:name="_gjdgxs" w:id="0"/>
            <w:bookmarkEnd w:id="0"/>
            <w:r w:rsidDel="00000000" w:rsidR="00000000" w:rsidRPr="00000000">
              <w:rPr>
                <w:b w:val="1"/>
                <w:rtl w:val="0"/>
              </w:rPr>
              <w:t xml:space="preserve">Quality Management Approach</w:t>
            </w:r>
          </w:p>
        </w:tc>
      </w:tr>
    </w:tbl>
    <w:p w:rsidR="00000000" w:rsidDel="00000000" w:rsidP="00000000" w:rsidRDefault="00000000" w:rsidRPr="00000000" w14:paraId="000000F7">
      <w:pPr>
        <w:spacing w:after="0" w:lineRule="auto"/>
        <w:ind w:left="-566.9291338582677" w:right="-607.7952755905511" w:firstLine="0"/>
        <w:rPr>
          <w:b w:val="1"/>
          <w:color w:val="8eaadb"/>
        </w:rPr>
      </w:pPr>
      <w:r w:rsidDel="00000000" w:rsidR="00000000" w:rsidRPr="00000000">
        <w:rPr>
          <w:rtl w:val="0"/>
        </w:rPr>
      </w:r>
    </w:p>
    <w:p w:rsidR="00000000" w:rsidDel="00000000" w:rsidP="00000000" w:rsidRDefault="00000000" w:rsidRPr="00000000" w14:paraId="000000F8">
      <w:pPr>
        <w:ind w:left="-566.9291338582677" w:right="-607.7952755905511"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The migration of OzCasual's e-commerce website and Active Directory to the Amazon AWS cloud environment is ensured to achieve the stated quality objectives due to the quality management strategy for the SecureNET AWS CyberShift Initiative project.</w:t>
        <w:br w:type="textWrapping"/>
        <w:br w:type="textWrapping"/>
        <w:t xml:space="preserve">The strategy entails planning, establishing quality goals, carrying out activities for quality assurance and control, documenting and reporting, managing risks, and pursuing continuous improvement. At appropriate checkpoints throughout the AWS CyberShift </w:t>
      </w:r>
      <w:r w:rsidDel="00000000" w:rsidR="00000000" w:rsidRPr="00000000">
        <w:rPr>
          <w:color w:val="1f3864"/>
          <w:rtl w:val="0"/>
        </w:rPr>
        <w:t xml:space="preserve">Initiative</w:t>
      </w:r>
      <w:r w:rsidDel="00000000" w:rsidR="00000000" w:rsidRPr="00000000">
        <w:rPr>
          <w:rFonts w:ascii="Calibri" w:cs="Calibri" w:eastAsia="Calibri" w:hAnsi="Calibri"/>
          <w:color w:val="1f3864"/>
          <w:rtl w:val="0"/>
        </w:rPr>
        <w:t xml:space="preserve">, project and product quality audits are planned to evaluate adherence to quality standards and criteria, track development, and pinpoint opportunities for improvement. </w:t>
      </w:r>
    </w:p>
    <w:p w:rsidR="00000000" w:rsidDel="00000000" w:rsidP="00000000" w:rsidRDefault="00000000" w:rsidRPr="00000000" w14:paraId="000000F9">
      <w:pPr>
        <w:ind w:left="-566.9291338582677" w:right="-607.7952755905511"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These audits help to guarantee that the migration process is in line with the established quality objectives and offer insightful information about the project's quality state.</w:t>
      </w:r>
    </w:p>
    <w:p w:rsidR="00000000" w:rsidDel="00000000" w:rsidP="00000000" w:rsidRDefault="00000000" w:rsidRPr="00000000" w14:paraId="000000FA">
      <w:pPr>
        <w:ind w:left="-566.9291338582677" w:right="-607.7952755905511" w:firstLine="0"/>
        <w:rPr>
          <w:b w:val="1"/>
          <w:color w:val="8eaadb"/>
          <w:sz w:val="28"/>
          <w:szCs w:val="28"/>
        </w:rPr>
      </w:pPr>
      <w:r w:rsidDel="00000000" w:rsidR="00000000" w:rsidRPr="00000000">
        <w:rPr>
          <w:rtl w:val="0"/>
        </w:rPr>
      </w:r>
    </w:p>
    <w:p w:rsidR="00000000" w:rsidDel="00000000" w:rsidP="00000000" w:rsidRDefault="00000000" w:rsidRPr="00000000" w14:paraId="000000FB">
      <w:pPr>
        <w:widowControl w:val="0"/>
        <w:spacing w:after="0" w:line="240" w:lineRule="auto"/>
        <w:rPr>
          <w:b w:val="1"/>
          <w:color w:val="8eaadb"/>
          <w:sz w:val="28"/>
          <w:szCs w:val="28"/>
        </w:rPr>
      </w:pPr>
      <w:r w:rsidDel="00000000" w:rsidR="00000000" w:rsidRPr="00000000">
        <w:rPr>
          <w:rtl w:val="0"/>
        </w:rPr>
      </w:r>
    </w:p>
    <w:tbl>
      <w:tblPr>
        <w:tblStyle w:val="Table16"/>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00"/>
        <w:gridCol w:w="1700"/>
        <w:gridCol w:w="1700"/>
        <w:gridCol w:w="1700"/>
        <w:gridCol w:w="1880"/>
        <w:tblGridChange w:id="0">
          <w:tblGrid>
            <w:gridCol w:w="1800"/>
            <w:gridCol w:w="1700"/>
            <w:gridCol w:w="1700"/>
            <w:gridCol w:w="1700"/>
            <w:gridCol w:w="1700"/>
            <w:gridCol w:w="1880"/>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FC">
            <w:pPr>
              <w:widowControl w:val="0"/>
              <w:spacing w:after="0" w:line="240" w:lineRule="auto"/>
              <w:rPr>
                <w:b w:val="1"/>
              </w:rPr>
            </w:pPr>
            <w:bookmarkStart w:colFirst="0" w:colLast="0" w:name="_gjdgxs" w:id="0"/>
            <w:bookmarkEnd w:id="0"/>
            <w:r w:rsidDel="00000000" w:rsidR="00000000" w:rsidRPr="00000000">
              <w:rPr>
                <w:b w:val="1"/>
                <w:rtl w:val="0"/>
              </w:rPr>
              <w:t xml:space="preserve">Quality Control Approach</w:t>
            </w:r>
          </w:p>
        </w:tc>
      </w:tr>
    </w:tbl>
    <w:p w:rsidR="00000000" w:rsidDel="00000000" w:rsidP="00000000" w:rsidRDefault="00000000" w:rsidRPr="00000000" w14:paraId="00000102">
      <w:pPr>
        <w:spacing w:after="0" w:lineRule="auto"/>
        <w:ind w:left="-566.9291338582677" w:right="-607.7952755905511" w:firstLine="0"/>
        <w:rPr>
          <w:b w:val="1"/>
          <w:color w:val="8eaadb"/>
          <w:sz w:val="20"/>
          <w:szCs w:val="20"/>
        </w:rPr>
      </w:pPr>
      <w:r w:rsidDel="00000000" w:rsidR="00000000" w:rsidRPr="00000000">
        <w:rPr>
          <w:rtl w:val="0"/>
        </w:rPr>
      </w:r>
    </w:p>
    <w:p w:rsidR="00000000" w:rsidDel="00000000" w:rsidP="00000000" w:rsidRDefault="00000000" w:rsidRPr="00000000" w14:paraId="00000103">
      <w:pPr>
        <w:ind w:left="-566.9291338582677" w:right="-607.7952755905511"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The quality management approach includes testing and verification procedures to identify and resolve any quality issues in the cloud environment. This is achieved by conducting regular testing, to ensure the proper operation, performance, and security of the system. </w:t>
      </w:r>
    </w:p>
    <w:p w:rsidR="00000000" w:rsidDel="00000000" w:rsidP="00000000" w:rsidRDefault="00000000" w:rsidRPr="00000000" w14:paraId="00000104">
      <w:pPr>
        <w:ind w:left="-566.9291338582677" w:right="-607.7952755905511"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SecureNET will implement continuous monitoring techniques to track system activity, security incidents, and compliance. Incident response procedures are regularly tested through drills and exercises to ensure their effectiveness in identifying, addressing, and mitigating security incidents. </w:t>
      </w:r>
    </w:p>
    <w:p w:rsidR="00000000" w:rsidDel="00000000" w:rsidP="00000000" w:rsidRDefault="00000000" w:rsidRPr="00000000" w14:paraId="00000105">
      <w:pPr>
        <w:ind w:left="-566.9291338582677" w:right="-607.7952755905511"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Finally, a robust change management procedure will be implemented to carefully examine the impact of any changes made to the cloud environment, for both quality and security, ensuring thorough evaluation and risk assessment.</w:t>
      </w:r>
    </w:p>
    <w:p w:rsidR="00000000" w:rsidDel="00000000" w:rsidP="00000000" w:rsidRDefault="00000000" w:rsidRPr="00000000" w14:paraId="00000106">
      <w:pPr>
        <w:ind w:left="-566.9291338582677" w:right="-607.7952755905511" w:firstLine="0"/>
        <w:rPr>
          <w:color w:val="1f3864"/>
        </w:rPr>
      </w:pPr>
      <w:r w:rsidDel="00000000" w:rsidR="00000000" w:rsidRPr="00000000">
        <w:rPr>
          <w:rtl w:val="0"/>
        </w:rPr>
      </w:r>
    </w:p>
    <w:tbl>
      <w:tblPr>
        <w:tblStyle w:val="Table17"/>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00"/>
        <w:gridCol w:w="1700"/>
        <w:gridCol w:w="1700"/>
        <w:gridCol w:w="1700"/>
        <w:gridCol w:w="1880"/>
        <w:tblGridChange w:id="0">
          <w:tblGrid>
            <w:gridCol w:w="1800"/>
            <w:gridCol w:w="1700"/>
            <w:gridCol w:w="1700"/>
            <w:gridCol w:w="1700"/>
            <w:gridCol w:w="1700"/>
            <w:gridCol w:w="1880"/>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107">
            <w:pPr>
              <w:widowControl w:val="0"/>
              <w:spacing w:after="0" w:line="240" w:lineRule="auto"/>
              <w:rPr>
                <w:b w:val="1"/>
              </w:rPr>
            </w:pPr>
            <w:bookmarkStart w:colFirst="0" w:colLast="0" w:name="_gjdgxs" w:id="0"/>
            <w:bookmarkEnd w:id="0"/>
            <w:r w:rsidDel="00000000" w:rsidR="00000000" w:rsidRPr="00000000">
              <w:rPr>
                <w:b w:val="1"/>
                <w:rtl w:val="0"/>
              </w:rPr>
              <w:t xml:space="preserve">Applicable Quality Procedures</w:t>
            </w:r>
          </w:p>
        </w:tc>
      </w:tr>
    </w:tbl>
    <w:p w:rsidR="00000000" w:rsidDel="00000000" w:rsidP="00000000" w:rsidRDefault="00000000" w:rsidRPr="00000000" w14:paraId="0000010D">
      <w:pPr>
        <w:spacing w:after="0" w:lineRule="auto"/>
        <w:ind w:left="-566.9291338582677" w:right="-607.7952755905511" w:firstLine="0"/>
        <w:rPr>
          <w:b w:val="1"/>
          <w:color w:val="8eaadb"/>
          <w:sz w:val="20"/>
          <w:szCs w:val="20"/>
        </w:rPr>
      </w:pPr>
      <w:r w:rsidDel="00000000" w:rsidR="00000000" w:rsidRPr="00000000">
        <w:rPr>
          <w:rtl w:val="0"/>
        </w:rPr>
      </w:r>
    </w:p>
    <w:p w:rsidR="00000000" w:rsidDel="00000000" w:rsidP="00000000" w:rsidRDefault="00000000" w:rsidRPr="00000000" w14:paraId="0000010E">
      <w:pPr>
        <w:ind w:left="-566.9291338582677" w:right="-607.7952755905511"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The quality management strategy includes routine audits and inspections to make sure that security standards, design principles, and best </w:t>
      </w:r>
      <w:r w:rsidDel="00000000" w:rsidR="00000000" w:rsidRPr="00000000">
        <w:rPr>
          <w:color w:val="1f3864"/>
          <w:rtl w:val="0"/>
        </w:rPr>
        <w:t xml:space="preserve">practices</w:t>
      </w:r>
      <w:r w:rsidDel="00000000" w:rsidR="00000000" w:rsidRPr="00000000">
        <w:rPr>
          <w:rFonts w:ascii="Calibri" w:cs="Calibri" w:eastAsia="Calibri" w:hAnsi="Calibri"/>
          <w:color w:val="1f3864"/>
          <w:rtl w:val="0"/>
        </w:rPr>
        <w:t xml:space="preserve"> are being followed. To ensure quality and accuracy, project documentation, design specifications, security configurations, and other deliverables are thoroughly reviewed. </w:t>
        <w:br w:type="textWrapping"/>
        <w:br w:type="textWrapping"/>
        <w:t xml:space="preserve">To find and fix any problems or vulnerabilities in the cloud infrastructure, security protocols, and data migration process, testing and validation activities will be carried out. To ensure adherence to pertinent compliance laws and best </w:t>
      </w:r>
      <w:r w:rsidDel="00000000" w:rsidR="00000000" w:rsidRPr="00000000">
        <w:rPr>
          <w:color w:val="1f3864"/>
          <w:rtl w:val="0"/>
        </w:rPr>
        <w:t xml:space="preserve">practices</w:t>
      </w:r>
      <w:r w:rsidDel="00000000" w:rsidR="00000000" w:rsidRPr="00000000">
        <w:rPr>
          <w:rFonts w:ascii="Calibri" w:cs="Calibri" w:eastAsia="Calibri" w:hAnsi="Calibri"/>
          <w:color w:val="1f3864"/>
          <w:rtl w:val="0"/>
        </w:rPr>
        <w:t xml:space="preserve">, routine reviews and audits will be carried out. These steps aid in upholding specified standards to a high degree of quality throughout the project.</w:t>
      </w:r>
    </w:p>
    <w:sectPr>
      <w:footerReference r:id="rId6" w:type="default"/>
      <w:pgSz w:h="16838" w:w="11906" w:orient="portrait"/>
      <w:pgMar w:bottom="831.3779527559075" w:top="708.661417322834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51" w:line="240" w:lineRule="auto"/>
      <w:ind w:left="2271"/>
    </w:pPr>
    <w:rPr>
      <w:rFonts w:ascii="Arial" w:cs="Arial" w:eastAsia="Arial" w:hAnsi="Arial"/>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57.0" w:type="dxa"/>
        <w:left w:w="57.0" w:type="dxa"/>
        <w:bottom w:w="57.0" w:type="dxa"/>
        <w:right w:w="57.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57.0" w:type="dxa"/>
        <w:left w:w="57.0" w:type="dxa"/>
        <w:bottom w:w="57.0" w:type="dxa"/>
        <w:right w:w="57.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