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F4D66" w14:textId="77777777" w:rsidR="00CE1B63" w:rsidRDefault="00BC4666">
      <w:pPr>
        <w:widowControl w:val="0"/>
        <w:spacing w:after="0" w:line="240" w:lineRule="auto"/>
        <w:ind w:left="-708"/>
        <w:rPr>
          <w:b/>
          <w:color w:val="434343"/>
          <w:sz w:val="44"/>
          <w:szCs w:val="44"/>
        </w:rPr>
      </w:pPr>
      <w:r>
        <w:rPr>
          <w:b/>
          <w:color w:val="434343"/>
          <w:sz w:val="44"/>
          <w:szCs w:val="44"/>
        </w:rPr>
        <w:t>RISK MANAGEMENT PLAN</w:t>
      </w:r>
    </w:p>
    <w:p w14:paraId="30E90E68" w14:textId="77777777" w:rsidR="00CE1B63" w:rsidRDefault="00CE1B63">
      <w:pPr>
        <w:widowControl w:val="0"/>
        <w:spacing w:after="0" w:line="240" w:lineRule="auto"/>
        <w:ind w:left="-708"/>
        <w:rPr>
          <w:b/>
          <w:color w:val="434343"/>
        </w:rPr>
      </w:pPr>
    </w:p>
    <w:tbl>
      <w:tblPr>
        <w:tblStyle w:val="a"/>
        <w:tblW w:w="96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50"/>
        <w:gridCol w:w="2835"/>
        <w:gridCol w:w="855"/>
        <w:gridCol w:w="1950"/>
        <w:gridCol w:w="105"/>
        <w:gridCol w:w="2205"/>
      </w:tblGrid>
      <w:tr w:rsidR="00CE1B63" w14:paraId="4BEF0602" w14:textId="77777777" w:rsidTr="00163EF0">
        <w:trPr>
          <w:trHeight w:val="362"/>
          <w:jc w:val="center"/>
        </w:trPr>
        <w:tc>
          <w:tcPr>
            <w:tcW w:w="1650" w:type="dxa"/>
            <w:tcBorders>
              <w:top w:val="single" w:sz="4" w:space="0" w:color="B7B7B7"/>
              <w:left w:val="single" w:sz="4" w:space="0" w:color="B7B7B7"/>
              <w:bottom w:val="single" w:sz="18" w:space="0" w:color="B7B7B7"/>
              <w:right w:val="single" w:sz="4" w:space="0" w:color="EFEFEF"/>
            </w:tcBorders>
            <w:shd w:val="clear" w:color="auto" w:fill="EFEFEF"/>
            <w:vAlign w:val="center"/>
          </w:tcPr>
          <w:p w14:paraId="77DA8924" w14:textId="77777777" w:rsidR="00CE1B63" w:rsidRDefault="00BC4666">
            <w:pPr>
              <w:widowControl w:val="0"/>
              <w:ind w:right="25"/>
              <w:jc w:val="right"/>
              <w:rPr>
                <w:rFonts w:ascii="Calibri" w:eastAsia="Calibri" w:hAnsi="Calibri" w:cs="Calibri"/>
                <w:sz w:val="24"/>
                <w:szCs w:val="24"/>
              </w:rPr>
            </w:pPr>
            <w:r>
              <w:rPr>
                <w:rFonts w:ascii="Calibri" w:eastAsia="Calibri" w:hAnsi="Calibri" w:cs="Calibri"/>
                <w:color w:val="231F20"/>
                <w:sz w:val="24"/>
                <w:szCs w:val="24"/>
              </w:rPr>
              <w:t>Project Title:</w:t>
            </w:r>
          </w:p>
        </w:tc>
        <w:tc>
          <w:tcPr>
            <w:tcW w:w="2835" w:type="dxa"/>
            <w:tcBorders>
              <w:top w:val="single" w:sz="4" w:space="0" w:color="B7B7B7"/>
              <w:left w:val="single" w:sz="4" w:space="0" w:color="EFEFEF"/>
              <w:bottom w:val="single" w:sz="18" w:space="0" w:color="B7B7B7"/>
              <w:right w:val="single" w:sz="4" w:space="0" w:color="B7B7B7"/>
            </w:tcBorders>
            <w:shd w:val="clear" w:color="auto" w:fill="EFEFEF"/>
            <w:vAlign w:val="center"/>
          </w:tcPr>
          <w:p w14:paraId="15CC105C" w14:textId="77777777" w:rsidR="00CE1B63" w:rsidRDefault="00BC4666">
            <w:pPr>
              <w:widowControl w:val="0"/>
              <w:rPr>
                <w:rFonts w:ascii="Calibri" w:eastAsia="Calibri" w:hAnsi="Calibri" w:cs="Calibri"/>
                <w:b/>
                <w:color w:val="1C4587"/>
                <w:sz w:val="24"/>
                <w:szCs w:val="24"/>
              </w:rPr>
            </w:pPr>
            <w:r>
              <w:rPr>
                <w:rFonts w:ascii="Calibri" w:eastAsia="Calibri" w:hAnsi="Calibri" w:cs="Calibri"/>
                <w:b/>
                <w:color w:val="1C4587"/>
                <w:sz w:val="24"/>
                <w:szCs w:val="24"/>
              </w:rPr>
              <w:t>AWS CyberShift Initiative</w:t>
            </w:r>
          </w:p>
        </w:tc>
        <w:tc>
          <w:tcPr>
            <w:tcW w:w="855" w:type="dxa"/>
            <w:tcBorders>
              <w:top w:val="nil"/>
              <w:left w:val="single" w:sz="4" w:space="0" w:color="B7B7B7"/>
              <w:bottom w:val="single" w:sz="4" w:space="0" w:color="FFFFFF"/>
              <w:right w:val="single" w:sz="8" w:space="0" w:color="B7B7B7"/>
            </w:tcBorders>
            <w:vAlign w:val="center"/>
          </w:tcPr>
          <w:p w14:paraId="509C4AA6" w14:textId="77777777" w:rsidR="00CE1B63" w:rsidRDefault="00CE1B63">
            <w:pPr>
              <w:widowControl w:val="0"/>
              <w:jc w:val="right"/>
              <w:rPr>
                <w:rFonts w:ascii="Calibri" w:eastAsia="Calibri" w:hAnsi="Calibri" w:cs="Calibri"/>
                <w:color w:val="231F20"/>
                <w:sz w:val="24"/>
                <w:szCs w:val="24"/>
              </w:rPr>
            </w:pPr>
          </w:p>
        </w:tc>
        <w:tc>
          <w:tcPr>
            <w:tcW w:w="2055" w:type="dxa"/>
            <w:gridSpan w:val="2"/>
            <w:tcBorders>
              <w:top w:val="single" w:sz="4" w:space="0" w:color="B7B7B7"/>
              <w:left w:val="single" w:sz="8" w:space="0" w:color="B7B7B7"/>
              <w:bottom w:val="single" w:sz="18" w:space="0" w:color="B7B7B7"/>
              <w:right w:val="nil"/>
            </w:tcBorders>
            <w:shd w:val="clear" w:color="auto" w:fill="EFEFEF"/>
            <w:vAlign w:val="center"/>
          </w:tcPr>
          <w:p w14:paraId="16E8A91C" w14:textId="77777777" w:rsidR="00CE1B63" w:rsidRDefault="00BC4666">
            <w:pPr>
              <w:widowControl w:val="0"/>
              <w:ind w:right="137"/>
              <w:jc w:val="right"/>
              <w:rPr>
                <w:rFonts w:ascii="Calibri" w:eastAsia="Calibri" w:hAnsi="Calibri" w:cs="Calibri"/>
                <w:sz w:val="24"/>
                <w:szCs w:val="24"/>
              </w:rPr>
            </w:pPr>
            <w:r>
              <w:rPr>
                <w:rFonts w:ascii="Calibri" w:eastAsia="Calibri" w:hAnsi="Calibri" w:cs="Calibri"/>
                <w:color w:val="231F20"/>
                <w:sz w:val="24"/>
                <w:szCs w:val="24"/>
              </w:rPr>
              <w:t>Date Prepared:</w:t>
            </w:r>
          </w:p>
        </w:tc>
        <w:tc>
          <w:tcPr>
            <w:tcW w:w="2205" w:type="dxa"/>
            <w:tcBorders>
              <w:top w:val="single" w:sz="4" w:space="0" w:color="B7B7B7"/>
              <w:left w:val="nil"/>
              <w:bottom w:val="single" w:sz="18" w:space="0" w:color="B7B7B7"/>
              <w:right w:val="single" w:sz="4" w:space="0" w:color="B7B7B7"/>
            </w:tcBorders>
            <w:shd w:val="clear" w:color="auto" w:fill="EFEFEF"/>
            <w:vAlign w:val="center"/>
          </w:tcPr>
          <w:p w14:paraId="76AC52BD" w14:textId="77777777" w:rsidR="00CE1B63" w:rsidRDefault="00BC4666">
            <w:pPr>
              <w:widowControl w:val="0"/>
              <w:rPr>
                <w:rFonts w:ascii="Calibri" w:eastAsia="Calibri" w:hAnsi="Calibri" w:cs="Calibri"/>
                <w:b/>
                <w:color w:val="1C4587"/>
                <w:sz w:val="24"/>
                <w:szCs w:val="24"/>
              </w:rPr>
            </w:pPr>
            <w:r>
              <w:rPr>
                <w:rFonts w:ascii="Calibri" w:eastAsia="Calibri" w:hAnsi="Calibri" w:cs="Calibri"/>
                <w:b/>
                <w:color w:val="1C4587"/>
                <w:sz w:val="24"/>
                <w:szCs w:val="24"/>
              </w:rPr>
              <w:t>20th of June, 2023</w:t>
            </w:r>
          </w:p>
        </w:tc>
      </w:tr>
      <w:tr w:rsidR="00CE1B63" w14:paraId="53CB6A6C" w14:textId="77777777">
        <w:trPr>
          <w:trHeight w:val="146"/>
          <w:jc w:val="center"/>
        </w:trPr>
        <w:tc>
          <w:tcPr>
            <w:tcW w:w="1650" w:type="dxa"/>
            <w:tcBorders>
              <w:top w:val="single" w:sz="18" w:space="0" w:color="B7B7B7"/>
              <w:left w:val="single" w:sz="4" w:space="0" w:color="FFFFFF"/>
              <w:bottom w:val="single" w:sz="4" w:space="0" w:color="B7B7B7"/>
              <w:right w:val="nil"/>
            </w:tcBorders>
            <w:vAlign w:val="center"/>
          </w:tcPr>
          <w:p w14:paraId="2BC6638E" w14:textId="77777777" w:rsidR="00CE1B63" w:rsidRDefault="00CE1B63">
            <w:pPr>
              <w:widowControl w:val="0"/>
              <w:ind w:right="25"/>
              <w:jc w:val="right"/>
              <w:rPr>
                <w:rFonts w:ascii="Calibri" w:eastAsia="Calibri" w:hAnsi="Calibri" w:cs="Calibri"/>
                <w:color w:val="231F20"/>
                <w:sz w:val="2"/>
                <w:szCs w:val="2"/>
              </w:rPr>
            </w:pPr>
          </w:p>
        </w:tc>
        <w:tc>
          <w:tcPr>
            <w:tcW w:w="2835" w:type="dxa"/>
            <w:tcBorders>
              <w:top w:val="single" w:sz="18" w:space="0" w:color="B7B7B7"/>
              <w:left w:val="nil"/>
              <w:bottom w:val="single" w:sz="4" w:space="0" w:color="B7B7B7"/>
              <w:right w:val="nil"/>
            </w:tcBorders>
            <w:vAlign w:val="center"/>
          </w:tcPr>
          <w:p w14:paraId="74E5F67B" w14:textId="77777777" w:rsidR="00CE1B63" w:rsidRDefault="00CE1B63">
            <w:pPr>
              <w:widowControl w:val="0"/>
              <w:jc w:val="center"/>
              <w:rPr>
                <w:rFonts w:ascii="Calibri" w:eastAsia="Calibri" w:hAnsi="Calibri" w:cs="Calibri"/>
                <w:b/>
                <w:color w:val="1C4587"/>
                <w:sz w:val="12"/>
                <w:szCs w:val="12"/>
              </w:rPr>
            </w:pPr>
          </w:p>
        </w:tc>
        <w:tc>
          <w:tcPr>
            <w:tcW w:w="855" w:type="dxa"/>
            <w:tcBorders>
              <w:top w:val="single" w:sz="4" w:space="0" w:color="FFFFFF"/>
              <w:left w:val="nil"/>
              <w:bottom w:val="single" w:sz="4" w:space="0" w:color="FFFFFF"/>
              <w:right w:val="nil"/>
            </w:tcBorders>
            <w:vAlign w:val="center"/>
          </w:tcPr>
          <w:p w14:paraId="352DB9DB" w14:textId="77777777" w:rsidR="00CE1B63" w:rsidRDefault="00CE1B63">
            <w:pPr>
              <w:widowControl w:val="0"/>
              <w:jc w:val="right"/>
              <w:rPr>
                <w:rFonts w:ascii="Calibri" w:eastAsia="Calibri" w:hAnsi="Calibri" w:cs="Calibri"/>
                <w:color w:val="231F20"/>
                <w:sz w:val="12"/>
                <w:szCs w:val="12"/>
              </w:rPr>
            </w:pPr>
          </w:p>
        </w:tc>
        <w:tc>
          <w:tcPr>
            <w:tcW w:w="2055" w:type="dxa"/>
            <w:gridSpan w:val="2"/>
            <w:tcBorders>
              <w:top w:val="single" w:sz="18" w:space="0" w:color="B7B7B7"/>
              <w:left w:val="nil"/>
              <w:bottom w:val="single" w:sz="4" w:space="0" w:color="B7B7B7"/>
            </w:tcBorders>
            <w:vAlign w:val="center"/>
          </w:tcPr>
          <w:p w14:paraId="363FD310" w14:textId="77777777" w:rsidR="00CE1B63" w:rsidRDefault="00CE1B63">
            <w:pPr>
              <w:widowControl w:val="0"/>
              <w:jc w:val="right"/>
              <w:rPr>
                <w:rFonts w:ascii="Calibri" w:eastAsia="Calibri" w:hAnsi="Calibri" w:cs="Calibri"/>
                <w:color w:val="231F20"/>
                <w:sz w:val="12"/>
                <w:szCs w:val="12"/>
              </w:rPr>
            </w:pPr>
          </w:p>
        </w:tc>
        <w:tc>
          <w:tcPr>
            <w:tcW w:w="2205" w:type="dxa"/>
            <w:tcBorders>
              <w:top w:val="single" w:sz="18" w:space="0" w:color="B7B7B7"/>
              <w:left w:val="nil"/>
              <w:bottom w:val="single" w:sz="4" w:space="0" w:color="B7B7B7"/>
              <w:right w:val="single" w:sz="4" w:space="0" w:color="FFFFFF"/>
            </w:tcBorders>
            <w:vAlign w:val="center"/>
          </w:tcPr>
          <w:p w14:paraId="4990D1BF" w14:textId="77777777" w:rsidR="00CE1B63" w:rsidRDefault="00CE1B63">
            <w:pPr>
              <w:widowControl w:val="0"/>
              <w:rPr>
                <w:rFonts w:ascii="Calibri" w:eastAsia="Calibri" w:hAnsi="Calibri" w:cs="Calibri"/>
                <w:b/>
                <w:color w:val="1C4587"/>
                <w:sz w:val="12"/>
                <w:szCs w:val="12"/>
              </w:rPr>
            </w:pPr>
          </w:p>
        </w:tc>
      </w:tr>
      <w:tr w:rsidR="00CE1B63" w14:paraId="5E6B2C8F" w14:textId="77777777" w:rsidTr="00163EF0">
        <w:trPr>
          <w:trHeight w:val="336"/>
          <w:jc w:val="center"/>
        </w:trPr>
        <w:tc>
          <w:tcPr>
            <w:tcW w:w="1650" w:type="dxa"/>
            <w:tcBorders>
              <w:top w:val="single" w:sz="4" w:space="0" w:color="B7B7B7"/>
              <w:left w:val="single" w:sz="4" w:space="0" w:color="B7B7B7"/>
              <w:bottom w:val="single" w:sz="18" w:space="0" w:color="B7B7B7"/>
              <w:right w:val="nil"/>
            </w:tcBorders>
            <w:shd w:val="clear" w:color="auto" w:fill="EFEFEF"/>
            <w:vAlign w:val="center"/>
          </w:tcPr>
          <w:p w14:paraId="3DBE8980" w14:textId="77777777" w:rsidR="00CE1B63" w:rsidRDefault="00BC4666">
            <w:pPr>
              <w:widowControl w:val="0"/>
              <w:ind w:right="25"/>
              <w:jc w:val="right"/>
              <w:rPr>
                <w:rFonts w:ascii="Calibri" w:eastAsia="Calibri" w:hAnsi="Calibri" w:cs="Calibri"/>
                <w:color w:val="231F20"/>
                <w:sz w:val="24"/>
                <w:szCs w:val="24"/>
              </w:rPr>
            </w:pPr>
            <w:r>
              <w:rPr>
                <w:rFonts w:ascii="Calibri" w:eastAsia="Calibri" w:hAnsi="Calibri" w:cs="Calibri"/>
                <w:color w:val="231F20"/>
                <w:sz w:val="24"/>
                <w:szCs w:val="24"/>
              </w:rPr>
              <w:t>Prepared By:</w:t>
            </w:r>
          </w:p>
        </w:tc>
        <w:tc>
          <w:tcPr>
            <w:tcW w:w="2835" w:type="dxa"/>
            <w:tcBorders>
              <w:top w:val="single" w:sz="4" w:space="0" w:color="B7B7B7"/>
              <w:left w:val="nil"/>
              <w:bottom w:val="single" w:sz="18" w:space="0" w:color="B7B7B7"/>
              <w:right w:val="single" w:sz="8" w:space="0" w:color="B7B7B7"/>
            </w:tcBorders>
            <w:shd w:val="clear" w:color="auto" w:fill="EFEFEF"/>
            <w:vAlign w:val="center"/>
          </w:tcPr>
          <w:p w14:paraId="51ADCC4A" w14:textId="77777777" w:rsidR="00CE1B63" w:rsidRDefault="00BC4666">
            <w:pPr>
              <w:widowControl w:val="0"/>
              <w:rPr>
                <w:rFonts w:ascii="Calibri" w:eastAsia="Calibri" w:hAnsi="Calibri" w:cs="Calibri"/>
                <w:b/>
                <w:color w:val="1C4587"/>
                <w:sz w:val="24"/>
                <w:szCs w:val="24"/>
              </w:rPr>
            </w:pPr>
            <w:r>
              <w:rPr>
                <w:rFonts w:ascii="Calibri" w:eastAsia="Calibri" w:hAnsi="Calibri" w:cs="Calibri"/>
                <w:b/>
                <w:color w:val="1C4587"/>
                <w:sz w:val="24"/>
                <w:szCs w:val="24"/>
              </w:rPr>
              <w:t>Shaun Heywood</w:t>
            </w:r>
          </w:p>
        </w:tc>
        <w:tc>
          <w:tcPr>
            <w:tcW w:w="855" w:type="dxa"/>
            <w:tcBorders>
              <w:top w:val="single" w:sz="4" w:space="0" w:color="FFFFFF"/>
              <w:left w:val="single" w:sz="8" w:space="0" w:color="B7B7B7"/>
              <w:bottom w:val="single" w:sz="4" w:space="0" w:color="FFFFFF"/>
              <w:right w:val="single" w:sz="8" w:space="0" w:color="B7B7B7"/>
            </w:tcBorders>
            <w:vAlign w:val="center"/>
          </w:tcPr>
          <w:p w14:paraId="13831617" w14:textId="77777777" w:rsidR="00CE1B63" w:rsidRDefault="00CE1B63">
            <w:pPr>
              <w:widowControl w:val="0"/>
              <w:jc w:val="right"/>
              <w:rPr>
                <w:rFonts w:ascii="Calibri" w:eastAsia="Calibri" w:hAnsi="Calibri" w:cs="Calibri"/>
                <w:color w:val="231F20"/>
                <w:sz w:val="24"/>
                <w:szCs w:val="24"/>
              </w:rPr>
            </w:pPr>
          </w:p>
        </w:tc>
        <w:tc>
          <w:tcPr>
            <w:tcW w:w="1950" w:type="dxa"/>
            <w:tcBorders>
              <w:top w:val="single" w:sz="4" w:space="0" w:color="B7B7B7"/>
              <w:left w:val="single" w:sz="8" w:space="0" w:color="B7B7B7"/>
              <w:bottom w:val="single" w:sz="18" w:space="0" w:color="B7B7B7"/>
              <w:right w:val="nil"/>
            </w:tcBorders>
            <w:shd w:val="clear" w:color="auto" w:fill="EFEFEF"/>
            <w:vAlign w:val="center"/>
          </w:tcPr>
          <w:p w14:paraId="26F336B7" w14:textId="77777777" w:rsidR="00CE1B63" w:rsidRDefault="00BC4666">
            <w:pPr>
              <w:widowControl w:val="0"/>
              <w:jc w:val="right"/>
              <w:rPr>
                <w:rFonts w:ascii="Calibri" w:eastAsia="Calibri" w:hAnsi="Calibri" w:cs="Calibri"/>
                <w:color w:val="231F20"/>
                <w:sz w:val="24"/>
                <w:szCs w:val="24"/>
              </w:rPr>
            </w:pPr>
            <w:r>
              <w:rPr>
                <w:rFonts w:ascii="Calibri" w:eastAsia="Calibri" w:hAnsi="Calibri" w:cs="Calibri"/>
                <w:color w:val="231F20"/>
                <w:sz w:val="24"/>
                <w:szCs w:val="24"/>
              </w:rPr>
              <w:t>Project Sponsor:</w:t>
            </w:r>
          </w:p>
        </w:tc>
        <w:tc>
          <w:tcPr>
            <w:tcW w:w="2310" w:type="dxa"/>
            <w:gridSpan w:val="2"/>
            <w:tcBorders>
              <w:top w:val="single" w:sz="4" w:space="0" w:color="B7B7B7"/>
              <w:left w:val="nil"/>
              <w:bottom w:val="single" w:sz="18" w:space="0" w:color="B7B7B7"/>
              <w:right w:val="single" w:sz="8" w:space="0" w:color="B7B7B7"/>
            </w:tcBorders>
            <w:shd w:val="clear" w:color="auto" w:fill="EFEFEF"/>
            <w:vAlign w:val="center"/>
          </w:tcPr>
          <w:p w14:paraId="5B86D376" w14:textId="77777777" w:rsidR="00CE1B63" w:rsidRDefault="00BC4666">
            <w:pPr>
              <w:widowControl w:val="0"/>
              <w:ind w:left="141"/>
              <w:rPr>
                <w:rFonts w:ascii="Calibri" w:eastAsia="Calibri" w:hAnsi="Calibri" w:cs="Calibri"/>
                <w:b/>
                <w:color w:val="1C4587"/>
                <w:sz w:val="24"/>
                <w:szCs w:val="24"/>
              </w:rPr>
            </w:pPr>
            <w:r>
              <w:rPr>
                <w:rFonts w:ascii="Calibri" w:eastAsia="Calibri" w:hAnsi="Calibri" w:cs="Calibri"/>
                <w:b/>
                <w:color w:val="1C4587"/>
                <w:sz w:val="24"/>
                <w:szCs w:val="24"/>
              </w:rPr>
              <w:t>OzCazual</w:t>
            </w:r>
          </w:p>
        </w:tc>
      </w:tr>
    </w:tbl>
    <w:p w14:paraId="509949DB" w14:textId="77777777" w:rsidR="00CE1B63" w:rsidRDefault="00CE1B63">
      <w:pPr>
        <w:widowControl w:val="0"/>
        <w:spacing w:after="0" w:line="240" w:lineRule="auto"/>
        <w:rPr>
          <w:color w:val="8EAADB"/>
        </w:rPr>
      </w:pPr>
    </w:p>
    <w:tbl>
      <w:tblPr>
        <w:tblStyle w:val="a0"/>
        <w:tblW w:w="106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95"/>
      </w:tblGrid>
      <w:tr w:rsidR="00CE1B63" w14:paraId="2F34699F" w14:textId="77777777">
        <w:trPr>
          <w:trHeight w:val="247"/>
          <w:jc w:val="center"/>
        </w:trPr>
        <w:tc>
          <w:tcPr>
            <w:tcW w:w="10695"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23B34395" w14:textId="77777777" w:rsidR="00CE1B63" w:rsidRDefault="00BC4666">
            <w:pPr>
              <w:widowControl w:val="0"/>
              <w:rPr>
                <w:rFonts w:ascii="Calibri" w:eastAsia="Calibri" w:hAnsi="Calibri" w:cs="Calibri"/>
                <w:b/>
                <w:sz w:val="24"/>
                <w:szCs w:val="24"/>
              </w:rPr>
            </w:pPr>
            <w:r>
              <w:rPr>
                <w:rFonts w:ascii="Calibri" w:eastAsia="Calibri" w:hAnsi="Calibri" w:cs="Calibri"/>
                <w:b/>
                <w:sz w:val="24"/>
                <w:szCs w:val="24"/>
              </w:rPr>
              <w:t>Strategy</w:t>
            </w:r>
          </w:p>
        </w:tc>
      </w:tr>
    </w:tbl>
    <w:p w14:paraId="08C4BEF9" w14:textId="77777777" w:rsidR="00CE1B63" w:rsidRPr="00163EF0" w:rsidRDefault="00CE1B63">
      <w:pPr>
        <w:spacing w:after="0"/>
        <w:ind w:left="-567"/>
      </w:pPr>
    </w:p>
    <w:p w14:paraId="7EDF117F" w14:textId="77777777" w:rsidR="00CE1B63" w:rsidRPr="00163EF0" w:rsidRDefault="00BC4666">
      <w:pPr>
        <w:spacing w:after="0"/>
        <w:ind w:left="-567"/>
      </w:pPr>
      <w:r w:rsidRPr="00163EF0">
        <w:t xml:space="preserve">The OzCasual cloud infrastructure migration to Amazon AWS is subject to potential risks and vulnerabilities, which are addressed in detail by the Risk Management Strategy for the AWS CyberShift Initiative project.  The strategy will cover the key areas of </w:t>
      </w:r>
      <w:r w:rsidRPr="00163EF0">
        <w:t>risk identification, assessment, and mitigation.</w:t>
      </w:r>
      <w:r w:rsidRPr="00163EF0">
        <w:br/>
      </w:r>
    </w:p>
    <w:p w14:paraId="4EAF3A6F" w14:textId="77777777" w:rsidR="00CE1B63" w:rsidRPr="00163EF0" w:rsidRDefault="00BC4666">
      <w:pPr>
        <w:spacing w:after="0"/>
        <w:ind w:left="-567"/>
      </w:pPr>
      <w:r w:rsidRPr="00163EF0">
        <w:t>The key areas of focus for the project are designing safe and secure configurations for Windows and Linux servers, securing the cloud architecture with access controls and encryption, and performing frequen</w:t>
      </w:r>
      <w:r w:rsidRPr="00163EF0">
        <w:t>t scans and vulnerability assessments. The plan will also pay high attention to the value of log monitoring, real-time network traffic monitoring, red/blue team exercises, technical documentation development, security policy development, and incident respo</w:t>
      </w:r>
      <w:r w:rsidRPr="00163EF0">
        <w:t>nse plans. The strategy includes constant risk monitoring, stakeholder communication, and continual improvement through audits and reviews.</w:t>
      </w:r>
    </w:p>
    <w:p w14:paraId="3361938F" w14:textId="77777777" w:rsidR="00CE1B63" w:rsidRPr="00163EF0" w:rsidRDefault="00BC4666">
      <w:pPr>
        <w:spacing w:after="0"/>
        <w:ind w:left="-567"/>
      </w:pPr>
      <w:r w:rsidRPr="00163EF0">
        <w:br/>
        <w:t xml:space="preserve">In addition to meeting the needs of the business for scalability, the risk management plan will aim to protect the </w:t>
      </w:r>
      <w:r w:rsidRPr="00163EF0">
        <w:t>confidentiality, integrity, and availability of systems and customer data. The project can manage risks successfully by putting in place the necessary security controls, performing exercises to find vulnerabilities, and keeping thorough documentation and p</w:t>
      </w:r>
      <w:r w:rsidRPr="00163EF0">
        <w:t>olicies. A comprehensive incident response plan, training and awareness programmes, and regular communication with stakeholders all support the project's risk management efforts.</w:t>
      </w:r>
      <w:r w:rsidRPr="00163EF0">
        <w:br/>
      </w:r>
      <w:r w:rsidRPr="00163EF0">
        <w:br/>
        <w:t>The strategy places a strong emphasis on maintaining compliance with industr</w:t>
      </w:r>
      <w:r w:rsidRPr="00163EF0">
        <w:t>y best practices, responding to new risks, and pursuing continuous development. The AWS CyberShift Initiative can successfully safeguard OzCasual's cloud infrastructure and support a secure transfer to Amazon AWS by employing this risk management method.</w:t>
      </w:r>
    </w:p>
    <w:p w14:paraId="4166A99E" w14:textId="77777777" w:rsidR="00CE1B63" w:rsidRDefault="00CE1B63">
      <w:pPr>
        <w:spacing w:after="0"/>
        <w:ind w:left="-567"/>
        <w:rPr>
          <w:color w:val="244061"/>
          <w:sz w:val="20"/>
          <w:szCs w:val="20"/>
        </w:rPr>
      </w:pPr>
    </w:p>
    <w:tbl>
      <w:tblPr>
        <w:tblStyle w:val="a1"/>
        <w:tblW w:w="106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65"/>
      </w:tblGrid>
      <w:tr w:rsidR="00CE1B63" w14:paraId="203A6106" w14:textId="77777777" w:rsidTr="00163EF0">
        <w:trPr>
          <w:trHeight w:val="88"/>
          <w:jc w:val="center"/>
        </w:trPr>
        <w:tc>
          <w:tcPr>
            <w:tcW w:w="10665"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1A85F5FB" w14:textId="77777777" w:rsidR="00CE1B63" w:rsidRDefault="00BC4666">
            <w:pPr>
              <w:widowControl w:val="0"/>
              <w:rPr>
                <w:rFonts w:ascii="Calibri" w:eastAsia="Calibri" w:hAnsi="Calibri" w:cs="Calibri"/>
                <w:b/>
              </w:rPr>
            </w:pPr>
            <w:r>
              <w:rPr>
                <w:rFonts w:ascii="Calibri" w:eastAsia="Calibri" w:hAnsi="Calibri" w:cs="Calibri"/>
                <w:b/>
              </w:rPr>
              <w:t>Methodology</w:t>
            </w:r>
          </w:p>
        </w:tc>
      </w:tr>
    </w:tbl>
    <w:p w14:paraId="7AA8D78D" w14:textId="77777777" w:rsidR="00CE1B63" w:rsidRDefault="00CE1B63">
      <w:pPr>
        <w:spacing w:after="0"/>
        <w:ind w:left="-566" w:right="-607"/>
        <w:rPr>
          <w:color w:val="244061"/>
          <w:highlight w:val="white"/>
        </w:rPr>
      </w:pPr>
    </w:p>
    <w:p w14:paraId="3A623B27" w14:textId="77777777" w:rsidR="00CE1B63" w:rsidRPr="00163EF0" w:rsidRDefault="00BC4666">
      <w:pPr>
        <w:spacing w:after="0"/>
        <w:ind w:left="-566" w:right="-607"/>
        <w:rPr>
          <w:highlight w:val="white"/>
        </w:rPr>
      </w:pPr>
      <w:r w:rsidRPr="00163EF0">
        <w:rPr>
          <w:highlight w:val="white"/>
        </w:rPr>
        <w:t>The risk management plan for the AWS CyberShift Initiative project follows a systematic methodology to identify, assess, mitigate, and monitor risks associated with securing OzCasual's cloud infrastructure and migrating from their existing on premises tech</w:t>
      </w:r>
      <w:r w:rsidRPr="00163EF0">
        <w:rPr>
          <w:highlight w:val="white"/>
        </w:rPr>
        <w:t>nology solution, to Amazon AWS. The methodology starts with a thorough risk identification process including stakeholders and SecureNET cybersecurity professionals. Then, a risk assessment is carried out to rank the hazards according to their likelihood an</w:t>
      </w:r>
      <w:r w:rsidRPr="00163EF0">
        <w:rPr>
          <w:highlight w:val="white"/>
        </w:rPr>
        <w:t xml:space="preserve">d potential consequences. The plan emphasizes the implementation of risk mitigation strategies through the establishment of controls, responsibilities, and timelines. </w:t>
      </w:r>
    </w:p>
    <w:p w14:paraId="6584159E" w14:textId="77777777" w:rsidR="00CE1B63" w:rsidRPr="00163EF0" w:rsidRDefault="00CE1B63">
      <w:pPr>
        <w:spacing w:after="0"/>
        <w:ind w:left="-566" w:right="-607"/>
        <w:rPr>
          <w:highlight w:val="white"/>
        </w:rPr>
      </w:pPr>
    </w:p>
    <w:p w14:paraId="173E2F0F" w14:textId="77777777" w:rsidR="00CE1B63" w:rsidRPr="00163EF0" w:rsidRDefault="00BC4666">
      <w:pPr>
        <w:spacing w:after="0"/>
        <w:ind w:left="-566" w:right="-607"/>
        <w:rPr>
          <w:highlight w:val="white"/>
        </w:rPr>
      </w:pPr>
      <w:r w:rsidRPr="00163EF0">
        <w:rPr>
          <w:highlight w:val="white"/>
        </w:rPr>
        <w:t xml:space="preserve">The methodology will include risk monitoring, communication, and reporting, along with </w:t>
      </w:r>
      <w:r w:rsidRPr="00163EF0">
        <w:rPr>
          <w:highlight w:val="white"/>
        </w:rPr>
        <w:t>training and awareness programs to promote risk awareness among project team members. Incident response planning, lessons learned, compliance considerations, and documentation will also ensure continuous improvement and adherence to industry best practices</w:t>
      </w:r>
      <w:r w:rsidRPr="00163EF0">
        <w:rPr>
          <w:highlight w:val="white"/>
        </w:rPr>
        <w:t>.</w:t>
      </w:r>
    </w:p>
    <w:p w14:paraId="47A01210" w14:textId="77777777" w:rsidR="00CE1B63" w:rsidRPr="00163EF0" w:rsidRDefault="00CE1B63">
      <w:pPr>
        <w:spacing w:after="0"/>
        <w:ind w:left="-566" w:right="-607"/>
        <w:rPr>
          <w:highlight w:val="white"/>
        </w:rPr>
      </w:pPr>
    </w:p>
    <w:p w14:paraId="62E1D1D1" w14:textId="77777777" w:rsidR="00CE1B63" w:rsidRPr="00163EF0" w:rsidRDefault="00BC4666">
      <w:pPr>
        <w:spacing w:after="0"/>
        <w:ind w:left="-566" w:right="-607"/>
        <w:rPr>
          <w:sz w:val="20"/>
          <w:szCs w:val="20"/>
          <w:highlight w:val="white"/>
        </w:rPr>
      </w:pPr>
      <w:r w:rsidRPr="00163EF0">
        <w:rPr>
          <w:highlight w:val="white"/>
        </w:rPr>
        <w:t>Overall, this approach offers a defined method for effectively managing risks throughout the project. It helps the project team to engage stakeholders, proactively address vulnerabilities, and keep an open line of communication for risk-related information</w:t>
      </w:r>
      <w:r w:rsidRPr="00163EF0">
        <w:rPr>
          <w:highlight w:val="white"/>
        </w:rPr>
        <w:t>. This methodology will help the project reduce the negative effects of potential risks, improve project security, and guarantee the AWS CyberShift Initiative is implemented successfully.</w:t>
      </w:r>
    </w:p>
    <w:tbl>
      <w:tblPr>
        <w:tblStyle w:val="a2"/>
        <w:tblW w:w="10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82"/>
        <w:gridCol w:w="6843"/>
      </w:tblGrid>
      <w:tr w:rsidR="00CE1B63" w14:paraId="1A43C9F7" w14:textId="77777777">
        <w:trPr>
          <w:trHeight w:val="345"/>
          <w:jc w:val="center"/>
        </w:trPr>
        <w:tc>
          <w:tcPr>
            <w:tcW w:w="3282" w:type="dxa"/>
            <w:tcBorders>
              <w:top w:val="nil"/>
              <w:left w:val="nil"/>
              <w:bottom w:val="single" w:sz="8" w:space="0" w:color="FFFFFF"/>
              <w:right w:val="nil"/>
            </w:tcBorders>
            <w:shd w:val="clear" w:color="auto" w:fill="B8CCE4"/>
            <w:vAlign w:val="center"/>
          </w:tcPr>
          <w:p w14:paraId="0C3B2F3F" w14:textId="77777777" w:rsidR="00CE1B63" w:rsidRDefault="00BC4666">
            <w:pPr>
              <w:jc w:val="center"/>
              <w:rPr>
                <w:rFonts w:ascii="Calibri" w:eastAsia="Calibri" w:hAnsi="Calibri" w:cs="Calibri"/>
                <w:b/>
                <w:color w:val="374151"/>
                <w:sz w:val="24"/>
                <w:szCs w:val="24"/>
              </w:rPr>
            </w:pPr>
            <w:r>
              <w:rPr>
                <w:rFonts w:ascii="Calibri" w:eastAsia="Calibri" w:hAnsi="Calibri" w:cs="Calibri"/>
                <w:b/>
                <w:color w:val="374151"/>
                <w:sz w:val="24"/>
                <w:szCs w:val="24"/>
              </w:rPr>
              <w:lastRenderedPageBreak/>
              <w:t>Methodology Step</w:t>
            </w:r>
          </w:p>
        </w:tc>
        <w:tc>
          <w:tcPr>
            <w:tcW w:w="6843" w:type="dxa"/>
            <w:tcBorders>
              <w:top w:val="nil"/>
              <w:left w:val="nil"/>
              <w:bottom w:val="single" w:sz="8" w:space="0" w:color="FFFFFF"/>
              <w:right w:val="nil"/>
            </w:tcBorders>
            <w:shd w:val="clear" w:color="auto" w:fill="B8CCE4"/>
            <w:vAlign w:val="center"/>
          </w:tcPr>
          <w:p w14:paraId="55904214" w14:textId="77777777" w:rsidR="00CE1B63" w:rsidRDefault="00BC4666">
            <w:pPr>
              <w:jc w:val="center"/>
              <w:rPr>
                <w:rFonts w:ascii="Calibri" w:eastAsia="Calibri" w:hAnsi="Calibri" w:cs="Calibri"/>
                <w:b/>
                <w:color w:val="374151"/>
                <w:sz w:val="24"/>
                <w:szCs w:val="24"/>
              </w:rPr>
            </w:pPr>
            <w:r>
              <w:rPr>
                <w:rFonts w:ascii="Calibri" w:eastAsia="Calibri" w:hAnsi="Calibri" w:cs="Calibri"/>
                <w:b/>
                <w:color w:val="374151"/>
                <w:sz w:val="24"/>
                <w:szCs w:val="24"/>
              </w:rPr>
              <w:t>Description</w:t>
            </w:r>
          </w:p>
        </w:tc>
      </w:tr>
      <w:tr w:rsidR="00CE1B63" w14:paraId="07503A65" w14:textId="77777777">
        <w:trPr>
          <w:trHeight w:val="1011"/>
          <w:jc w:val="center"/>
        </w:trPr>
        <w:tc>
          <w:tcPr>
            <w:tcW w:w="3282" w:type="dxa"/>
            <w:tcBorders>
              <w:top w:val="single" w:sz="8" w:space="0" w:color="FFFFFF"/>
              <w:left w:val="single" w:sz="8" w:space="0" w:color="FFFFFF"/>
              <w:bottom w:val="single" w:sz="8" w:space="0" w:color="FFFFFF"/>
              <w:right w:val="single" w:sz="8" w:space="0" w:color="FFFFFF"/>
            </w:tcBorders>
            <w:shd w:val="clear" w:color="auto" w:fill="CCCCCC"/>
            <w:tcMar>
              <w:top w:w="43" w:type="dxa"/>
              <w:left w:w="43" w:type="dxa"/>
              <w:bottom w:w="43" w:type="dxa"/>
              <w:right w:w="43" w:type="dxa"/>
            </w:tcMar>
            <w:vAlign w:val="center"/>
          </w:tcPr>
          <w:p w14:paraId="35A7D442" w14:textId="77777777" w:rsidR="00CE1B63" w:rsidRDefault="00BC4666">
            <w:pPr>
              <w:numPr>
                <w:ilvl w:val="0"/>
                <w:numId w:val="8"/>
              </w:numPr>
              <w:ind w:left="425" w:hanging="285"/>
              <w:rPr>
                <w:rFonts w:ascii="Calibri" w:eastAsia="Calibri" w:hAnsi="Calibri" w:cs="Calibri"/>
              </w:rPr>
            </w:pPr>
            <w:r>
              <w:rPr>
                <w:rFonts w:ascii="Calibri" w:eastAsia="Calibri" w:hAnsi="Calibri" w:cs="Calibri"/>
              </w:rPr>
              <w:t>Risk Identification</w:t>
            </w:r>
          </w:p>
        </w:tc>
        <w:tc>
          <w:tcPr>
            <w:tcW w:w="6843" w:type="dxa"/>
            <w:tcBorders>
              <w:top w:val="single" w:sz="8" w:space="0" w:color="FFFFFF"/>
              <w:left w:val="single" w:sz="8" w:space="0" w:color="FFFFFF"/>
              <w:bottom w:val="single" w:sz="8" w:space="0" w:color="FFFFFF"/>
              <w:right w:val="single" w:sz="8" w:space="0" w:color="FFFFFF"/>
            </w:tcBorders>
            <w:tcMar>
              <w:top w:w="43" w:type="dxa"/>
              <w:left w:w="43" w:type="dxa"/>
              <w:bottom w:w="43" w:type="dxa"/>
              <w:right w:w="43" w:type="dxa"/>
            </w:tcMar>
            <w:vAlign w:val="center"/>
          </w:tcPr>
          <w:p w14:paraId="0286C56B" w14:textId="77777777" w:rsidR="00CE1B63" w:rsidRDefault="00BC4666">
            <w:pPr>
              <w:ind w:left="141"/>
              <w:rPr>
                <w:rFonts w:ascii="Calibri" w:eastAsia="Calibri" w:hAnsi="Calibri" w:cs="Calibri"/>
                <w:color w:val="374151"/>
              </w:rPr>
            </w:pPr>
            <w:r>
              <w:rPr>
                <w:rFonts w:ascii="Calibri" w:eastAsia="Calibri" w:hAnsi="Calibri" w:cs="Calibri"/>
                <w:color w:val="374151"/>
              </w:rPr>
              <w:t>Engage stakeholder</w:t>
            </w:r>
            <w:r>
              <w:rPr>
                <w:rFonts w:ascii="Calibri" w:eastAsia="Calibri" w:hAnsi="Calibri" w:cs="Calibri"/>
                <w:color w:val="374151"/>
              </w:rPr>
              <w:t>s and subject SecureNET experts to identify potential risks and vulnerabilities.</w:t>
            </w:r>
          </w:p>
        </w:tc>
      </w:tr>
      <w:tr w:rsidR="00CE1B63" w14:paraId="648E1F5C" w14:textId="77777777">
        <w:trPr>
          <w:trHeight w:val="1011"/>
          <w:jc w:val="center"/>
        </w:trPr>
        <w:tc>
          <w:tcPr>
            <w:tcW w:w="3282" w:type="dxa"/>
            <w:tcBorders>
              <w:top w:val="single" w:sz="8" w:space="0" w:color="FFFFFF"/>
              <w:left w:val="single" w:sz="8" w:space="0" w:color="FFFFFF"/>
              <w:bottom w:val="single" w:sz="8" w:space="0" w:color="FFFFFF"/>
              <w:right w:val="single" w:sz="8" w:space="0" w:color="FFFFFF"/>
            </w:tcBorders>
            <w:shd w:val="clear" w:color="auto" w:fill="CCCCCC"/>
            <w:tcMar>
              <w:top w:w="43" w:type="dxa"/>
              <w:left w:w="43" w:type="dxa"/>
              <w:bottom w:w="43" w:type="dxa"/>
              <w:right w:w="43" w:type="dxa"/>
            </w:tcMar>
            <w:vAlign w:val="center"/>
          </w:tcPr>
          <w:p w14:paraId="2BDCE1BA" w14:textId="77777777" w:rsidR="00CE1B63" w:rsidRDefault="00BC4666">
            <w:pPr>
              <w:numPr>
                <w:ilvl w:val="0"/>
                <w:numId w:val="8"/>
              </w:numPr>
              <w:ind w:left="425" w:hanging="285"/>
              <w:rPr>
                <w:rFonts w:ascii="Calibri" w:eastAsia="Calibri" w:hAnsi="Calibri" w:cs="Calibri"/>
              </w:rPr>
            </w:pPr>
            <w:r>
              <w:rPr>
                <w:rFonts w:ascii="Calibri" w:eastAsia="Calibri" w:hAnsi="Calibri" w:cs="Calibri"/>
              </w:rPr>
              <w:t>Risk Assessment</w:t>
            </w:r>
          </w:p>
        </w:tc>
        <w:tc>
          <w:tcPr>
            <w:tcW w:w="6843" w:type="dxa"/>
            <w:tcBorders>
              <w:top w:val="single" w:sz="8" w:space="0" w:color="FFFFFF"/>
              <w:left w:val="single" w:sz="8" w:space="0" w:color="FFFFFF"/>
              <w:bottom w:val="single" w:sz="8" w:space="0" w:color="FFFFFF"/>
              <w:right w:val="single" w:sz="8" w:space="0" w:color="FFFFFF"/>
            </w:tcBorders>
            <w:shd w:val="clear" w:color="auto" w:fill="D9D9D9"/>
            <w:tcMar>
              <w:top w:w="43" w:type="dxa"/>
              <w:left w:w="43" w:type="dxa"/>
              <w:bottom w:w="43" w:type="dxa"/>
              <w:right w:w="43" w:type="dxa"/>
            </w:tcMar>
            <w:vAlign w:val="center"/>
          </w:tcPr>
          <w:p w14:paraId="53CC6D68" w14:textId="77777777" w:rsidR="00CE1B63" w:rsidRDefault="00BC4666">
            <w:pPr>
              <w:ind w:left="141"/>
              <w:rPr>
                <w:rFonts w:ascii="Calibri" w:eastAsia="Calibri" w:hAnsi="Calibri" w:cs="Calibri"/>
                <w:color w:val="374151"/>
              </w:rPr>
            </w:pPr>
            <w:r>
              <w:rPr>
                <w:rFonts w:ascii="Calibri" w:eastAsia="Calibri" w:hAnsi="Calibri" w:cs="Calibri"/>
                <w:color w:val="374151"/>
              </w:rPr>
              <w:t>Assess the identified risks based on likelihood and potential impact.</w:t>
            </w:r>
          </w:p>
        </w:tc>
      </w:tr>
      <w:tr w:rsidR="00CE1B63" w14:paraId="32D8E931" w14:textId="77777777">
        <w:trPr>
          <w:trHeight w:val="1011"/>
          <w:jc w:val="center"/>
        </w:trPr>
        <w:tc>
          <w:tcPr>
            <w:tcW w:w="3282" w:type="dxa"/>
            <w:tcBorders>
              <w:top w:val="single" w:sz="8" w:space="0" w:color="FFFFFF"/>
              <w:left w:val="single" w:sz="8" w:space="0" w:color="FFFFFF"/>
              <w:bottom w:val="single" w:sz="8" w:space="0" w:color="FFFFFF"/>
              <w:right w:val="single" w:sz="8" w:space="0" w:color="FFFFFF"/>
            </w:tcBorders>
            <w:shd w:val="clear" w:color="auto" w:fill="CCCCCC"/>
            <w:tcMar>
              <w:top w:w="43" w:type="dxa"/>
              <w:left w:w="43" w:type="dxa"/>
              <w:bottom w:w="43" w:type="dxa"/>
              <w:right w:w="43" w:type="dxa"/>
            </w:tcMar>
            <w:vAlign w:val="center"/>
          </w:tcPr>
          <w:p w14:paraId="3B55F639" w14:textId="77777777" w:rsidR="00CE1B63" w:rsidRDefault="00BC4666">
            <w:pPr>
              <w:numPr>
                <w:ilvl w:val="0"/>
                <w:numId w:val="8"/>
              </w:numPr>
              <w:ind w:left="425" w:hanging="285"/>
              <w:rPr>
                <w:rFonts w:ascii="Calibri" w:eastAsia="Calibri" w:hAnsi="Calibri" w:cs="Calibri"/>
              </w:rPr>
            </w:pPr>
            <w:r>
              <w:rPr>
                <w:rFonts w:ascii="Calibri" w:eastAsia="Calibri" w:hAnsi="Calibri" w:cs="Calibri"/>
              </w:rPr>
              <w:t>Risk Mitigation</w:t>
            </w:r>
          </w:p>
        </w:tc>
        <w:tc>
          <w:tcPr>
            <w:tcW w:w="6843" w:type="dxa"/>
            <w:tcBorders>
              <w:top w:val="single" w:sz="8" w:space="0" w:color="FFFFFF"/>
              <w:left w:val="single" w:sz="8" w:space="0" w:color="FFFFFF"/>
              <w:bottom w:val="single" w:sz="8" w:space="0" w:color="FFFFFF"/>
              <w:right w:val="single" w:sz="8" w:space="0" w:color="FFFFFF"/>
            </w:tcBorders>
            <w:tcMar>
              <w:top w:w="43" w:type="dxa"/>
              <w:left w:w="43" w:type="dxa"/>
              <w:bottom w:w="43" w:type="dxa"/>
              <w:right w:w="43" w:type="dxa"/>
            </w:tcMar>
            <w:vAlign w:val="center"/>
          </w:tcPr>
          <w:p w14:paraId="6BD3AE77" w14:textId="77777777" w:rsidR="00CE1B63" w:rsidRDefault="00BC4666">
            <w:pPr>
              <w:ind w:left="141"/>
              <w:rPr>
                <w:rFonts w:ascii="Calibri" w:eastAsia="Calibri" w:hAnsi="Calibri" w:cs="Calibri"/>
                <w:color w:val="374151"/>
              </w:rPr>
            </w:pPr>
            <w:r>
              <w:rPr>
                <w:rFonts w:ascii="Calibri" w:eastAsia="Calibri" w:hAnsi="Calibri" w:cs="Calibri"/>
                <w:color w:val="374151"/>
              </w:rPr>
              <w:t>Develop strategies and controls to mitigate the identified risks.</w:t>
            </w:r>
          </w:p>
        </w:tc>
      </w:tr>
      <w:tr w:rsidR="00CE1B63" w14:paraId="7F27D3E2" w14:textId="77777777">
        <w:trPr>
          <w:trHeight w:val="1011"/>
          <w:jc w:val="center"/>
        </w:trPr>
        <w:tc>
          <w:tcPr>
            <w:tcW w:w="3282" w:type="dxa"/>
            <w:tcBorders>
              <w:top w:val="single" w:sz="8" w:space="0" w:color="FFFFFF"/>
              <w:left w:val="single" w:sz="8" w:space="0" w:color="FFFFFF"/>
              <w:bottom w:val="single" w:sz="8" w:space="0" w:color="FFFFFF"/>
              <w:right w:val="single" w:sz="8" w:space="0" w:color="FFFFFF"/>
            </w:tcBorders>
            <w:shd w:val="clear" w:color="auto" w:fill="CCCCCC"/>
            <w:tcMar>
              <w:top w:w="43" w:type="dxa"/>
              <w:left w:w="43" w:type="dxa"/>
              <w:bottom w:w="43" w:type="dxa"/>
              <w:right w:w="43" w:type="dxa"/>
            </w:tcMar>
            <w:vAlign w:val="center"/>
          </w:tcPr>
          <w:p w14:paraId="4676CE3F" w14:textId="77777777" w:rsidR="00CE1B63" w:rsidRDefault="00BC4666">
            <w:pPr>
              <w:numPr>
                <w:ilvl w:val="0"/>
                <w:numId w:val="8"/>
              </w:numPr>
              <w:ind w:left="425" w:hanging="285"/>
              <w:rPr>
                <w:rFonts w:ascii="Calibri" w:eastAsia="Calibri" w:hAnsi="Calibri" w:cs="Calibri"/>
              </w:rPr>
            </w:pPr>
            <w:r>
              <w:rPr>
                <w:rFonts w:ascii="Calibri" w:eastAsia="Calibri" w:hAnsi="Calibri" w:cs="Calibri"/>
              </w:rPr>
              <w:t>Risk Monitoring and Review</w:t>
            </w:r>
          </w:p>
        </w:tc>
        <w:tc>
          <w:tcPr>
            <w:tcW w:w="6843" w:type="dxa"/>
            <w:tcBorders>
              <w:top w:val="single" w:sz="8" w:space="0" w:color="FFFFFF"/>
              <w:left w:val="single" w:sz="8" w:space="0" w:color="FFFFFF"/>
              <w:bottom w:val="single" w:sz="8" w:space="0" w:color="FFFFFF"/>
              <w:right w:val="single" w:sz="8" w:space="0" w:color="FFFFFF"/>
            </w:tcBorders>
            <w:shd w:val="clear" w:color="auto" w:fill="D9D9D9"/>
            <w:tcMar>
              <w:top w:w="43" w:type="dxa"/>
              <w:left w:w="43" w:type="dxa"/>
              <w:bottom w:w="43" w:type="dxa"/>
              <w:right w:w="43" w:type="dxa"/>
            </w:tcMar>
            <w:vAlign w:val="center"/>
          </w:tcPr>
          <w:p w14:paraId="56D331BC" w14:textId="77777777" w:rsidR="00CE1B63" w:rsidRDefault="00BC4666">
            <w:pPr>
              <w:ind w:left="141"/>
              <w:rPr>
                <w:rFonts w:ascii="Calibri" w:eastAsia="Calibri" w:hAnsi="Calibri" w:cs="Calibri"/>
                <w:color w:val="374151"/>
              </w:rPr>
            </w:pPr>
            <w:r>
              <w:rPr>
                <w:rFonts w:ascii="Calibri" w:eastAsia="Calibri" w:hAnsi="Calibri" w:cs="Calibri"/>
                <w:color w:val="374151"/>
              </w:rPr>
              <w:t>Continuously monitor the effectiveness of implemented risk mitigation strategies.</w:t>
            </w:r>
          </w:p>
        </w:tc>
      </w:tr>
      <w:tr w:rsidR="00CE1B63" w14:paraId="39BBD550" w14:textId="77777777">
        <w:trPr>
          <w:trHeight w:val="1011"/>
          <w:jc w:val="center"/>
        </w:trPr>
        <w:tc>
          <w:tcPr>
            <w:tcW w:w="3282" w:type="dxa"/>
            <w:tcBorders>
              <w:top w:val="single" w:sz="8" w:space="0" w:color="FFFFFF"/>
              <w:left w:val="single" w:sz="8" w:space="0" w:color="FFFFFF"/>
              <w:bottom w:val="single" w:sz="8" w:space="0" w:color="FFFFFF"/>
              <w:right w:val="single" w:sz="8" w:space="0" w:color="FFFFFF"/>
            </w:tcBorders>
            <w:shd w:val="clear" w:color="auto" w:fill="CCCCCC"/>
            <w:tcMar>
              <w:top w:w="43" w:type="dxa"/>
              <w:left w:w="43" w:type="dxa"/>
              <w:bottom w:w="43" w:type="dxa"/>
              <w:right w:w="43" w:type="dxa"/>
            </w:tcMar>
            <w:vAlign w:val="center"/>
          </w:tcPr>
          <w:p w14:paraId="35F87618" w14:textId="77777777" w:rsidR="00CE1B63" w:rsidRDefault="00BC4666">
            <w:pPr>
              <w:numPr>
                <w:ilvl w:val="0"/>
                <w:numId w:val="8"/>
              </w:numPr>
              <w:ind w:left="425" w:hanging="285"/>
              <w:rPr>
                <w:rFonts w:ascii="Calibri" w:eastAsia="Calibri" w:hAnsi="Calibri" w:cs="Calibri"/>
              </w:rPr>
            </w:pPr>
            <w:r>
              <w:rPr>
                <w:rFonts w:ascii="Calibri" w:eastAsia="Calibri" w:hAnsi="Calibri" w:cs="Calibri"/>
              </w:rPr>
              <w:t>Communication and Reporting</w:t>
            </w:r>
          </w:p>
        </w:tc>
        <w:tc>
          <w:tcPr>
            <w:tcW w:w="6843" w:type="dxa"/>
            <w:tcBorders>
              <w:top w:val="single" w:sz="8" w:space="0" w:color="FFFFFF"/>
              <w:left w:val="single" w:sz="8" w:space="0" w:color="FFFFFF"/>
              <w:bottom w:val="single" w:sz="8" w:space="0" w:color="FFFFFF"/>
              <w:right w:val="single" w:sz="8" w:space="0" w:color="FFFFFF"/>
            </w:tcBorders>
            <w:tcMar>
              <w:top w:w="43" w:type="dxa"/>
              <w:left w:w="43" w:type="dxa"/>
              <w:bottom w:w="43" w:type="dxa"/>
              <w:right w:w="43" w:type="dxa"/>
            </w:tcMar>
            <w:vAlign w:val="center"/>
          </w:tcPr>
          <w:p w14:paraId="17D74D44" w14:textId="77777777" w:rsidR="00CE1B63" w:rsidRDefault="00BC4666">
            <w:pPr>
              <w:ind w:left="141"/>
              <w:rPr>
                <w:rFonts w:ascii="Calibri" w:eastAsia="Calibri" w:hAnsi="Calibri" w:cs="Calibri"/>
                <w:color w:val="374151"/>
              </w:rPr>
            </w:pPr>
            <w:r>
              <w:rPr>
                <w:rFonts w:ascii="Calibri" w:eastAsia="Calibri" w:hAnsi="Calibri" w:cs="Calibri"/>
                <w:color w:val="374151"/>
              </w:rPr>
              <w:t>Maintain open communication channels and provide regular reports on risk management.</w:t>
            </w:r>
          </w:p>
        </w:tc>
      </w:tr>
      <w:tr w:rsidR="00CE1B63" w14:paraId="56419835" w14:textId="77777777">
        <w:trPr>
          <w:trHeight w:val="1011"/>
          <w:jc w:val="center"/>
        </w:trPr>
        <w:tc>
          <w:tcPr>
            <w:tcW w:w="3282" w:type="dxa"/>
            <w:tcBorders>
              <w:top w:val="single" w:sz="8" w:space="0" w:color="FFFFFF"/>
              <w:left w:val="single" w:sz="8" w:space="0" w:color="FFFFFF"/>
              <w:bottom w:val="single" w:sz="8" w:space="0" w:color="FFFFFF"/>
              <w:right w:val="single" w:sz="8" w:space="0" w:color="FFFFFF"/>
            </w:tcBorders>
            <w:shd w:val="clear" w:color="auto" w:fill="CCCCCC"/>
            <w:tcMar>
              <w:top w:w="43" w:type="dxa"/>
              <w:left w:w="43" w:type="dxa"/>
              <w:bottom w:w="43" w:type="dxa"/>
              <w:right w:w="43" w:type="dxa"/>
            </w:tcMar>
            <w:vAlign w:val="center"/>
          </w:tcPr>
          <w:p w14:paraId="75F32CF6" w14:textId="77777777" w:rsidR="00CE1B63" w:rsidRDefault="00BC4666">
            <w:pPr>
              <w:numPr>
                <w:ilvl w:val="0"/>
                <w:numId w:val="8"/>
              </w:numPr>
              <w:ind w:left="425" w:hanging="285"/>
              <w:rPr>
                <w:rFonts w:ascii="Calibri" w:eastAsia="Calibri" w:hAnsi="Calibri" w:cs="Calibri"/>
              </w:rPr>
            </w:pPr>
            <w:r>
              <w:rPr>
                <w:rFonts w:ascii="Calibri" w:eastAsia="Calibri" w:hAnsi="Calibri" w:cs="Calibri"/>
              </w:rPr>
              <w:t>Training and Awareness</w:t>
            </w:r>
          </w:p>
        </w:tc>
        <w:tc>
          <w:tcPr>
            <w:tcW w:w="6843" w:type="dxa"/>
            <w:tcBorders>
              <w:top w:val="single" w:sz="8" w:space="0" w:color="FFFFFF"/>
              <w:left w:val="single" w:sz="8" w:space="0" w:color="FFFFFF"/>
              <w:bottom w:val="single" w:sz="8" w:space="0" w:color="FFFFFF"/>
              <w:right w:val="single" w:sz="8" w:space="0" w:color="FFFFFF"/>
            </w:tcBorders>
            <w:shd w:val="clear" w:color="auto" w:fill="D9D9D9"/>
            <w:tcMar>
              <w:top w:w="43" w:type="dxa"/>
              <w:left w:w="43" w:type="dxa"/>
              <w:bottom w:w="43" w:type="dxa"/>
              <w:right w:w="43" w:type="dxa"/>
            </w:tcMar>
            <w:vAlign w:val="center"/>
          </w:tcPr>
          <w:p w14:paraId="0D10BD7A" w14:textId="77777777" w:rsidR="00CE1B63" w:rsidRDefault="00BC4666">
            <w:pPr>
              <w:ind w:left="141"/>
              <w:rPr>
                <w:rFonts w:ascii="Calibri" w:eastAsia="Calibri" w:hAnsi="Calibri" w:cs="Calibri"/>
                <w:color w:val="374151"/>
              </w:rPr>
            </w:pPr>
            <w:r>
              <w:rPr>
                <w:rFonts w:ascii="Calibri" w:eastAsia="Calibri" w:hAnsi="Calibri" w:cs="Calibri"/>
                <w:color w:val="374151"/>
              </w:rPr>
              <w:t>Conduct training sessions and awareness programs to educate team members on risks and mitigation measures.</w:t>
            </w:r>
          </w:p>
        </w:tc>
      </w:tr>
      <w:tr w:rsidR="00CE1B63" w14:paraId="08443186" w14:textId="77777777">
        <w:trPr>
          <w:trHeight w:val="1011"/>
          <w:jc w:val="center"/>
        </w:trPr>
        <w:tc>
          <w:tcPr>
            <w:tcW w:w="3282" w:type="dxa"/>
            <w:tcBorders>
              <w:top w:val="single" w:sz="8" w:space="0" w:color="FFFFFF"/>
              <w:left w:val="single" w:sz="8" w:space="0" w:color="FFFFFF"/>
              <w:bottom w:val="single" w:sz="8" w:space="0" w:color="FFFFFF"/>
              <w:right w:val="single" w:sz="8" w:space="0" w:color="FFFFFF"/>
            </w:tcBorders>
            <w:shd w:val="clear" w:color="auto" w:fill="CCCCCC"/>
            <w:tcMar>
              <w:top w:w="43" w:type="dxa"/>
              <w:left w:w="43" w:type="dxa"/>
              <w:bottom w:w="43" w:type="dxa"/>
              <w:right w:w="43" w:type="dxa"/>
            </w:tcMar>
            <w:vAlign w:val="center"/>
          </w:tcPr>
          <w:p w14:paraId="2D790D82" w14:textId="77777777" w:rsidR="00CE1B63" w:rsidRDefault="00BC4666">
            <w:pPr>
              <w:numPr>
                <w:ilvl w:val="0"/>
                <w:numId w:val="8"/>
              </w:numPr>
              <w:ind w:left="425" w:hanging="285"/>
              <w:rPr>
                <w:rFonts w:ascii="Calibri" w:eastAsia="Calibri" w:hAnsi="Calibri" w:cs="Calibri"/>
              </w:rPr>
            </w:pPr>
            <w:r>
              <w:rPr>
                <w:rFonts w:ascii="Calibri" w:eastAsia="Calibri" w:hAnsi="Calibri" w:cs="Calibri"/>
              </w:rPr>
              <w:t>Incident Response Planning</w:t>
            </w:r>
          </w:p>
        </w:tc>
        <w:tc>
          <w:tcPr>
            <w:tcW w:w="6843" w:type="dxa"/>
            <w:tcBorders>
              <w:top w:val="single" w:sz="8" w:space="0" w:color="FFFFFF"/>
              <w:left w:val="single" w:sz="8" w:space="0" w:color="FFFFFF"/>
              <w:bottom w:val="single" w:sz="8" w:space="0" w:color="FFFFFF"/>
              <w:right w:val="single" w:sz="8" w:space="0" w:color="FFFFFF"/>
            </w:tcBorders>
            <w:tcMar>
              <w:top w:w="43" w:type="dxa"/>
              <w:left w:w="43" w:type="dxa"/>
              <w:bottom w:w="43" w:type="dxa"/>
              <w:right w:w="43" w:type="dxa"/>
            </w:tcMar>
            <w:vAlign w:val="center"/>
          </w:tcPr>
          <w:p w14:paraId="18080F6B" w14:textId="77777777" w:rsidR="00CE1B63" w:rsidRDefault="00BC4666">
            <w:pPr>
              <w:ind w:left="141"/>
              <w:rPr>
                <w:rFonts w:ascii="Calibri" w:eastAsia="Calibri" w:hAnsi="Calibri" w:cs="Calibri"/>
                <w:color w:val="374151"/>
              </w:rPr>
            </w:pPr>
            <w:r>
              <w:rPr>
                <w:rFonts w:ascii="Calibri" w:eastAsia="Calibri" w:hAnsi="Calibri" w:cs="Calibri"/>
                <w:color w:val="374151"/>
              </w:rPr>
              <w:t>Develop a robust plan outlining steps to be taken in the event of security incidents.</w:t>
            </w:r>
          </w:p>
        </w:tc>
      </w:tr>
      <w:tr w:rsidR="00CE1B63" w14:paraId="567FC638" w14:textId="77777777">
        <w:trPr>
          <w:trHeight w:val="1011"/>
          <w:jc w:val="center"/>
        </w:trPr>
        <w:tc>
          <w:tcPr>
            <w:tcW w:w="3282" w:type="dxa"/>
            <w:tcBorders>
              <w:top w:val="single" w:sz="8" w:space="0" w:color="FFFFFF"/>
              <w:left w:val="single" w:sz="8" w:space="0" w:color="FFFFFF"/>
              <w:bottom w:val="single" w:sz="8" w:space="0" w:color="FFFFFF"/>
              <w:right w:val="single" w:sz="8" w:space="0" w:color="FFFFFF"/>
            </w:tcBorders>
            <w:shd w:val="clear" w:color="auto" w:fill="CCCCCC"/>
            <w:tcMar>
              <w:top w:w="43" w:type="dxa"/>
              <w:left w:w="43" w:type="dxa"/>
              <w:bottom w:w="43" w:type="dxa"/>
              <w:right w:w="43" w:type="dxa"/>
            </w:tcMar>
            <w:vAlign w:val="center"/>
          </w:tcPr>
          <w:p w14:paraId="3B2C9741" w14:textId="77777777" w:rsidR="00CE1B63" w:rsidRDefault="00BC4666">
            <w:pPr>
              <w:numPr>
                <w:ilvl w:val="0"/>
                <w:numId w:val="8"/>
              </w:numPr>
              <w:ind w:left="425" w:hanging="285"/>
              <w:rPr>
                <w:rFonts w:ascii="Calibri" w:eastAsia="Calibri" w:hAnsi="Calibri" w:cs="Calibri"/>
              </w:rPr>
            </w:pPr>
            <w:r>
              <w:rPr>
                <w:rFonts w:ascii="Calibri" w:eastAsia="Calibri" w:hAnsi="Calibri" w:cs="Calibri"/>
              </w:rPr>
              <w:t>Lessons Learned and Continuous Improvement</w:t>
            </w:r>
          </w:p>
        </w:tc>
        <w:tc>
          <w:tcPr>
            <w:tcW w:w="6843" w:type="dxa"/>
            <w:tcBorders>
              <w:top w:val="single" w:sz="8" w:space="0" w:color="FFFFFF"/>
              <w:left w:val="single" w:sz="8" w:space="0" w:color="FFFFFF"/>
              <w:bottom w:val="single" w:sz="8" w:space="0" w:color="FFFFFF"/>
              <w:right w:val="single" w:sz="8" w:space="0" w:color="FFFFFF"/>
            </w:tcBorders>
            <w:shd w:val="clear" w:color="auto" w:fill="D9D9D9"/>
            <w:tcMar>
              <w:top w:w="43" w:type="dxa"/>
              <w:left w:w="43" w:type="dxa"/>
              <w:bottom w:w="43" w:type="dxa"/>
              <w:right w:w="43" w:type="dxa"/>
            </w:tcMar>
            <w:vAlign w:val="center"/>
          </w:tcPr>
          <w:p w14:paraId="38B36D95" w14:textId="77777777" w:rsidR="00CE1B63" w:rsidRDefault="00BC4666">
            <w:pPr>
              <w:ind w:left="141"/>
              <w:rPr>
                <w:rFonts w:ascii="Calibri" w:eastAsia="Calibri" w:hAnsi="Calibri" w:cs="Calibri"/>
                <w:color w:val="374151"/>
              </w:rPr>
            </w:pPr>
            <w:r>
              <w:rPr>
                <w:rFonts w:ascii="Calibri" w:eastAsia="Calibri" w:hAnsi="Calibri" w:cs="Calibri"/>
                <w:color w:val="374151"/>
              </w:rPr>
              <w:t>Review and learn from past incidents, updating the risk management plan accordingly.</w:t>
            </w:r>
          </w:p>
        </w:tc>
      </w:tr>
      <w:tr w:rsidR="00CE1B63" w14:paraId="578ABC7D" w14:textId="77777777">
        <w:trPr>
          <w:trHeight w:val="1011"/>
          <w:jc w:val="center"/>
        </w:trPr>
        <w:tc>
          <w:tcPr>
            <w:tcW w:w="3282" w:type="dxa"/>
            <w:tcBorders>
              <w:top w:val="single" w:sz="8" w:space="0" w:color="FFFFFF"/>
              <w:left w:val="single" w:sz="8" w:space="0" w:color="FFFFFF"/>
              <w:bottom w:val="single" w:sz="8" w:space="0" w:color="FFFFFF"/>
              <w:right w:val="single" w:sz="8" w:space="0" w:color="FFFFFF"/>
            </w:tcBorders>
            <w:shd w:val="clear" w:color="auto" w:fill="CCCCCC"/>
            <w:tcMar>
              <w:top w:w="43" w:type="dxa"/>
              <w:left w:w="43" w:type="dxa"/>
              <w:bottom w:w="43" w:type="dxa"/>
              <w:right w:w="43" w:type="dxa"/>
            </w:tcMar>
            <w:vAlign w:val="center"/>
          </w:tcPr>
          <w:p w14:paraId="7EE42B0E" w14:textId="77777777" w:rsidR="00CE1B63" w:rsidRDefault="00BC4666">
            <w:pPr>
              <w:numPr>
                <w:ilvl w:val="0"/>
                <w:numId w:val="8"/>
              </w:numPr>
              <w:ind w:left="425" w:hanging="285"/>
              <w:rPr>
                <w:rFonts w:ascii="Calibri" w:eastAsia="Calibri" w:hAnsi="Calibri" w:cs="Calibri"/>
              </w:rPr>
            </w:pPr>
            <w:r>
              <w:rPr>
                <w:rFonts w:ascii="Calibri" w:eastAsia="Calibri" w:hAnsi="Calibri" w:cs="Calibri"/>
              </w:rPr>
              <w:t>Compliance and Audit</w:t>
            </w:r>
          </w:p>
        </w:tc>
        <w:tc>
          <w:tcPr>
            <w:tcW w:w="6843" w:type="dxa"/>
            <w:tcBorders>
              <w:top w:val="single" w:sz="8" w:space="0" w:color="FFFFFF"/>
              <w:left w:val="single" w:sz="8" w:space="0" w:color="FFFFFF"/>
              <w:bottom w:val="single" w:sz="8" w:space="0" w:color="FFFFFF"/>
              <w:right w:val="single" w:sz="8" w:space="0" w:color="FFFFFF"/>
            </w:tcBorders>
            <w:tcMar>
              <w:top w:w="43" w:type="dxa"/>
              <w:left w:w="43" w:type="dxa"/>
              <w:bottom w:w="43" w:type="dxa"/>
              <w:right w:w="43" w:type="dxa"/>
            </w:tcMar>
            <w:vAlign w:val="center"/>
          </w:tcPr>
          <w:p w14:paraId="1254BAB0" w14:textId="77777777" w:rsidR="00CE1B63" w:rsidRDefault="00BC4666">
            <w:pPr>
              <w:ind w:left="141"/>
              <w:rPr>
                <w:rFonts w:ascii="Calibri" w:eastAsia="Calibri" w:hAnsi="Calibri" w:cs="Calibri"/>
                <w:color w:val="374151"/>
              </w:rPr>
            </w:pPr>
            <w:r>
              <w:rPr>
                <w:rFonts w:ascii="Calibri" w:eastAsia="Calibri" w:hAnsi="Calibri" w:cs="Calibri"/>
                <w:color w:val="374151"/>
              </w:rPr>
              <w:t>Ensure compliance with regulations, standards, and organisational policies.</w:t>
            </w:r>
          </w:p>
        </w:tc>
      </w:tr>
      <w:tr w:rsidR="00CE1B63" w14:paraId="234BC520" w14:textId="77777777">
        <w:trPr>
          <w:trHeight w:val="1011"/>
          <w:jc w:val="center"/>
        </w:trPr>
        <w:tc>
          <w:tcPr>
            <w:tcW w:w="3282" w:type="dxa"/>
            <w:tcBorders>
              <w:top w:val="single" w:sz="8" w:space="0" w:color="FFFFFF"/>
              <w:left w:val="single" w:sz="8" w:space="0" w:color="FFFFFF"/>
              <w:bottom w:val="single" w:sz="8" w:space="0" w:color="FFFFFF"/>
              <w:right w:val="single" w:sz="8" w:space="0" w:color="FFFFFF"/>
            </w:tcBorders>
            <w:shd w:val="clear" w:color="auto" w:fill="CCCCCC"/>
            <w:tcMar>
              <w:top w:w="43" w:type="dxa"/>
              <w:left w:w="43" w:type="dxa"/>
              <w:bottom w:w="43" w:type="dxa"/>
              <w:right w:w="43" w:type="dxa"/>
            </w:tcMar>
            <w:vAlign w:val="center"/>
          </w:tcPr>
          <w:p w14:paraId="006DFD5A" w14:textId="77777777" w:rsidR="00CE1B63" w:rsidRDefault="00BC4666">
            <w:pPr>
              <w:numPr>
                <w:ilvl w:val="0"/>
                <w:numId w:val="8"/>
              </w:numPr>
              <w:ind w:left="425" w:hanging="425"/>
              <w:rPr>
                <w:rFonts w:ascii="Calibri" w:eastAsia="Calibri" w:hAnsi="Calibri" w:cs="Calibri"/>
              </w:rPr>
            </w:pPr>
            <w:r>
              <w:rPr>
                <w:rFonts w:ascii="Calibri" w:eastAsia="Calibri" w:hAnsi="Calibri" w:cs="Calibri"/>
              </w:rPr>
              <w:t>Documentation and Repository</w:t>
            </w:r>
          </w:p>
        </w:tc>
        <w:tc>
          <w:tcPr>
            <w:tcW w:w="6843" w:type="dxa"/>
            <w:tcBorders>
              <w:top w:val="single" w:sz="8" w:space="0" w:color="FFFFFF"/>
              <w:left w:val="single" w:sz="8" w:space="0" w:color="FFFFFF"/>
              <w:bottom w:val="single" w:sz="8" w:space="0" w:color="FFFFFF"/>
              <w:right w:val="single" w:sz="8" w:space="0" w:color="FFFFFF"/>
            </w:tcBorders>
            <w:shd w:val="clear" w:color="auto" w:fill="D9D9D9"/>
            <w:tcMar>
              <w:top w:w="43" w:type="dxa"/>
              <w:left w:w="43" w:type="dxa"/>
              <w:bottom w:w="43" w:type="dxa"/>
              <w:right w:w="43" w:type="dxa"/>
            </w:tcMar>
            <w:vAlign w:val="center"/>
          </w:tcPr>
          <w:p w14:paraId="169D156D" w14:textId="77777777" w:rsidR="00CE1B63" w:rsidRDefault="00BC4666">
            <w:pPr>
              <w:ind w:left="141"/>
              <w:rPr>
                <w:rFonts w:ascii="Calibri" w:eastAsia="Calibri" w:hAnsi="Calibri" w:cs="Calibri"/>
                <w:color w:val="374151"/>
              </w:rPr>
            </w:pPr>
            <w:r>
              <w:rPr>
                <w:rFonts w:ascii="Calibri" w:eastAsia="Calibri" w:hAnsi="Calibri" w:cs="Calibri"/>
                <w:color w:val="374151"/>
              </w:rPr>
              <w:t>Maintain a central repository for risk-related documentation and knowledge.</w:t>
            </w:r>
          </w:p>
        </w:tc>
      </w:tr>
    </w:tbl>
    <w:p w14:paraId="2CD62964" w14:textId="77777777" w:rsidR="00CE1B63" w:rsidRDefault="00CE1B63">
      <w:pPr>
        <w:spacing w:after="0"/>
        <w:ind w:left="-566" w:right="-607"/>
        <w:rPr>
          <w:color w:val="244061"/>
          <w:highlight w:val="white"/>
        </w:rPr>
      </w:pPr>
    </w:p>
    <w:p w14:paraId="2EFEAB79" w14:textId="77777777" w:rsidR="00CE1B63" w:rsidRDefault="00CE1B63">
      <w:pPr>
        <w:spacing w:after="0"/>
        <w:ind w:left="-566" w:right="-607"/>
        <w:rPr>
          <w:color w:val="244061"/>
          <w:highlight w:val="white"/>
        </w:rPr>
      </w:pPr>
    </w:p>
    <w:p w14:paraId="7B04FD62" w14:textId="77777777" w:rsidR="00CE1B63" w:rsidRDefault="00CE1B63">
      <w:pPr>
        <w:spacing w:after="0"/>
        <w:ind w:left="-566" w:right="-607"/>
        <w:rPr>
          <w:color w:val="244061"/>
          <w:highlight w:val="white"/>
        </w:rPr>
      </w:pPr>
    </w:p>
    <w:p w14:paraId="0979988C" w14:textId="77777777" w:rsidR="00CE1B63" w:rsidRDefault="00CE1B63">
      <w:pPr>
        <w:spacing w:after="0"/>
        <w:ind w:left="-566" w:right="-607"/>
        <w:rPr>
          <w:color w:val="244061"/>
          <w:highlight w:val="white"/>
        </w:rPr>
      </w:pPr>
    </w:p>
    <w:p w14:paraId="18DDD900" w14:textId="77777777" w:rsidR="00CE1B63" w:rsidRDefault="00CE1B63">
      <w:pPr>
        <w:spacing w:after="0"/>
        <w:ind w:left="-566" w:right="-607"/>
        <w:rPr>
          <w:color w:val="244061"/>
          <w:highlight w:val="white"/>
        </w:rPr>
      </w:pPr>
    </w:p>
    <w:p w14:paraId="11DA99F0" w14:textId="77777777" w:rsidR="00CE1B63" w:rsidRDefault="00CE1B63">
      <w:pPr>
        <w:spacing w:after="0"/>
        <w:ind w:left="-566" w:right="-607"/>
        <w:rPr>
          <w:color w:val="244061"/>
          <w:highlight w:val="white"/>
        </w:rPr>
      </w:pPr>
    </w:p>
    <w:p w14:paraId="0A5043DD" w14:textId="77777777" w:rsidR="00CE1B63" w:rsidRDefault="00CE1B63">
      <w:pPr>
        <w:spacing w:after="0"/>
        <w:ind w:left="-566" w:right="-607"/>
        <w:rPr>
          <w:color w:val="244061"/>
          <w:highlight w:val="white"/>
        </w:rPr>
      </w:pPr>
    </w:p>
    <w:p w14:paraId="44482730" w14:textId="77777777" w:rsidR="00CE1B63" w:rsidRDefault="00CE1B63">
      <w:pPr>
        <w:spacing w:after="0"/>
        <w:ind w:left="-566" w:right="-607"/>
        <w:rPr>
          <w:color w:val="244061"/>
          <w:highlight w:val="white"/>
        </w:rPr>
      </w:pPr>
    </w:p>
    <w:p w14:paraId="1F14353B" w14:textId="77777777" w:rsidR="00CE1B63" w:rsidRDefault="00CE1B63">
      <w:pPr>
        <w:spacing w:after="0"/>
        <w:ind w:left="-566" w:right="-607"/>
        <w:rPr>
          <w:color w:val="244061"/>
          <w:highlight w:val="white"/>
        </w:rPr>
      </w:pPr>
    </w:p>
    <w:p w14:paraId="654AD546" w14:textId="77777777" w:rsidR="00CE1B63" w:rsidRDefault="00CE1B63">
      <w:pPr>
        <w:spacing w:after="0"/>
        <w:ind w:left="-566" w:right="-607"/>
        <w:rPr>
          <w:color w:val="244061"/>
          <w:highlight w:val="white"/>
        </w:rPr>
      </w:pPr>
    </w:p>
    <w:p w14:paraId="02E4CB28" w14:textId="77777777" w:rsidR="00CE1B63" w:rsidRDefault="00CE1B63">
      <w:pPr>
        <w:spacing w:after="0"/>
        <w:ind w:left="-566" w:right="-607"/>
        <w:rPr>
          <w:color w:val="244061"/>
          <w:highlight w:val="white"/>
        </w:rPr>
      </w:pPr>
    </w:p>
    <w:p w14:paraId="1E526027" w14:textId="77777777" w:rsidR="00CE1B63" w:rsidRDefault="00CE1B63">
      <w:pPr>
        <w:spacing w:after="0"/>
        <w:ind w:left="-566" w:right="-607"/>
        <w:rPr>
          <w:color w:val="244061"/>
          <w:highlight w:val="white"/>
        </w:rPr>
      </w:pPr>
    </w:p>
    <w:tbl>
      <w:tblPr>
        <w:tblStyle w:val="a3"/>
        <w:tblW w:w="104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80"/>
      </w:tblGrid>
      <w:tr w:rsidR="00CE1B63" w14:paraId="1EB12BE6" w14:textId="77777777" w:rsidTr="00163EF0">
        <w:trPr>
          <w:trHeight w:val="158"/>
          <w:jc w:val="center"/>
        </w:trPr>
        <w:tc>
          <w:tcPr>
            <w:tcW w:w="1048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496E11E4" w14:textId="77777777" w:rsidR="00CE1B63" w:rsidRDefault="00BC4666">
            <w:pPr>
              <w:widowControl w:val="0"/>
              <w:rPr>
                <w:rFonts w:ascii="Calibri" w:eastAsia="Calibri" w:hAnsi="Calibri" w:cs="Calibri"/>
                <w:b/>
              </w:rPr>
            </w:pPr>
            <w:bookmarkStart w:id="0" w:name="_gjdgxs" w:colFirst="0" w:colLast="0"/>
            <w:bookmarkEnd w:id="0"/>
            <w:r>
              <w:rPr>
                <w:rFonts w:ascii="Calibri" w:eastAsia="Calibri" w:hAnsi="Calibri" w:cs="Calibri"/>
                <w:b/>
              </w:rPr>
              <w:lastRenderedPageBreak/>
              <w:t>Roles and Responsibilities</w:t>
            </w:r>
          </w:p>
        </w:tc>
      </w:tr>
    </w:tbl>
    <w:p w14:paraId="0DEDE8C1" w14:textId="77777777" w:rsidR="00CE1B63" w:rsidRDefault="00CE1B63">
      <w:pPr>
        <w:tabs>
          <w:tab w:val="left" w:pos="6330"/>
        </w:tabs>
        <w:spacing w:after="0"/>
        <w:ind w:left="-566" w:right="-607"/>
        <w:rPr>
          <w:b/>
          <w:color w:val="1F3863"/>
        </w:rPr>
      </w:pPr>
    </w:p>
    <w:tbl>
      <w:tblPr>
        <w:tblStyle w:val="a4"/>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5"/>
        <w:gridCol w:w="7815"/>
      </w:tblGrid>
      <w:tr w:rsidR="00CE1B63" w14:paraId="0E78E0F8" w14:textId="77777777">
        <w:trPr>
          <w:trHeight w:val="382"/>
          <w:jc w:val="center"/>
        </w:trPr>
        <w:tc>
          <w:tcPr>
            <w:tcW w:w="2535" w:type="dxa"/>
            <w:shd w:val="clear" w:color="auto" w:fill="76A5AF"/>
            <w:vAlign w:val="center"/>
          </w:tcPr>
          <w:p w14:paraId="7B06F18D" w14:textId="77777777" w:rsidR="00CE1B63" w:rsidRDefault="00BC4666">
            <w:pPr>
              <w:spacing w:after="0"/>
              <w:ind w:right="-88"/>
              <w:jc w:val="center"/>
              <w:rPr>
                <w:b/>
                <w:sz w:val="24"/>
                <w:szCs w:val="24"/>
              </w:rPr>
            </w:pPr>
            <w:r>
              <w:rPr>
                <w:b/>
                <w:sz w:val="24"/>
                <w:szCs w:val="24"/>
              </w:rPr>
              <w:t>Roles</w:t>
            </w:r>
          </w:p>
        </w:tc>
        <w:tc>
          <w:tcPr>
            <w:tcW w:w="7815" w:type="dxa"/>
            <w:shd w:val="clear" w:color="auto" w:fill="76A5AF"/>
            <w:vAlign w:val="center"/>
          </w:tcPr>
          <w:p w14:paraId="546DAC53" w14:textId="77777777" w:rsidR="00CE1B63" w:rsidRDefault="00BC4666">
            <w:pPr>
              <w:spacing w:after="0"/>
              <w:ind w:left="283" w:right="-88" w:hanging="283"/>
              <w:jc w:val="center"/>
              <w:rPr>
                <w:b/>
                <w:sz w:val="24"/>
                <w:szCs w:val="24"/>
              </w:rPr>
            </w:pPr>
            <w:r>
              <w:rPr>
                <w:b/>
                <w:sz w:val="24"/>
                <w:szCs w:val="24"/>
              </w:rPr>
              <w:t>Responsibilities</w:t>
            </w:r>
          </w:p>
        </w:tc>
      </w:tr>
      <w:tr w:rsidR="00CE1B63" w14:paraId="7771C55A" w14:textId="77777777">
        <w:trPr>
          <w:trHeight w:val="2730"/>
          <w:jc w:val="center"/>
        </w:trPr>
        <w:tc>
          <w:tcPr>
            <w:tcW w:w="2535" w:type="dxa"/>
            <w:shd w:val="clear" w:color="auto" w:fill="D9D9D9"/>
            <w:vAlign w:val="center"/>
          </w:tcPr>
          <w:p w14:paraId="4E5B4463" w14:textId="77777777" w:rsidR="00CE1B63" w:rsidRDefault="00BC4666">
            <w:pPr>
              <w:ind w:right="-88"/>
              <w:rPr>
                <w:b/>
                <w:sz w:val="20"/>
                <w:szCs w:val="20"/>
              </w:rPr>
            </w:pPr>
            <w:r>
              <w:rPr>
                <w:b/>
                <w:sz w:val="20"/>
                <w:szCs w:val="20"/>
              </w:rPr>
              <w:t>Project Owner</w:t>
            </w:r>
            <w:r>
              <w:rPr>
                <w:sz w:val="20"/>
                <w:szCs w:val="20"/>
              </w:rPr>
              <w:t xml:space="preserve"> - </w:t>
            </w:r>
            <w:r>
              <w:rPr>
                <w:sz w:val="20"/>
                <w:szCs w:val="20"/>
              </w:rPr>
              <w:br/>
              <w:t>Hettige Jayatissa</w:t>
            </w:r>
          </w:p>
        </w:tc>
        <w:tc>
          <w:tcPr>
            <w:tcW w:w="7815" w:type="dxa"/>
            <w:vAlign w:val="center"/>
          </w:tcPr>
          <w:p w14:paraId="1E5B6FF2" w14:textId="267B7080" w:rsidR="00CE1B63" w:rsidRDefault="00BC4666">
            <w:pPr>
              <w:numPr>
                <w:ilvl w:val="0"/>
                <w:numId w:val="5"/>
              </w:numPr>
              <w:pBdr>
                <w:top w:val="nil"/>
                <w:left w:val="nil"/>
                <w:bottom w:val="nil"/>
                <w:right w:val="nil"/>
                <w:between w:val="nil"/>
              </w:pBdr>
              <w:spacing w:after="0" w:line="240" w:lineRule="auto"/>
              <w:ind w:left="283" w:right="-88" w:hanging="283"/>
              <w:rPr>
                <w:color w:val="434343"/>
                <w:sz w:val="20"/>
                <w:szCs w:val="20"/>
              </w:rPr>
            </w:pPr>
            <w:r>
              <w:rPr>
                <w:color w:val="434343"/>
                <w:sz w:val="20"/>
                <w:szCs w:val="20"/>
              </w:rPr>
              <w:t xml:space="preserve">Defines the project </w:t>
            </w:r>
            <w:r w:rsidR="00163EF0">
              <w:rPr>
                <w:color w:val="434343"/>
                <w:sz w:val="20"/>
                <w:szCs w:val="20"/>
              </w:rPr>
              <w:t>objectives.</w:t>
            </w:r>
          </w:p>
          <w:p w14:paraId="34E2528F" w14:textId="52115B88" w:rsidR="00CE1B63" w:rsidRDefault="00BC4666">
            <w:pPr>
              <w:numPr>
                <w:ilvl w:val="0"/>
                <w:numId w:val="5"/>
              </w:numPr>
              <w:pBdr>
                <w:top w:val="nil"/>
                <w:left w:val="nil"/>
                <w:bottom w:val="nil"/>
                <w:right w:val="nil"/>
                <w:between w:val="nil"/>
              </w:pBdr>
              <w:spacing w:after="0" w:line="240" w:lineRule="auto"/>
              <w:ind w:left="283" w:right="-88" w:hanging="283"/>
              <w:rPr>
                <w:color w:val="434343"/>
                <w:sz w:val="20"/>
                <w:szCs w:val="20"/>
              </w:rPr>
            </w:pPr>
            <w:r>
              <w:rPr>
                <w:color w:val="434343"/>
                <w:sz w:val="20"/>
                <w:szCs w:val="20"/>
              </w:rPr>
              <w:t xml:space="preserve">Provide project direction and </w:t>
            </w:r>
            <w:r w:rsidR="00163EF0">
              <w:rPr>
                <w:color w:val="434343"/>
                <w:sz w:val="20"/>
                <w:szCs w:val="20"/>
              </w:rPr>
              <w:t>guidance.</w:t>
            </w:r>
          </w:p>
          <w:p w14:paraId="698601E7" w14:textId="3D7DCB3C" w:rsidR="00CE1B63" w:rsidRDefault="00BC4666">
            <w:pPr>
              <w:numPr>
                <w:ilvl w:val="0"/>
                <w:numId w:val="5"/>
              </w:numPr>
              <w:pBdr>
                <w:top w:val="nil"/>
                <w:left w:val="nil"/>
                <w:bottom w:val="nil"/>
                <w:right w:val="nil"/>
                <w:between w:val="nil"/>
              </w:pBdr>
              <w:spacing w:after="0" w:line="240" w:lineRule="auto"/>
              <w:ind w:left="283" w:right="-88" w:hanging="283"/>
              <w:rPr>
                <w:color w:val="434343"/>
                <w:sz w:val="20"/>
                <w:szCs w:val="20"/>
              </w:rPr>
            </w:pPr>
            <w:r>
              <w:rPr>
                <w:color w:val="434343"/>
                <w:sz w:val="20"/>
                <w:szCs w:val="20"/>
              </w:rPr>
              <w:t xml:space="preserve">Manage project </w:t>
            </w:r>
            <w:r w:rsidR="00163EF0">
              <w:rPr>
                <w:color w:val="434343"/>
                <w:sz w:val="20"/>
                <w:szCs w:val="20"/>
              </w:rPr>
              <w:t>stakeholders.</w:t>
            </w:r>
          </w:p>
          <w:p w14:paraId="5503DF79" w14:textId="5828F335" w:rsidR="00CE1B63" w:rsidRDefault="00BC4666">
            <w:pPr>
              <w:numPr>
                <w:ilvl w:val="0"/>
                <w:numId w:val="5"/>
              </w:numPr>
              <w:pBdr>
                <w:top w:val="nil"/>
                <w:left w:val="nil"/>
                <w:bottom w:val="nil"/>
                <w:right w:val="nil"/>
                <w:between w:val="nil"/>
              </w:pBdr>
              <w:spacing w:after="0" w:line="240" w:lineRule="auto"/>
              <w:ind w:left="283" w:right="-88" w:hanging="283"/>
              <w:rPr>
                <w:color w:val="434343"/>
                <w:sz w:val="20"/>
                <w:szCs w:val="20"/>
              </w:rPr>
            </w:pPr>
            <w:r>
              <w:rPr>
                <w:color w:val="434343"/>
                <w:sz w:val="20"/>
                <w:szCs w:val="20"/>
              </w:rPr>
              <w:t xml:space="preserve">Approve project </w:t>
            </w:r>
            <w:r w:rsidR="00163EF0">
              <w:rPr>
                <w:color w:val="434343"/>
                <w:sz w:val="20"/>
                <w:szCs w:val="20"/>
              </w:rPr>
              <w:t>deliverables.</w:t>
            </w:r>
          </w:p>
          <w:p w14:paraId="10A0F5A8" w14:textId="0D3EDB78" w:rsidR="00CE1B63" w:rsidRDefault="00BC4666">
            <w:pPr>
              <w:numPr>
                <w:ilvl w:val="0"/>
                <w:numId w:val="5"/>
              </w:numPr>
              <w:pBdr>
                <w:top w:val="nil"/>
                <w:left w:val="nil"/>
                <w:bottom w:val="nil"/>
                <w:right w:val="nil"/>
                <w:between w:val="nil"/>
              </w:pBdr>
              <w:spacing w:after="0" w:line="240" w:lineRule="auto"/>
              <w:ind w:left="283" w:right="-88" w:hanging="283"/>
              <w:rPr>
                <w:color w:val="434343"/>
                <w:sz w:val="20"/>
                <w:szCs w:val="20"/>
              </w:rPr>
            </w:pPr>
            <w:r>
              <w:rPr>
                <w:color w:val="434343"/>
                <w:sz w:val="20"/>
                <w:szCs w:val="20"/>
              </w:rPr>
              <w:t xml:space="preserve">Make decisions and resolve </w:t>
            </w:r>
            <w:r w:rsidR="00163EF0">
              <w:rPr>
                <w:color w:val="434343"/>
                <w:sz w:val="20"/>
                <w:szCs w:val="20"/>
              </w:rPr>
              <w:t>issues.</w:t>
            </w:r>
          </w:p>
          <w:p w14:paraId="09FCF990" w14:textId="711D26B8" w:rsidR="00CE1B63" w:rsidRDefault="00BC4666">
            <w:pPr>
              <w:numPr>
                <w:ilvl w:val="0"/>
                <w:numId w:val="5"/>
              </w:numPr>
              <w:pBdr>
                <w:top w:val="nil"/>
                <w:left w:val="nil"/>
                <w:bottom w:val="nil"/>
                <w:right w:val="nil"/>
                <w:between w:val="nil"/>
              </w:pBdr>
              <w:spacing w:after="0" w:line="240" w:lineRule="auto"/>
              <w:ind w:left="283" w:right="-88" w:hanging="283"/>
              <w:rPr>
                <w:color w:val="434343"/>
                <w:sz w:val="20"/>
                <w:szCs w:val="20"/>
              </w:rPr>
            </w:pPr>
            <w:r>
              <w:rPr>
                <w:color w:val="434343"/>
                <w:sz w:val="20"/>
                <w:szCs w:val="20"/>
              </w:rPr>
              <w:t xml:space="preserve">Manage project </w:t>
            </w:r>
            <w:r w:rsidR="00163EF0">
              <w:rPr>
                <w:color w:val="434343"/>
                <w:sz w:val="20"/>
                <w:szCs w:val="20"/>
              </w:rPr>
              <w:t>constraints.</w:t>
            </w:r>
          </w:p>
          <w:p w14:paraId="48FEC062" w14:textId="0C4DE8A0" w:rsidR="00CE1B63" w:rsidRDefault="00BC4666">
            <w:pPr>
              <w:numPr>
                <w:ilvl w:val="0"/>
                <w:numId w:val="5"/>
              </w:numPr>
              <w:pBdr>
                <w:top w:val="nil"/>
                <w:left w:val="nil"/>
                <w:bottom w:val="nil"/>
                <w:right w:val="nil"/>
                <w:between w:val="nil"/>
              </w:pBdr>
              <w:spacing w:after="0" w:line="240" w:lineRule="auto"/>
              <w:ind w:left="283" w:right="-88" w:hanging="283"/>
              <w:rPr>
                <w:color w:val="434343"/>
                <w:sz w:val="20"/>
                <w:szCs w:val="20"/>
              </w:rPr>
            </w:pPr>
            <w:r>
              <w:rPr>
                <w:color w:val="434343"/>
                <w:sz w:val="20"/>
                <w:szCs w:val="20"/>
              </w:rPr>
              <w:t xml:space="preserve">Ensure project </w:t>
            </w:r>
            <w:r w:rsidR="00163EF0">
              <w:rPr>
                <w:color w:val="434343"/>
                <w:sz w:val="20"/>
                <w:szCs w:val="20"/>
              </w:rPr>
              <w:t>success.</w:t>
            </w:r>
          </w:p>
          <w:p w14:paraId="70275CD8" w14:textId="412E7B1D" w:rsidR="00CE1B63" w:rsidRDefault="00BC4666">
            <w:pPr>
              <w:numPr>
                <w:ilvl w:val="0"/>
                <w:numId w:val="5"/>
              </w:numPr>
              <w:pBdr>
                <w:top w:val="nil"/>
                <w:left w:val="nil"/>
                <w:bottom w:val="nil"/>
                <w:right w:val="nil"/>
                <w:between w:val="nil"/>
              </w:pBdr>
              <w:spacing w:after="0" w:line="240" w:lineRule="auto"/>
              <w:ind w:left="283" w:right="-88" w:hanging="283"/>
              <w:rPr>
                <w:color w:val="434343"/>
                <w:sz w:val="20"/>
                <w:szCs w:val="20"/>
              </w:rPr>
            </w:pPr>
            <w:r>
              <w:rPr>
                <w:color w:val="434343"/>
                <w:sz w:val="20"/>
                <w:szCs w:val="20"/>
              </w:rPr>
              <w:t xml:space="preserve">Participate in project </w:t>
            </w:r>
            <w:r w:rsidR="00163EF0">
              <w:rPr>
                <w:color w:val="434343"/>
                <w:sz w:val="20"/>
                <w:szCs w:val="20"/>
              </w:rPr>
              <w:t>governance.</w:t>
            </w:r>
          </w:p>
          <w:p w14:paraId="3121C43A" w14:textId="77777777" w:rsidR="00CE1B63" w:rsidRDefault="00BC4666">
            <w:pPr>
              <w:numPr>
                <w:ilvl w:val="0"/>
                <w:numId w:val="5"/>
              </w:numPr>
              <w:pBdr>
                <w:top w:val="nil"/>
                <w:left w:val="nil"/>
                <w:bottom w:val="nil"/>
                <w:right w:val="nil"/>
                <w:between w:val="nil"/>
              </w:pBdr>
              <w:spacing w:after="0" w:line="240" w:lineRule="auto"/>
              <w:ind w:left="283" w:right="-88" w:hanging="283"/>
              <w:rPr>
                <w:color w:val="434343"/>
                <w:sz w:val="20"/>
                <w:szCs w:val="20"/>
              </w:rPr>
            </w:pPr>
            <w:r>
              <w:rPr>
                <w:color w:val="434343"/>
                <w:sz w:val="20"/>
                <w:szCs w:val="20"/>
              </w:rPr>
              <w:t>Act as a liaison between the project team and senior management</w:t>
            </w:r>
          </w:p>
        </w:tc>
      </w:tr>
      <w:tr w:rsidR="00CE1B63" w14:paraId="3CF2D4E8" w14:textId="77777777">
        <w:trPr>
          <w:trHeight w:val="2345"/>
          <w:jc w:val="center"/>
        </w:trPr>
        <w:tc>
          <w:tcPr>
            <w:tcW w:w="2535" w:type="dxa"/>
            <w:shd w:val="clear" w:color="auto" w:fill="D9D9D9"/>
            <w:vAlign w:val="center"/>
          </w:tcPr>
          <w:p w14:paraId="62ACF731" w14:textId="77777777" w:rsidR="00CE1B63" w:rsidRDefault="00BC4666">
            <w:pPr>
              <w:ind w:right="-88"/>
              <w:rPr>
                <w:b/>
                <w:sz w:val="20"/>
                <w:szCs w:val="20"/>
              </w:rPr>
            </w:pPr>
            <w:r>
              <w:rPr>
                <w:b/>
                <w:sz w:val="20"/>
                <w:szCs w:val="20"/>
              </w:rPr>
              <w:t xml:space="preserve">Project Manager </w:t>
            </w:r>
            <w:r>
              <w:rPr>
                <w:sz w:val="20"/>
                <w:szCs w:val="20"/>
              </w:rPr>
              <w:t xml:space="preserve">- </w:t>
            </w:r>
            <w:r>
              <w:rPr>
                <w:sz w:val="20"/>
                <w:szCs w:val="20"/>
              </w:rPr>
              <w:br/>
              <w:t>Giuseppe Raciti</w:t>
            </w:r>
          </w:p>
        </w:tc>
        <w:tc>
          <w:tcPr>
            <w:tcW w:w="7815" w:type="dxa"/>
            <w:vAlign w:val="center"/>
          </w:tcPr>
          <w:p w14:paraId="2094096A" w14:textId="77777777" w:rsidR="00CE1B63" w:rsidRDefault="00BC4666">
            <w:pPr>
              <w:numPr>
                <w:ilvl w:val="0"/>
                <w:numId w:val="7"/>
              </w:numPr>
              <w:pBdr>
                <w:top w:val="nil"/>
                <w:left w:val="nil"/>
                <w:bottom w:val="nil"/>
                <w:right w:val="nil"/>
                <w:between w:val="nil"/>
              </w:pBdr>
              <w:spacing w:after="0"/>
              <w:ind w:left="283" w:right="-88" w:hanging="283"/>
              <w:rPr>
                <w:color w:val="434343"/>
                <w:sz w:val="20"/>
                <w:szCs w:val="20"/>
              </w:rPr>
            </w:pPr>
            <w:r>
              <w:rPr>
                <w:color w:val="434343"/>
                <w:sz w:val="20"/>
                <w:szCs w:val="20"/>
              </w:rPr>
              <w:t>Overall project coordination and management</w:t>
            </w:r>
          </w:p>
          <w:p w14:paraId="6A39EF96" w14:textId="299DEBC3" w:rsidR="00CE1B63" w:rsidRDefault="00BC4666">
            <w:pPr>
              <w:numPr>
                <w:ilvl w:val="0"/>
                <w:numId w:val="7"/>
              </w:numPr>
              <w:pBdr>
                <w:top w:val="nil"/>
                <w:left w:val="nil"/>
                <w:bottom w:val="nil"/>
                <w:right w:val="nil"/>
                <w:between w:val="nil"/>
              </w:pBdr>
              <w:spacing w:after="0"/>
              <w:ind w:left="283" w:right="-88" w:hanging="283"/>
              <w:rPr>
                <w:color w:val="434343"/>
                <w:sz w:val="20"/>
                <w:szCs w:val="20"/>
              </w:rPr>
            </w:pPr>
            <w:r>
              <w:rPr>
                <w:color w:val="434343"/>
                <w:sz w:val="20"/>
                <w:szCs w:val="20"/>
              </w:rPr>
              <w:t xml:space="preserve">Plan, organize, and control project </w:t>
            </w:r>
            <w:r w:rsidR="00163EF0">
              <w:rPr>
                <w:color w:val="434343"/>
                <w:sz w:val="20"/>
                <w:szCs w:val="20"/>
              </w:rPr>
              <w:t>activities.</w:t>
            </w:r>
          </w:p>
          <w:p w14:paraId="4BA943A7" w14:textId="7EAEA401" w:rsidR="00CE1B63" w:rsidRDefault="00BC4666">
            <w:pPr>
              <w:numPr>
                <w:ilvl w:val="0"/>
                <w:numId w:val="7"/>
              </w:numPr>
              <w:pBdr>
                <w:top w:val="nil"/>
                <w:left w:val="nil"/>
                <w:bottom w:val="nil"/>
                <w:right w:val="nil"/>
                <w:between w:val="nil"/>
              </w:pBdr>
              <w:spacing w:after="0"/>
              <w:ind w:left="283" w:right="-88" w:hanging="283"/>
              <w:rPr>
                <w:color w:val="434343"/>
                <w:sz w:val="20"/>
                <w:szCs w:val="20"/>
              </w:rPr>
            </w:pPr>
            <w:r>
              <w:rPr>
                <w:color w:val="434343"/>
                <w:sz w:val="20"/>
                <w:szCs w:val="20"/>
              </w:rPr>
              <w:t xml:space="preserve">Ensures project deliverables are completed on time and within </w:t>
            </w:r>
            <w:r w:rsidR="00163EF0">
              <w:rPr>
                <w:color w:val="434343"/>
                <w:sz w:val="20"/>
                <w:szCs w:val="20"/>
              </w:rPr>
              <w:t>budget.</w:t>
            </w:r>
          </w:p>
          <w:p w14:paraId="379548AB" w14:textId="77777777" w:rsidR="00CE1B63" w:rsidRDefault="00BC4666">
            <w:pPr>
              <w:numPr>
                <w:ilvl w:val="0"/>
                <w:numId w:val="7"/>
              </w:numPr>
              <w:pBdr>
                <w:top w:val="nil"/>
                <w:left w:val="nil"/>
                <w:bottom w:val="nil"/>
                <w:right w:val="nil"/>
                <w:between w:val="nil"/>
              </w:pBdr>
              <w:spacing w:after="0"/>
              <w:ind w:left="283" w:right="-88" w:hanging="283"/>
              <w:rPr>
                <w:color w:val="434343"/>
                <w:sz w:val="20"/>
                <w:szCs w:val="20"/>
              </w:rPr>
            </w:pPr>
            <w:r>
              <w:rPr>
                <w:color w:val="434343"/>
                <w:sz w:val="20"/>
                <w:szCs w:val="20"/>
              </w:rPr>
              <w:t>Risk management and mitigation</w:t>
            </w:r>
          </w:p>
          <w:p w14:paraId="75118A48" w14:textId="77777777" w:rsidR="00CE1B63" w:rsidRDefault="00BC4666">
            <w:pPr>
              <w:numPr>
                <w:ilvl w:val="0"/>
                <w:numId w:val="7"/>
              </w:numPr>
              <w:pBdr>
                <w:top w:val="nil"/>
                <w:left w:val="nil"/>
                <w:bottom w:val="nil"/>
                <w:right w:val="nil"/>
                <w:between w:val="nil"/>
              </w:pBdr>
              <w:spacing w:after="0"/>
              <w:ind w:left="283" w:right="-88" w:hanging="283"/>
              <w:rPr>
                <w:color w:val="434343"/>
                <w:sz w:val="20"/>
                <w:szCs w:val="20"/>
              </w:rPr>
            </w:pPr>
            <w:r>
              <w:rPr>
                <w:color w:val="434343"/>
                <w:sz w:val="20"/>
                <w:szCs w:val="20"/>
              </w:rPr>
              <w:t>Stakeholder Communication and Reporting</w:t>
            </w:r>
          </w:p>
        </w:tc>
      </w:tr>
      <w:tr w:rsidR="00CE1B63" w14:paraId="6F032863" w14:textId="77777777">
        <w:trPr>
          <w:trHeight w:val="2345"/>
          <w:jc w:val="center"/>
        </w:trPr>
        <w:tc>
          <w:tcPr>
            <w:tcW w:w="2535" w:type="dxa"/>
            <w:shd w:val="clear" w:color="auto" w:fill="D9D9D9"/>
            <w:vAlign w:val="center"/>
          </w:tcPr>
          <w:p w14:paraId="4ADE9FB9" w14:textId="77777777" w:rsidR="00CE1B63" w:rsidRDefault="00BC4666">
            <w:pPr>
              <w:ind w:right="-88"/>
              <w:rPr>
                <w:b/>
                <w:sz w:val="20"/>
                <w:szCs w:val="20"/>
              </w:rPr>
            </w:pPr>
            <w:r>
              <w:rPr>
                <w:b/>
                <w:sz w:val="20"/>
                <w:szCs w:val="20"/>
              </w:rPr>
              <w:t>Cyber Security Specialis</w:t>
            </w:r>
            <w:r>
              <w:rPr>
                <w:b/>
                <w:sz w:val="20"/>
                <w:szCs w:val="20"/>
              </w:rPr>
              <w:t xml:space="preserve">t </w:t>
            </w:r>
            <w:r>
              <w:rPr>
                <w:sz w:val="20"/>
                <w:szCs w:val="20"/>
              </w:rPr>
              <w:t xml:space="preserve">- </w:t>
            </w:r>
            <w:r>
              <w:rPr>
                <w:sz w:val="20"/>
                <w:szCs w:val="20"/>
              </w:rPr>
              <w:br/>
              <w:t>Shaun Heywood</w:t>
            </w:r>
          </w:p>
        </w:tc>
        <w:tc>
          <w:tcPr>
            <w:tcW w:w="7815" w:type="dxa"/>
            <w:vAlign w:val="center"/>
          </w:tcPr>
          <w:p w14:paraId="59A25512" w14:textId="77777777" w:rsidR="00CE1B63" w:rsidRDefault="00BC4666">
            <w:pPr>
              <w:numPr>
                <w:ilvl w:val="0"/>
                <w:numId w:val="9"/>
              </w:numPr>
              <w:pBdr>
                <w:top w:val="nil"/>
                <w:left w:val="nil"/>
                <w:bottom w:val="nil"/>
                <w:right w:val="nil"/>
                <w:between w:val="nil"/>
              </w:pBdr>
              <w:spacing w:after="0"/>
              <w:ind w:left="283" w:right="-88" w:hanging="283"/>
              <w:rPr>
                <w:color w:val="434343"/>
                <w:sz w:val="20"/>
                <w:szCs w:val="20"/>
              </w:rPr>
            </w:pPr>
            <w:r>
              <w:rPr>
                <w:color w:val="434343"/>
                <w:sz w:val="20"/>
                <w:szCs w:val="20"/>
              </w:rPr>
              <w:t>Conduct assessments of the existing infrastructure</w:t>
            </w:r>
          </w:p>
          <w:p w14:paraId="43A67DB6" w14:textId="30B0B612" w:rsidR="00CE1B63" w:rsidRDefault="00BC4666">
            <w:pPr>
              <w:numPr>
                <w:ilvl w:val="0"/>
                <w:numId w:val="9"/>
              </w:numPr>
              <w:pBdr>
                <w:top w:val="nil"/>
                <w:left w:val="nil"/>
                <w:bottom w:val="nil"/>
                <w:right w:val="nil"/>
                <w:between w:val="nil"/>
              </w:pBdr>
              <w:spacing w:after="0"/>
              <w:ind w:left="283" w:right="-88" w:hanging="283"/>
              <w:rPr>
                <w:color w:val="434343"/>
                <w:sz w:val="20"/>
                <w:szCs w:val="20"/>
              </w:rPr>
            </w:pPr>
            <w:r>
              <w:rPr>
                <w:color w:val="434343"/>
                <w:sz w:val="20"/>
                <w:szCs w:val="20"/>
              </w:rPr>
              <w:t xml:space="preserve">Design and implement security measures for the cloud </w:t>
            </w:r>
            <w:r w:rsidR="00163EF0">
              <w:rPr>
                <w:color w:val="434343"/>
                <w:sz w:val="20"/>
                <w:szCs w:val="20"/>
              </w:rPr>
              <w:t>infrastructure.</w:t>
            </w:r>
          </w:p>
          <w:p w14:paraId="653197B7" w14:textId="2F397E0F" w:rsidR="00CE1B63" w:rsidRDefault="00BC4666">
            <w:pPr>
              <w:numPr>
                <w:ilvl w:val="0"/>
                <w:numId w:val="9"/>
              </w:numPr>
              <w:pBdr>
                <w:top w:val="nil"/>
                <w:left w:val="nil"/>
                <w:bottom w:val="nil"/>
                <w:right w:val="nil"/>
                <w:between w:val="nil"/>
              </w:pBdr>
              <w:spacing w:after="0"/>
              <w:ind w:left="283" w:right="-88" w:hanging="283"/>
              <w:rPr>
                <w:color w:val="434343"/>
                <w:sz w:val="20"/>
                <w:szCs w:val="20"/>
              </w:rPr>
            </w:pPr>
            <w:r>
              <w:rPr>
                <w:color w:val="434343"/>
                <w:sz w:val="20"/>
                <w:szCs w:val="20"/>
              </w:rPr>
              <w:t xml:space="preserve">Configure and manage firewalls, IPS/IDS systems, and antivirus/malware </w:t>
            </w:r>
            <w:r w:rsidR="00163EF0">
              <w:rPr>
                <w:color w:val="434343"/>
                <w:sz w:val="20"/>
                <w:szCs w:val="20"/>
              </w:rPr>
              <w:t>protection.</w:t>
            </w:r>
          </w:p>
          <w:p w14:paraId="3A963733" w14:textId="74D5B912" w:rsidR="00CE1B63" w:rsidRDefault="00BC4666">
            <w:pPr>
              <w:numPr>
                <w:ilvl w:val="0"/>
                <w:numId w:val="9"/>
              </w:numPr>
              <w:pBdr>
                <w:top w:val="nil"/>
                <w:left w:val="nil"/>
                <w:bottom w:val="nil"/>
                <w:right w:val="nil"/>
                <w:between w:val="nil"/>
              </w:pBdr>
              <w:spacing w:after="0"/>
              <w:ind w:left="283" w:right="-88" w:hanging="283"/>
              <w:rPr>
                <w:color w:val="434343"/>
                <w:sz w:val="20"/>
                <w:szCs w:val="20"/>
              </w:rPr>
            </w:pPr>
            <w:r>
              <w:rPr>
                <w:color w:val="434343"/>
                <w:sz w:val="20"/>
                <w:szCs w:val="20"/>
              </w:rPr>
              <w:t xml:space="preserve">Oversee testing and incident </w:t>
            </w:r>
            <w:r w:rsidR="00163EF0">
              <w:rPr>
                <w:color w:val="434343"/>
                <w:sz w:val="20"/>
                <w:szCs w:val="20"/>
              </w:rPr>
              <w:t>response.</w:t>
            </w:r>
          </w:p>
          <w:p w14:paraId="2FD072B3" w14:textId="7BFAFF6A" w:rsidR="00CE1B63" w:rsidRDefault="00BC4666">
            <w:pPr>
              <w:numPr>
                <w:ilvl w:val="0"/>
                <w:numId w:val="9"/>
              </w:numPr>
              <w:pBdr>
                <w:top w:val="nil"/>
                <w:left w:val="nil"/>
                <w:bottom w:val="nil"/>
                <w:right w:val="nil"/>
                <w:between w:val="nil"/>
              </w:pBdr>
              <w:spacing w:after="0"/>
              <w:ind w:left="283" w:right="-88" w:hanging="283"/>
              <w:rPr>
                <w:color w:val="434343"/>
                <w:sz w:val="20"/>
                <w:szCs w:val="20"/>
              </w:rPr>
            </w:pPr>
            <w:r>
              <w:rPr>
                <w:color w:val="434343"/>
                <w:sz w:val="20"/>
                <w:szCs w:val="20"/>
              </w:rPr>
              <w:t xml:space="preserve">Monitor and </w:t>
            </w:r>
            <w:r w:rsidR="00163EF0">
              <w:rPr>
                <w:color w:val="434343"/>
                <w:sz w:val="20"/>
                <w:szCs w:val="20"/>
              </w:rPr>
              <w:t>analyse</w:t>
            </w:r>
            <w:r>
              <w:rPr>
                <w:color w:val="434343"/>
                <w:sz w:val="20"/>
                <w:szCs w:val="20"/>
              </w:rPr>
              <w:t xml:space="preserve"> logs for potential security threats or </w:t>
            </w:r>
            <w:r w:rsidR="00163EF0">
              <w:rPr>
                <w:color w:val="434343"/>
                <w:sz w:val="20"/>
                <w:szCs w:val="20"/>
              </w:rPr>
              <w:t>breaches.</w:t>
            </w:r>
          </w:p>
          <w:p w14:paraId="6ACD0854" w14:textId="06A4341B" w:rsidR="00CE1B63" w:rsidRDefault="00BC4666">
            <w:pPr>
              <w:numPr>
                <w:ilvl w:val="0"/>
                <w:numId w:val="9"/>
              </w:numPr>
              <w:pBdr>
                <w:top w:val="nil"/>
                <w:left w:val="nil"/>
                <w:bottom w:val="nil"/>
                <w:right w:val="nil"/>
                <w:between w:val="nil"/>
              </w:pBdr>
              <w:spacing w:after="0"/>
              <w:ind w:left="283" w:right="-88" w:hanging="283"/>
              <w:rPr>
                <w:color w:val="434343"/>
                <w:sz w:val="20"/>
                <w:szCs w:val="20"/>
              </w:rPr>
            </w:pPr>
            <w:r>
              <w:rPr>
                <w:color w:val="434343"/>
                <w:sz w:val="20"/>
                <w:szCs w:val="20"/>
              </w:rPr>
              <w:t xml:space="preserve">Provide guidance on security best </w:t>
            </w:r>
            <w:r w:rsidR="00163EF0">
              <w:rPr>
                <w:color w:val="434343"/>
                <w:sz w:val="20"/>
                <w:szCs w:val="20"/>
              </w:rPr>
              <w:t>practices.</w:t>
            </w:r>
          </w:p>
          <w:p w14:paraId="56C56D69" w14:textId="77777777" w:rsidR="00CE1B63" w:rsidRDefault="00BC4666">
            <w:pPr>
              <w:numPr>
                <w:ilvl w:val="0"/>
                <w:numId w:val="9"/>
              </w:numPr>
              <w:pBdr>
                <w:top w:val="nil"/>
                <w:left w:val="nil"/>
                <w:bottom w:val="nil"/>
                <w:right w:val="nil"/>
                <w:between w:val="nil"/>
              </w:pBdr>
              <w:spacing w:after="0"/>
              <w:ind w:left="283" w:right="-88" w:hanging="283"/>
              <w:rPr>
                <w:color w:val="434343"/>
                <w:sz w:val="20"/>
                <w:szCs w:val="20"/>
              </w:rPr>
            </w:pPr>
            <w:r>
              <w:rPr>
                <w:color w:val="434343"/>
                <w:sz w:val="20"/>
                <w:szCs w:val="20"/>
              </w:rPr>
              <w:t>Collaborate with the pro</w:t>
            </w:r>
            <w:r>
              <w:rPr>
                <w:color w:val="434343"/>
                <w:sz w:val="20"/>
                <w:szCs w:val="20"/>
              </w:rPr>
              <w:t>ject team to address security vulnerabilities and risks</w:t>
            </w:r>
          </w:p>
        </w:tc>
      </w:tr>
      <w:tr w:rsidR="00CE1B63" w14:paraId="6BC821BF" w14:textId="77777777">
        <w:trPr>
          <w:trHeight w:val="2345"/>
          <w:jc w:val="center"/>
        </w:trPr>
        <w:tc>
          <w:tcPr>
            <w:tcW w:w="2535" w:type="dxa"/>
            <w:shd w:val="clear" w:color="auto" w:fill="D9D9D9"/>
            <w:vAlign w:val="center"/>
          </w:tcPr>
          <w:p w14:paraId="67315699" w14:textId="77777777" w:rsidR="00CE1B63" w:rsidRDefault="00BC4666">
            <w:pPr>
              <w:ind w:right="-88"/>
              <w:rPr>
                <w:b/>
                <w:sz w:val="20"/>
                <w:szCs w:val="20"/>
              </w:rPr>
            </w:pPr>
            <w:r>
              <w:rPr>
                <w:b/>
                <w:sz w:val="20"/>
                <w:szCs w:val="20"/>
              </w:rPr>
              <w:t xml:space="preserve">Cloud Architect / Engineer </w:t>
            </w:r>
            <w:r>
              <w:rPr>
                <w:sz w:val="20"/>
                <w:szCs w:val="20"/>
              </w:rPr>
              <w:t xml:space="preserve">- </w:t>
            </w:r>
            <w:r>
              <w:rPr>
                <w:sz w:val="20"/>
                <w:szCs w:val="20"/>
              </w:rPr>
              <w:br/>
              <w:t>Mark Byrne</w:t>
            </w:r>
          </w:p>
        </w:tc>
        <w:tc>
          <w:tcPr>
            <w:tcW w:w="7815" w:type="dxa"/>
            <w:vAlign w:val="center"/>
          </w:tcPr>
          <w:p w14:paraId="6AD41681" w14:textId="77777777" w:rsidR="00CE1B63" w:rsidRDefault="00BC4666">
            <w:pPr>
              <w:numPr>
                <w:ilvl w:val="0"/>
                <w:numId w:val="6"/>
              </w:numPr>
              <w:pBdr>
                <w:top w:val="nil"/>
                <w:left w:val="nil"/>
                <w:bottom w:val="nil"/>
                <w:right w:val="nil"/>
                <w:between w:val="nil"/>
              </w:pBdr>
              <w:spacing w:after="0"/>
              <w:ind w:left="283" w:right="-88" w:hanging="283"/>
              <w:rPr>
                <w:color w:val="434343"/>
                <w:sz w:val="20"/>
                <w:szCs w:val="20"/>
              </w:rPr>
            </w:pPr>
            <w:r>
              <w:rPr>
                <w:color w:val="434343"/>
                <w:sz w:val="20"/>
                <w:szCs w:val="20"/>
              </w:rPr>
              <w:t>Designing and configuring the cloud infrastructure on Amazon AWS</w:t>
            </w:r>
          </w:p>
          <w:p w14:paraId="6570346B" w14:textId="77777777" w:rsidR="00CE1B63" w:rsidRDefault="00BC4666">
            <w:pPr>
              <w:numPr>
                <w:ilvl w:val="0"/>
                <w:numId w:val="6"/>
              </w:numPr>
              <w:pBdr>
                <w:top w:val="nil"/>
                <w:left w:val="nil"/>
                <w:bottom w:val="nil"/>
                <w:right w:val="nil"/>
                <w:between w:val="nil"/>
              </w:pBdr>
              <w:spacing w:after="0"/>
              <w:ind w:left="283" w:right="-88" w:hanging="283"/>
              <w:rPr>
                <w:color w:val="434343"/>
                <w:sz w:val="20"/>
                <w:szCs w:val="20"/>
              </w:rPr>
            </w:pPr>
            <w:r>
              <w:rPr>
                <w:color w:val="434343"/>
                <w:sz w:val="20"/>
                <w:szCs w:val="20"/>
              </w:rPr>
              <w:t>Setting up network connectivity with on-site systems</w:t>
            </w:r>
          </w:p>
          <w:p w14:paraId="1C97D9E5" w14:textId="77777777" w:rsidR="00CE1B63" w:rsidRDefault="00BC4666">
            <w:pPr>
              <w:numPr>
                <w:ilvl w:val="0"/>
                <w:numId w:val="6"/>
              </w:numPr>
              <w:pBdr>
                <w:top w:val="nil"/>
                <w:left w:val="nil"/>
                <w:bottom w:val="nil"/>
                <w:right w:val="nil"/>
                <w:between w:val="nil"/>
              </w:pBdr>
              <w:spacing w:after="0"/>
              <w:ind w:left="283" w:right="-88" w:hanging="283"/>
              <w:rPr>
                <w:color w:val="434343"/>
                <w:sz w:val="20"/>
                <w:szCs w:val="20"/>
              </w:rPr>
            </w:pPr>
            <w:r>
              <w:rPr>
                <w:color w:val="434343"/>
                <w:sz w:val="20"/>
                <w:szCs w:val="20"/>
              </w:rPr>
              <w:t>Ensuring scalability and high availability of the cloud environment</w:t>
            </w:r>
          </w:p>
          <w:p w14:paraId="088EE4AF" w14:textId="7D63447E" w:rsidR="00CE1B63" w:rsidRDefault="00BC4666">
            <w:pPr>
              <w:numPr>
                <w:ilvl w:val="0"/>
                <w:numId w:val="6"/>
              </w:numPr>
              <w:pBdr>
                <w:top w:val="nil"/>
                <w:left w:val="nil"/>
                <w:bottom w:val="nil"/>
                <w:right w:val="nil"/>
                <w:between w:val="nil"/>
              </w:pBdr>
              <w:spacing w:after="0"/>
              <w:ind w:left="283" w:right="-88" w:hanging="283"/>
              <w:rPr>
                <w:color w:val="434343"/>
                <w:sz w:val="20"/>
                <w:szCs w:val="20"/>
              </w:rPr>
            </w:pPr>
            <w:r>
              <w:rPr>
                <w:color w:val="434343"/>
                <w:sz w:val="20"/>
                <w:szCs w:val="20"/>
              </w:rPr>
              <w:t xml:space="preserve">Collaborating with the Cyber Security Specialist to implement security </w:t>
            </w:r>
            <w:r w:rsidR="00163EF0">
              <w:rPr>
                <w:color w:val="434343"/>
                <w:sz w:val="20"/>
                <w:szCs w:val="20"/>
              </w:rPr>
              <w:t>measures.</w:t>
            </w:r>
          </w:p>
          <w:p w14:paraId="6CE7D3C8" w14:textId="77777777" w:rsidR="00CE1B63" w:rsidRDefault="00BC4666">
            <w:pPr>
              <w:numPr>
                <w:ilvl w:val="0"/>
                <w:numId w:val="6"/>
              </w:numPr>
              <w:pBdr>
                <w:top w:val="nil"/>
                <w:left w:val="nil"/>
                <w:bottom w:val="nil"/>
                <w:right w:val="nil"/>
                <w:between w:val="nil"/>
              </w:pBdr>
              <w:spacing w:after="0"/>
              <w:ind w:left="283" w:right="-88" w:hanging="283"/>
              <w:rPr>
                <w:color w:val="434343"/>
                <w:sz w:val="20"/>
                <w:szCs w:val="20"/>
              </w:rPr>
            </w:pPr>
            <w:r>
              <w:rPr>
                <w:color w:val="434343"/>
                <w:sz w:val="20"/>
                <w:szCs w:val="20"/>
              </w:rPr>
              <w:t>Monitoring and optimizing cloud infrastructure performa</w:t>
            </w:r>
            <w:r>
              <w:rPr>
                <w:color w:val="434343"/>
                <w:sz w:val="20"/>
                <w:szCs w:val="20"/>
              </w:rPr>
              <w:t>nce</w:t>
            </w:r>
          </w:p>
          <w:p w14:paraId="14B48111" w14:textId="77777777" w:rsidR="00CE1B63" w:rsidRDefault="00BC4666">
            <w:pPr>
              <w:numPr>
                <w:ilvl w:val="0"/>
                <w:numId w:val="6"/>
              </w:numPr>
              <w:pBdr>
                <w:top w:val="nil"/>
                <w:left w:val="nil"/>
                <w:bottom w:val="nil"/>
                <w:right w:val="nil"/>
                <w:between w:val="nil"/>
              </w:pBdr>
              <w:spacing w:after="0"/>
              <w:ind w:left="283" w:right="-88" w:hanging="283"/>
              <w:rPr>
                <w:color w:val="434343"/>
                <w:sz w:val="20"/>
                <w:szCs w:val="20"/>
              </w:rPr>
            </w:pPr>
            <w:r>
              <w:rPr>
                <w:color w:val="434343"/>
                <w:sz w:val="20"/>
                <w:szCs w:val="20"/>
              </w:rPr>
              <w:t>Providing technical expertise on cloud architecture and services</w:t>
            </w:r>
          </w:p>
        </w:tc>
      </w:tr>
      <w:tr w:rsidR="00CE1B63" w14:paraId="755D7EEB" w14:textId="77777777">
        <w:trPr>
          <w:trHeight w:val="2345"/>
          <w:jc w:val="center"/>
        </w:trPr>
        <w:tc>
          <w:tcPr>
            <w:tcW w:w="2535" w:type="dxa"/>
            <w:shd w:val="clear" w:color="auto" w:fill="D9D9D9"/>
            <w:vAlign w:val="center"/>
          </w:tcPr>
          <w:p w14:paraId="77C37B8B" w14:textId="77777777" w:rsidR="00CE1B63" w:rsidRDefault="00BC4666">
            <w:pPr>
              <w:ind w:right="-88"/>
              <w:rPr>
                <w:b/>
                <w:sz w:val="20"/>
                <w:szCs w:val="20"/>
              </w:rPr>
            </w:pPr>
            <w:r>
              <w:rPr>
                <w:b/>
                <w:sz w:val="20"/>
                <w:szCs w:val="20"/>
              </w:rPr>
              <w:t xml:space="preserve">Server Administrator </w:t>
            </w:r>
            <w:r>
              <w:rPr>
                <w:sz w:val="20"/>
                <w:szCs w:val="20"/>
              </w:rPr>
              <w:t>- Mauricio Guerra</w:t>
            </w:r>
          </w:p>
        </w:tc>
        <w:tc>
          <w:tcPr>
            <w:tcW w:w="7815" w:type="dxa"/>
            <w:vAlign w:val="center"/>
          </w:tcPr>
          <w:p w14:paraId="216777B6" w14:textId="27C06AAD" w:rsidR="00CE1B63" w:rsidRDefault="00BC4666">
            <w:pPr>
              <w:numPr>
                <w:ilvl w:val="0"/>
                <w:numId w:val="4"/>
              </w:numPr>
              <w:pBdr>
                <w:top w:val="nil"/>
                <w:left w:val="nil"/>
                <w:bottom w:val="nil"/>
                <w:right w:val="nil"/>
                <w:between w:val="nil"/>
              </w:pBdr>
              <w:spacing w:after="0"/>
              <w:ind w:left="283" w:right="-88" w:hanging="283"/>
              <w:rPr>
                <w:color w:val="434343"/>
                <w:sz w:val="20"/>
                <w:szCs w:val="20"/>
              </w:rPr>
            </w:pPr>
            <w:r>
              <w:rPr>
                <w:color w:val="434343"/>
                <w:sz w:val="20"/>
                <w:szCs w:val="20"/>
              </w:rPr>
              <w:t xml:space="preserve">Collaborating with the project team to ensure a secure transition to </w:t>
            </w:r>
            <w:r w:rsidR="00163EF0">
              <w:rPr>
                <w:color w:val="434343"/>
                <w:sz w:val="20"/>
                <w:szCs w:val="20"/>
              </w:rPr>
              <w:t>AWS.</w:t>
            </w:r>
          </w:p>
          <w:p w14:paraId="19685078" w14:textId="77777777" w:rsidR="00CE1B63" w:rsidRDefault="00BC4666">
            <w:pPr>
              <w:numPr>
                <w:ilvl w:val="0"/>
                <w:numId w:val="4"/>
              </w:numPr>
              <w:pBdr>
                <w:top w:val="nil"/>
                <w:left w:val="nil"/>
                <w:bottom w:val="nil"/>
                <w:right w:val="nil"/>
                <w:between w:val="nil"/>
              </w:pBdr>
              <w:spacing w:after="0"/>
              <w:ind w:left="283" w:right="-88" w:hanging="283"/>
              <w:rPr>
                <w:color w:val="434343"/>
                <w:sz w:val="20"/>
                <w:szCs w:val="20"/>
              </w:rPr>
            </w:pPr>
            <w:r>
              <w:rPr>
                <w:color w:val="434343"/>
                <w:sz w:val="20"/>
                <w:szCs w:val="20"/>
              </w:rPr>
              <w:t>Assisting in the migration of systems and data to the cloud environment</w:t>
            </w:r>
          </w:p>
          <w:p w14:paraId="51E3CCC8" w14:textId="77777777" w:rsidR="00CE1B63" w:rsidRDefault="00BC4666">
            <w:pPr>
              <w:numPr>
                <w:ilvl w:val="0"/>
                <w:numId w:val="4"/>
              </w:numPr>
              <w:pBdr>
                <w:top w:val="nil"/>
                <w:left w:val="nil"/>
                <w:bottom w:val="nil"/>
                <w:right w:val="nil"/>
                <w:between w:val="nil"/>
              </w:pBdr>
              <w:spacing w:after="0"/>
              <w:ind w:left="283" w:right="-88" w:hanging="283"/>
              <w:rPr>
                <w:color w:val="434343"/>
                <w:sz w:val="20"/>
                <w:szCs w:val="20"/>
              </w:rPr>
            </w:pPr>
            <w:r>
              <w:rPr>
                <w:color w:val="434343"/>
                <w:sz w:val="20"/>
                <w:szCs w:val="20"/>
              </w:rPr>
              <w:t>Configuring and managing the Windows Server 2019 Active Directory server</w:t>
            </w:r>
          </w:p>
          <w:p w14:paraId="2B33EF8C" w14:textId="77777777" w:rsidR="00CE1B63" w:rsidRDefault="00BC4666">
            <w:pPr>
              <w:numPr>
                <w:ilvl w:val="0"/>
                <w:numId w:val="4"/>
              </w:numPr>
              <w:pBdr>
                <w:top w:val="nil"/>
                <w:left w:val="nil"/>
                <w:bottom w:val="nil"/>
                <w:right w:val="nil"/>
                <w:between w:val="nil"/>
              </w:pBdr>
              <w:spacing w:after="0"/>
              <w:ind w:left="283" w:right="-88" w:hanging="283"/>
              <w:rPr>
                <w:color w:val="434343"/>
                <w:sz w:val="20"/>
                <w:szCs w:val="20"/>
              </w:rPr>
            </w:pPr>
            <w:r>
              <w:rPr>
                <w:color w:val="434343"/>
                <w:sz w:val="20"/>
                <w:szCs w:val="20"/>
              </w:rPr>
              <w:t>Supporting the setup and configuration of the Amazon Linux 2 web server</w:t>
            </w:r>
          </w:p>
          <w:p w14:paraId="02798E01" w14:textId="77777777" w:rsidR="00CE1B63" w:rsidRDefault="00BC4666">
            <w:pPr>
              <w:numPr>
                <w:ilvl w:val="0"/>
                <w:numId w:val="4"/>
              </w:numPr>
              <w:pBdr>
                <w:top w:val="nil"/>
                <w:left w:val="nil"/>
                <w:bottom w:val="nil"/>
                <w:right w:val="nil"/>
                <w:between w:val="nil"/>
              </w:pBdr>
              <w:spacing w:after="0"/>
              <w:ind w:left="283" w:right="-88" w:hanging="283"/>
              <w:rPr>
                <w:color w:val="434343"/>
                <w:sz w:val="20"/>
                <w:szCs w:val="20"/>
              </w:rPr>
            </w:pPr>
            <w:r>
              <w:rPr>
                <w:color w:val="434343"/>
                <w:sz w:val="20"/>
                <w:szCs w:val="20"/>
              </w:rPr>
              <w:t>Providing technical assistance during t</w:t>
            </w:r>
            <w:r>
              <w:rPr>
                <w:color w:val="434343"/>
                <w:sz w:val="20"/>
                <w:szCs w:val="20"/>
              </w:rPr>
              <w:t>he transition phase</w:t>
            </w:r>
          </w:p>
          <w:p w14:paraId="0C495C10" w14:textId="77777777" w:rsidR="00CE1B63" w:rsidRDefault="00BC4666">
            <w:pPr>
              <w:numPr>
                <w:ilvl w:val="0"/>
                <w:numId w:val="4"/>
              </w:numPr>
              <w:pBdr>
                <w:top w:val="nil"/>
                <w:left w:val="nil"/>
                <w:bottom w:val="nil"/>
                <w:right w:val="nil"/>
                <w:between w:val="nil"/>
              </w:pBdr>
              <w:spacing w:after="0"/>
              <w:ind w:left="283" w:right="-88" w:hanging="283"/>
              <w:rPr>
                <w:color w:val="434343"/>
                <w:sz w:val="20"/>
                <w:szCs w:val="20"/>
              </w:rPr>
            </w:pPr>
            <w:r>
              <w:rPr>
                <w:color w:val="434343"/>
                <w:sz w:val="20"/>
                <w:szCs w:val="20"/>
              </w:rPr>
              <w:t>Ensuring the smooth operation of the server infrastructure in the cloud environment</w:t>
            </w:r>
          </w:p>
        </w:tc>
      </w:tr>
    </w:tbl>
    <w:p w14:paraId="1EDAFB8B" w14:textId="77777777" w:rsidR="00CE1B63" w:rsidRDefault="00CE1B63">
      <w:pPr>
        <w:spacing w:after="0"/>
        <w:ind w:left="-566" w:right="-607"/>
      </w:pPr>
    </w:p>
    <w:p w14:paraId="51F0C9B4" w14:textId="77777777" w:rsidR="00CE1B63" w:rsidRDefault="00CE1B63">
      <w:pPr>
        <w:spacing w:after="0"/>
        <w:ind w:left="-566" w:right="-607"/>
      </w:pPr>
    </w:p>
    <w:p w14:paraId="1D76DFCD" w14:textId="77777777" w:rsidR="00CE1B63" w:rsidRDefault="00CE1B63">
      <w:pPr>
        <w:spacing w:after="0"/>
        <w:ind w:left="-566" w:right="-607"/>
      </w:pPr>
    </w:p>
    <w:p w14:paraId="7474740A" w14:textId="77777777" w:rsidR="00CE1B63" w:rsidRDefault="00CE1B63">
      <w:pPr>
        <w:spacing w:after="0"/>
        <w:ind w:left="-566" w:right="-607"/>
      </w:pPr>
    </w:p>
    <w:p w14:paraId="3294A928" w14:textId="77777777" w:rsidR="00CE1B63" w:rsidRDefault="00CE1B63">
      <w:pPr>
        <w:spacing w:after="0"/>
        <w:ind w:left="-566" w:right="-607"/>
      </w:pPr>
    </w:p>
    <w:p w14:paraId="0C2A3163" w14:textId="77777777" w:rsidR="00CE1B63" w:rsidRDefault="00CE1B63">
      <w:pPr>
        <w:spacing w:after="0"/>
        <w:ind w:left="-566" w:right="-607"/>
      </w:pPr>
    </w:p>
    <w:tbl>
      <w:tblPr>
        <w:tblStyle w:val="a5"/>
        <w:tblW w:w="104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80"/>
      </w:tblGrid>
      <w:tr w:rsidR="00CE1B63" w14:paraId="4B2CB0F5" w14:textId="77777777">
        <w:trPr>
          <w:trHeight w:val="420"/>
          <w:jc w:val="center"/>
        </w:trPr>
        <w:tc>
          <w:tcPr>
            <w:tcW w:w="1048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49B54BE0" w14:textId="77777777" w:rsidR="00CE1B63" w:rsidRDefault="00BC4666">
            <w:pPr>
              <w:widowControl w:val="0"/>
              <w:rPr>
                <w:rFonts w:ascii="Calibri" w:eastAsia="Calibri" w:hAnsi="Calibri" w:cs="Calibri"/>
                <w:b/>
              </w:rPr>
            </w:pPr>
            <w:r>
              <w:rPr>
                <w:rFonts w:ascii="Calibri" w:eastAsia="Calibri" w:hAnsi="Calibri" w:cs="Calibri"/>
                <w:b/>
              </w:rPr>
              <w:lastRenderedPageBreak/>
              <w:t>Risk Categories</w:t>
            </w:r>
          </w:p>
        </w:tc>
      </w:tr>
    </w:tbl>
    <w:p w14:paraId="0C8D8604" w14:textId="77777777" w:rsidR="00CE1B63" w:rsidRDefault="00CE1B63">
      <w:pPr>
        <w:spacing w:after="0"/>
        <w:ind w:left="-426"/>
        <w:rPr>
          <w:color w:val="244061"/>
          <w:sz w:val="16"/>
          <w:szCs w:val="16"/>
        </w:rPr>
      </w:pPr>
    </w:p>
    <w:p w14:paraId="2C5B0738" w14:textId="5F0938DC" w:rsidR="00CE1B63" w:rsidRPr="00163EF0" w:rsidRDefault="00BC4666">
      <w:pPr>
        <w:ind w:left="-426"/>
        <w:rPr>
          <w:sz w:val="20"/>
          <w:szCs w:val="20"/>
        </w:rPr>
      </w:pPr>
      <w:r w:rsidRPr="00163EF0">
        <w:rPr>
          <w:sz w:val="20"/>
          <w:szCs w:val="20"/>
        </w:rPr>
        <w:t>The risk management plan includes various risk categories to ensure comprehensive coverage of potential risks. The categories that the plan covers include infrastructure and cloud security risks, system configuration and software risks, external threats, h</w:t>
      </w:r>
      <w:r w:rsidRPr="00163EF0">
        <w:rPr>
          <w:sz w:val="20"/>
          <w:szCs w:val="20"/>
        </w:rPr>
        <w:t xml:space="preserve">uman factors, </w:t>
      </w:r>
      <w:r w:rsidR="00163EF0" w:rsidRPr="00163EF0">
        <w:rPr>
          <w:sz w:val="20"/>
          <w:szCs w:val="20"/>
        </w:rPr>
        <w:t>compliance,</w:t>
      </w:r>
      <w:r w:rsidRPr="00163EF0">
        <w:rPr>
          <w:sz w:val="20"/>
          <w:szCs w:val="20"/>
        </w:rPr>
        <w:t xml:space="preserve"> and regulatory risks, as well as project management and stakeholder risks. </w:t>
      </w:r>
    </w:p>
    <w:p w14:paraId="3B30B8ED" w14:textId="4DDAB3B8" w:rsidR="00CE1B63" w:rsidRPr="00163EF0" w:rsidRDefault="00BC4666">
      <w:pPr>
        <w:spacing w:after="0" w:line="240" w:lineRule="auto"/>
        <w:ind w:left="-426"/>
        <w:rPr>
          <w:sz w:val="20"/>
          <w:szCs w:val="20"/>
        </w:rPr>
      </w:pPr>
      <w:r w:rsidRPr="00163EF0">
        <w:rPr>
          <w:sz w:val="20"/>
          <w:szCs w:val="20"/>
        </w:rPr>
        <w:t xml:space="preserve">The risk management plan </w:t>
      </w:r>
      <w:r w:rsidR="00163EF0" w:rsidRPr="00163EF0">
        <w:rPr>
          <w:sz w:val="20"/>
          <w:szCs w:val="20"/>
        </w:rPr>
        <w:t>considers</w:t>
      </w:r>
      <w:r w:rsidRPr="00163EF0">
        <w:rPr>
          <w:sz w:val="20"/>
          <w:szCs w:val="20"/>
        </w:rPr>
        <w:t xml:space="preserve"> the above categories </w:t>
      </w:r>
      <w:r w:rsidR="00163EF0" w:rsidRPr="00163EF0">
        <w:rPr>
          <w:sz w:val="20"/>
          <w:szCs w:val="20"/>
        </w:rPr>
        <w:t>to</w:t>
      </w:r>
      <w:r w:rsidRPr="00163EF0">
        <w:rPr>
          <w:sz w:val="20"/>
          <w:szCs w:val="20"/>
        </w:rPr>
        <w:t xml:space="preserve"> address a wide variety of potential vulnerabilities and risks that might emerg</w:t>
      </w:r>
      <w:r w:rsidRPr="00163EF0">
        <w:rPr>
          <w:sz w:val="20"/>
          <w:szCs w:val="20"/>
        </w:rPr>
        <w:t>e throughout the project. This enables the creation of focused mitigation plans and controls to lessen the effects of risks, assuring the security of the AWS CyberShift Initiative.</w:t>
      </w:r>
    </w:p>
    <w:p w14:paraId="57331DCF" w14:textId="77777777" w:rsidR="00CE1B63" w:rsidRPr="00163EF0" w:rsidRDefault="00CE1B63">
      <w:pPr>
        <w:spacing w:after="0" w:line="240" w:lineRule="auto"/>
        <w:ind w:left="-426"/>
        <w:rPr>
          <w:sz w:val="6"/>
          <w:szCs w:val="6"/>
        </w:rPr>
      </w:pPr>
    </w:p>
    <w:tbl>
      <w:tblPr>
        <w:tblStyle w:val="a6"/>
        <w:tblW w:w="10050" w:type="dxa"/>
        <w:tblInd w:w="-4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10"/>
        <w:gridCol w:w="7140"/>
      </w:tblGrid>
      <w:tr w:rsidR="00163EF0" w:rsidRPr="00163EF0" w14:paraId="555AE584" w14:textId="77777777">
        <w:trPr>
          <w:trHeight w:val="217"/>
        </w:trPr>
        <w:tc>
          <w:tcPr>
            <w:tcW w:w="10050" w:type="dxa"/>
            <w:gridSpan w:val="2"/>
            <w:tcBorders>
              <w:top w:val="nil"/>
              <w:left w:val="nil"/>
              <w:bottom w:val="single" w:sz="12" w:space="0" w:color="FFFFFF"/>
              <w:right w:val="nil"/>
            </w:tcBorders>
            <w:tcMar>
              <w:top w:w="100" w:type="dxa"/>
              <w:left w:w="100" w:type="dxa"/>
              <w:bottom w:w="100" w:type="dxa"/>
              <w:right w:w="100" w:type="dxa"/>
            </w:tcMar>
            <w:vAlign w:val="center"/>
          </w:tcPr>
          <w:p w14:paraId="5F0B7380" w14:textId="4353779F" w:rsidR="00CE1B63" w:rsidRPr="00163EF0" w:rsidRDefault="00BC4666">
            <w:pPr>
              <w:spacing w:after="0" w:line="240" w:lineRule="auto"/>
              <w:rPr>
                <w:b/>
                <w:i/>
                <w:sz w:val="20"/>
                <w:szCs w:val="20"/>
              </w:rPr>
            </w:pPr>
            <w:r w:rsidRPr="00163EF0">
              <w:rPr>
                <w:b/>
                <w:sz w:val="24"/>
                <w:szCs w:val="24"/>
              </w:rPr>
              <w:t xml:space="preserve">Further details of the categories </w:t>
            </w:r>
            <w:r w:rsidR="00163EF0" w:rsidRPr="00163EF0">
              <w:rPr>
                <w:b/>
                <w:sz w:val="24"/>
                <w:szCs w:val="24"/>
              </w:rPr>
              <w:t>are:</w:t>
            </w:r>
          </w:p>
        </w:tc>
      </w:tr>
      <w:tr w:rsidR="00CE1B63" w14:paraId="26592576" w14:textId="77777777" w:rsidTr="00163EF0">
        <w:trPr>
          <w:trHeight w:val="1424"/>
        </w:trPr>
        <w:tc>
          <w:tcPr>
            <w:tcW w:w="2910" w:type="dxa"/>
            <w:tcBorders>
              <w:top w:val="single" w:sz="12" w:space="0" w:color="FFFFFF"/>
              <w:left w:val="single" w:sz="12" w:space="0" w:color="FFFFFF"/>
              <w:bottom w:val="single" w:sz="12" w:space="0" w:color="FFFFFF"/>
              <w:right w:val="single" w:sz="12" w:space="0" w:color="FFFFFF"/>
            </w:tcBorders>
            <w:shd w:val="clear" w:color="auto" w:fill="CCCCCC"/>
            <w:tcMar>
              <w:top w:w="100" w:type="dxa"/>
              <w:left w:w="100" w:type="dxa"/>
              <w:bottom w:w="100" w:type="dxa"/>
              <w:right w:w="100" w:type="dxa"/>
            </w:tcMar>
            <w:vAlign w:val="center"/>
          </w:tcPr>
          <w:p w14:paraId="1B23E800" w14:textId="77777777" w:rsidR="00CE1B63" w:rsidRDefault="00BC4666">
            <w:pPr>
              <w:spacing w:after="0" w:line="240" w:lineRule="auto"/>
              <w:rPr>
                <w:sz w:val="20"/>
                <w:szCs w:val="20"/>
              </w:rPr>
            </w:pPr>
            <w:r>
              <w:rPr>
                <w:b/>
                <w:sz w:val="20"/>
                <w:szCs w:val="20"/>
              </w:rPr>
              <w:t>Infrastructure and Cloud Security Risks:</w:t>
            </w:r>
          </w:p>
        </w:tc>
        <w:tc>
          <w:tcPr>
            <w:tcW w:w="7140" w:type="dxa"/>
            <w:tcBorders>
              <w:top w:val="single" w:sz="12" w:space="0" w:color="FFFFFF"/>
              <w:left w:val="single" w:sz="12" w:space="0" w:color="FFFFFF"/>
              <w:bottom w:val="single" w:sz="12" w:space="0" w:color="FFFFFF"/>
              <w:right w:val="single" w:sz="12" w:space="0" w:color="FFFFFF"/>
            </w:tcBorders>
            <w:shd w:val="clear" w:color="auto" w:fill="EFEFEF"/>
            <w:tcMar>
              <w:top w:w="100" w:type="dxa"/>
              <w:left w:w="100" w:type="dxa"/>
              <w:bottom w:w="100" w:type="dxa"/>
              <w:right w:w="100" w:type="dxa"/>
            </w:tcMar>
            <w:vAlign w:val="center"/>
          </w:tcPr>
          <w:p w14:paraId="4B8802D1" w14:textId="77777777" w:rsidR="00CE1B63" w:rsidRDefault="00BC4666" w:rsidP="00163EF0">
            <w:pPr>
              <w:numPr>
                <w:ilvl w:val="0"/>
                <w:numId w:val="10"/>
              </w:numPr>
              <w:spacing w:after="0" w:line="240" w:lineRule="auto"/>
              <w:ind w:left="397"/>
              <w:rPr>
                <w:color w:val="434343"/>
                <w:sz w:val="20"/>
                <w:szCs w:val="20"/>
              </w:rPr>
            </w:pPr>
            <w:r>
              <w:rPr>
                <w:color w:val="434343"/>
                <w:sz w:val="20"/>
                <w:szCs w:val="20"/>
              </w:rPr>
              <w:t>Unauthorised access to cloud infrastructure and / or sensitive company data</w:t>
            </w:r>
          </w:p>
          <w:p w14:paraId="3BE0FC52" w14:textId="77777777" w:rsidR="00CE1B63" w:rsidRDefault="00BC4666" w:rsidP="00163EF0">
            <w:pPr>
              <w:numPr>
                <w:ilvl w:val="0"/>
                <w:numId w:val="10"/>
              </w:numPr>
              <w:spacing w:after="0" w:line="240" w:lineRule="auto"/>
              <w:ind w:left="397"/>
              <w:rPr>
                <w:color w:val="434343"/>
                <w:sz w:val="20"/>
                <w:szCs w:val="20"/>
              </w:rPr>
            </w:pPr>
            <w:r>
              <w:rPr>
                <w:color w:val="434343"/>
                <w:sz w:val="20"/>
                <w:szCs w:val="20"/>
              </w:rPr>
              <w:t>Inadequate security controls in the cloud environment</w:t>
            </w:r>
          </w:p>
          <w:p w14:paraId="413C9AF3" w14:textId="77777777" w:rsidR="00CE1B63" w:rsidRDefault="00BC4666" w:rsidP="00163EF0">
            <w:pPr>
              <w:numPr>
                <w:ilvl w:val="0"/>
                <w:numId w:val="10"/>
              </w:numPr>
              <w:spacing w:after="0" w:line="240" w:lineRule="auto"/>
              <w:ind w:left="397"/>
              <w:rPr>
                <w:color w:val="434343"/>
                <w:sz w:val="20"/>
                <w:szCs w:val="20"/>
              </w:rPr>
            </w:pPr>
            <w:r>
              <w:rPr>
                <w:color w:val="434343"/>
                <w:sz w:val="20"/>
                <w:szCs w:val="20"/>
              </w:rPr>
              <w:t>Data breaches and / or leakage due to misconfiguration</w:t>
            </w:r>
          </w:p>
          <w:p w14:paraId="4D1128DB" w14:textId="77777777" w:rsidR="00CE1B63" w:rsidRDefault="00BC4666" w:rsidP="00163EF0">
            <w:pPr>
              <w:numPr>
                <w:ilvl w:val="0"/>
                <w:numId w:val="10"/>
              </w:numPr>
              <w:spacing w:after="0" w:line="240" w:lineRule="auto"/>
              <w:ind w:left="397"/>
              <w:rPr>
                <w:b/>
                <w:i/>
                <w:color w:val="434343"/>
                <w:sz w:val="20"/>
                <w:szCs w:val="20"/>
              </w:rPr>
            </w:pPr>
            <w:r>
              <w:rPr>
                <w:color w:val="434343"/>
                <w:sz w:val="20"/>
                <w:szCs w:val="20"/>
              </w:rPr>
              <w:t>Service availability issues im</w:t>
            </w:r>
            <w:r>
              <w:rPr>
                <w:color w:val="434343"/>
                <w:sz w:val="20"/>
                <w:szCs w:val="20"/>
              </w:rPr>
              <w:t>pacting business operations</w:t>
            </w:r>
          </w:p>
        </w:tc>
      </w:tr>
      <w:tr w:rsidR="00CE1B63" w14:paraId="05BA3B14" w14:textId="77777777">
        <w:trPr>
          <w:trHeight w:val="1700"/>
        </w:trPr>
        <w:tc>
          <w:tcPr>
            <w:tcW w:w="2910" w:type="dxa"/>
            <w:tcBorders>
              <w:top w:val="single" w:sz="12" w:space="0" w:color="FFFFFF"/>
              <w:left w:val="single" w:sz="12" w:space="0" w:color="FFFFFF"/>
              <w:bottom w:val="single" w:sz="12" w:space="0" w:color="FFFFFF"/>
              <w:right w:val="single" w:sz="12" w:space="0" w:color="FFFFFF"/>
            </w:tcBorders>
            <w:shd w:val="clear" w:color="auto" w:fill="CCCCCC"/>
            <w:tcMar>
              <w:top w:w="100" w:type="dxa"/>
              <w:left w:w="100" w:type="dxa"/>
              <w:bottom w:w="100" w:type="dxa"/>
              <w:right w:w="100" w:type="dxa"/>
            </w:tcMar>
            <w:vAlign w:val="center"/>
          </w:tcPr>
          <w:p w14:paraId="44FEF9C8" w14:textId="77777777" w:rsidR="00CE1B63" w:rsidRDefault="00BC4666">
            <w:pPr>
              <w:spacing w:after="0" w:line="240" w:lineRule="auto"/>
              <w:rPr>
                <w:b/>
                <w:sz w:val="20"/>
                <w:szCs w:val="20"/>
              </w:rPr>
            </w:pPr>
            <w:r>
              <w:rPr>
                <w:b/>
                <w:sz w:val="20"/>
                <w:szCs w:val="20"/>
              </w:rPr>
              <w:t>System Configuration and Software Risks:</w:t>
            </w:r>
          </w:p>
        </w:tc>
        <w:tc>
          <w:tcPr>
            <w:tcW w:w="7140" w:type="dxa"/>
            <w:tcBorders>
              <w:top w:val="single" w:sz="12" w:space="0" w:color="FFFFFF"/>
              <w:left w:val="single" w:sz="12" w:space="0" w:color="FFFFFF"/>
              <w:bottom w:val="single" w:sz="12" w:space="0" w:color="FFFFFF"/>
              <w:right w:val="single" w:sz="12" w:space="0" w:color="FFFFFF"/>
            </w:tcBorders>
            <w:shd w:val="clear" w:color="auto" w:fill="D9D9D9"/>
            <w:tcMar>
              <w:top w:w="100" w:type="dxa"/>
              <w:left w:w="100" w:type="dxa"/>
              <w:bottom w:w="100" w:type="dxa"/>
              <w:right w:w="100" w:type="dxa"/>
            </w:tcMar>
            <w:vAlign w:val="center"/>
          </w:tcPr>
          <w:p w14:paraId="04C1464D" w14:textId="77777777" w:rsidR="00CE1B63" w:rsidRDefault="00BC4666" w:rsidP="00163EF0">
            <w:pPr>
              <w:numPr>
                <w:ilvl w:val="0"/>
                <w:numId w:val="11"/>
              </w:numPr>
              <w:spacing w:after="0" w:line="240" w:lineRule="auto"/>
              <w:ind w:left="397"/>
              <w:rPr>
                <w:color w:val="434343"/>
                <w:sz w:val="20"/>
                <w:szCs w:val="20"/>
              </w:rPr>
            </w:pPr>
            <w:r>
              <w:rPr>
                <w:color w:val="434343"/>
                <w:sz w:val="20"/>
                <w:szCs w:val="20"/>
              </w:rPr>
              <w:t>Incorrect configuration Windows or Linux servers</w:t>
            </w:r>
          </w:p>
          <w:p w14:paraId="05B2A6E2" w14:textId="2F170530" w:rsidR="00CE1B63" w:rsidRDefault="00BC4666" w:rsidP="00163EF0">
            <w:pPr>
              <w:numPr>
                <w:ilvl w:val="0"/>
                <w:numId w:val="11"/>
              </w:numPr>
              <w:spacing w:after="0" w:line="240" w:lineRule="auto"/>
              <w:ind w:left="397"/>
              <w:rPr>
                <w:color w:val="434343"/>
                <w:sz w:val="20"/>
                <w:szCs w:val="20"/>
              </w:rPr>
            </w:pPr>
            <w:r>
              <w:rPr>
                <w:color w:val="434343"/>
                <w:sz w:val="20"/>
                <w:szCs w:val="20"/>
              </w:rPr>
              <w:t xml:space="preserve">Outdated or unpatched software that has known </w:t>
            </w:r>
            <w:r w:rsidR="00163EF0">
              <w:rPr>
                <w:color w:val="434343"/>
                <w:sz w:val="20"/>
                <w:szCs w:val="20"/>
              </w:rPr>
              <w:t>vulnerabilities.</w:t>
            </w:r>
          </w:p>
          <w:p w14:paraId="31B8D457" w14:textId="77777777" w:rsidR="00CE1B63" w:rsidRDefault="00BC4666" w:rsidP="00163EF0">
            <w:pPr>
              <w:numPr>
                <w:ilvl w:val="0"/>
                <w:numId w:val="11"/>
              </w:numPr>
              <w:spacing w:after="0" w:line="240" w:lineRule="auto"/>
              <w:ind w:left="397"/>
              <w:rPr>
                <w:color w:val="434343"/>
                <w:sz w:val="20"/>
                <w:szCs w:val="20"/>
              </w:rPr>
            </w:pPr>
            <w:r>
              <w:rPr>
                <w:color w:val="434343"/>
                <w:sz w:val="20"/>
                <w:szCs w:val="20"/>
              </w:rPr>
              <w:t>Compatibility issues between different system hardware components</w:t>
            </w:r>
          </w:p>
          <w:p w14:paraId="1AB6D5D7" w14:textId="77777777" w:rsidR="00CE1B63" w:rsidRDefault="00BC4666" w:rsidP="00163EF0">
            <w:pPr>
              <w:numPr>
                <w:ilvl w:val="0"/>
                <w:numId w:val="11"/>
              </w:numPr>
              <w:spacing w:after="0" w:line="240" w:lineRule="auto"/>
              <w:ind w:left="397"/>
              <w:rPr>
                <w:color w:val="434343"/>
                <w:sz w:val="20"/>
                <w:szCs w:val="20"/>
              </w:rPr>
            </w:pPr>
            <w:r>
              <w:rPr>
                <w:color w:val="434343"/>
                <w:sz w:val="20"/>
                <w:szCs w:val="20"/>
              </w:rPr>
              <w:t>Inadequate security measures for system administration</w:t>
            </w:r>
          </w:p>
          <w:p w14:paraId="7336507A" w14:textId="77777777" w:rsidR="00CE1B63" w:rsidRDefault="00BC4666" w:rsidP="00163EF0">
            <w:pPr>
              <w:numPr>
                <w:ilvl w:val="0"/>
                <w:numId w:val="11"/>
              </w:numPr>
              <w:spacing w:after="0" w:line="240" w:lineRule="auto"/>
              <w:ind w:left="397"/>
              <w:rPr>
                <w:color w:val="434343"/>
                <w:sz w:val="20"/>
                <w:szCs w:val="20"/>
              </w:rPr>
            </w:pPr>
            <w:r>
              <w:rPr>
                <w:color w:val="434343"/>
                <w:sz w:val="20"/>
                <w:szCs w:val="20"/>
              </w:rPr>
              <w:t xml:space="preserve"> Inadequate security measures for and user access management</w:t>
            </w:r>
          </w:p>
        </w:tc>
      </w:tr>
      <w:tr w:rsidR="00CE1B63" w14:paraId="06821672" w14:textId="77777777" w:rsidTr="00163EF0">
        <w:trPr>
          <w:trHeight w:val="1678"/>
        </w:trPr>
        <w:tc>
          <w:tcPr>
            <w:tcW w:w="2910" w:type="dxa"/>
            <w:tcBorders>
              <w:top w:val="single" w:sz="12" w:space="0" w:color="FFFFFF"/>
              <w:left w:val="single" w:sz="12" w:space="0" w:color="FFFFFF"/>
              <w:bottom w:val="single" w:sz="12" w:space="0" w:color="FFFFFF"/>
              <w:right w:val="single" w:sz="12" w:space="0" w:color="FFFFFF"/>
            </w:tcBorders>
            <w:shd w:val="clear" w:color="auto" w:fill="CCCCCC"/>
            <w:tcMar>
              <w:top w:w="100" w:type="dxa"/>
              <w:left w:w="100" w:type="dxa"/>
              <w:bottom w:w="100" w:type="dxa"/>
              <w:right w:w="100" w:type="dxa"/>
            </w:tcMar>
            <w:vAlign w:val="center"/>
          </w:tcPr>
          <w:p w14:paraId="54793153" w14:textId="77777777" w:rsidR="00CE1B63" w:rsidRDefault="00BC4666">
            <w:pPr>
              <w:spacing w:after="0" w:line="240" w:lineRule="auto"/>
              <w:rPr>
                <w:b/>
              </w:rPr>
            </w:pPr>
            <w:r>
              <w:rPr>
                <w:b/>
                <w:sz w:val="20"/>
                <w:szCs w:val="20"/>
              </w:rPr>
              <w:t>External Threats and Attacks:</w:t>
            </w:r>
          </w:p>
        </w:tc>
        <w:tc>
          <w:tcPr>
            <w:tcW w:w="7140" w:type="dxa"/>
            <w:tcBorders>
              <w:top w:val="single" w:sz="12" w:space="0" w:color="FFFFFF"/>
              <w:left w:val="single" w:sz="12" w:space="0" w:color="FFFFFF"/>
              <w:bottom w:val="single" w:sz="12" w:space="0" w:color="FFFFFF"/>
              <w:right w:val="single" w:sz="12" w:space="0" w:color="FFFFFF"/>
            </w:tcBorders>
            <w:shd w:val="clear" w:color="auto" w:fill="EFEFEF"/>
            <w:tcMar>
              <w:top w:w="100" w:type="dxa"/>
              <w:left w:w="100" w:type="dxa"/>
              <w:bottom w:w="100" w:type="dxa"/>
              <w:right w:w="100" w:type="dxa"/>
            </w:tcMar>
            <w:vAlign w:val="center"/>
          </w:tcPr>
          <w:p w14:paraId="48662CCC" w14:textId="77777777" w:rsidR="00CE1B63" w:rsidRDefault="00BC4666" w:rsidP="00163EF0">
            <w:pPr>
              <w:numPr>
                <w:ilvl w:val="0"/>
                <w:numId w:val="12"/>
              </w:numPr>
              <w:spacing w:after="0" w:line="240" w:lineRule="auto"/>
              <w:ind w:left="397"/>
              <w:rPr>
                <w:color w:val="434343"/>
                <w:sz w:val="20"/>
                <w:szCs w:val="20"/>
              </w:rPr>
            </w:pPr>
            <w:r>
              <w:rPr>
                <w:color w:val="434343"/>
                <w:sz w:val="20"/>
                <w:szCs w:val="20"/>
              </w:rPr>
              <w:t>Malicious threats such as hacking, phishing, or DDoS attacks</w:t>
            </w:r>
          </w:p>
          <w:p w14:paraId="12D15A51" w14:textId="77777777" w:rsidR="00CE1B63" w:rsidRDefault="00BC4666" w:rsidP="00163EF0">
            <w:pPr>
              <w:numPr>
                <w:ilvl w:val="0"/>
                <w:numId w:val="12"/>
              </w:numPr>
              <w:spacing w:after="0" w:line="240" w:lineRule="auto"/>
              <w:ind w:left="397"/>
              <w:rPr>
                <w:color w:val="434343"/>
                <w:sz w:val="20"/>
                <w:szCs w:val="20"/>
              </w:rPr>
            </w:pPr>
            <w:r>
              <w:rPr>
                <w:color w:val="434343"/>
                <w:sz w:val="20"/>
                <w:szCs w:val="20"/>
              </w:rPr>
              <w:t>Exploitation of vulnerabilities in the network or server infrastructure by malicious threat actors</w:t>
            </w:r>
          </w:p>
          <w:p w14:paraId="04827E7E" w14:textId="77777777" w:rsidR="00CE1B63" w:rsidRDefault="00BC4666" w:rsidP="00163EF0">
            <w:pPr>
              <w:numPr>
                <w:ilvl w:val="0"/>
                <w:numId w:val="12"/>
              </w:numPr>
              <w:spacing w:after="0" w:line="240" w:lineRule="auto"/>
              <w:ind w:left="397"/>
              <w:rPr>
                <w:color w:val="434343"/>
                <w:sz w:val="20"/>
                <w:szCs w:val="20"/>
              </w:rPr>
            </w:pPr>
            <w:r>
              <w:rPr>
                <w:color w:val="434343"/>
                <w:sz w:val="20"/>
                <w:szCs w:val="20"/>
              </w:rPr>
              <w:t>Social engineering attacks</w:t>
            </w:r>
          </w:p>
          <w:p w14:paraId="1D3B4992" w14:textId="77777777" w:rsidR="00CE1B63" w:rsidRDefault="00BC4666" w:rsidP="00163EF0">
            <w:pPr>
              <w:numPr>
                <w:ilvl w:val="0"/>
                <w:numId w:val="12"/>
              </w:numPr>
              <w:spacing w:after="0" w:line="240" w:lineRule="auto"/>
              <w:ind w:left="397"/>
              <w:rPr>
                <w:color w:val="434343"/>
                <w:sz w:val="20"/>
                <w:szCs w:val="20"/>
              </w:rPr>
            </w:pPr>
            <w:r>
              <w:rPr>
                <w:color w:val="434343"/>
                <w:sz w:val="20"/>
                <w:szCs w:val="20"/>
              </w:rPr>
              <w:t>Compromised third-party services or integrations</w:t>
            </w:r>
          </w:p>
        </w:tc>
      </w:tr>
      <w:tr w:rsidR="00CE1B63" w14:paraId="46083A19" w14:textId="77777777">
        <w:trPr>
          <w:trHeight w:val="1700"/>
        </w:trPr>
        <w:tc>
          <w:tcPr>
            <w:tcW w:w="2910" w:type="dxa"/>
            <w:tcBorders>
              <w:top w:val="single" w:sz="12" w:space="0" w:color="FFFFFF"/>
              <w:left w:val="single" w:sz="12" w:space="0" w:color="FFFFFF"/>
              <w:bottom w:val="single" w:sz="12" w:space="0" w:color="FFFFFF"/>
              <w:right w:val="single" w:sz="12" w:space="0" w:color="FFFFFF"/>
            </w:tcBorders>
            <w:shd w:val="clear" w:color="auto" w:fill="CCCCCC"/>
            <w:tcMar>
              <w:top w:w="100" w:type="dxa"/>
              <w:left w:w="100" w:type="dxa"/>
              <w:bottom w:w="100" w:type="dxa"/>
              <w:right w:w="100" w:type="dxa"/>
            </w:tcMar>
            <w:vAlign w:val="center"/>
          </w:tcPr>
          <w:p w14:paraId="47A3D3ED" w14:textId="77777777" w:rsidR="00CE1B63" w:rsidRDefault="00BC4666">
            <w:pPr>
              <w:spacing w:after="0" w:line="240" w:lineRule="auto"/>
              <w:rPr>
                <w:b/>
                <w:sz w:val="20"/>
                <w:szCs w:val="20"/>
              </w:rPr>
            </w:pPr>
            <w:r>
              <w:rPr>
                <w:b/>
                <w:sz w:val="20"/>
                <w:szCs w:val="20"/>
              </w:rPr>
              <w:t>Human Factors:</w:t>
            </w:r>
          </w:p>
        </w:tc>
        <w:tc>
          <w:tcPr>
            <w:tcW w:w="7140" w:type="dxa"/>
            <w:tcBorders>
              <w:top w:val="single" w:sz="12" w:space="0" w:color="FFFFFF"/>
              <w:left w:val="single" w:sz="12" w:space="0" w:color="FFFFFF"/>
              <w:bottom w:val="single" w:sz="12" w:space="0" w:color="FFFFFF"/>
              <w:right w:val="single" w:sz="12" w:space="0" w:color="FFFFFF"/>
            </w:tcBorders>
            <w:shd w:val="clear" w:color="auto" w:fill="D9D9D9"/>
            <w:tcMar>
              <w:top w:w="100" w:type="dxa"/>
              <w:left w:w="100" w:type="dxa"/>
              <w:bottom w:w="100" w:type="dxa"/>
              <w:right w:w="100" w:type="dxa"/>
            </w:tcMar>
            <w:vAlign w:val="center"/>
          </w:tcPr>
          <w:p w14:paraId="730613FF" w14:textId="7B5FEE93" w:rsidR="00CE1B63" w:rsidRDefault="00BC4666" w:rsidP="00163EF0">
            <w:pPr>
              <w:numPr>
                <w:ilvl w:val="0"/>
                <w:numId w:val="1"/>
              </w:numPr>
              <w:spacing w:after="0" w:line="240" w:lineRule="auto"/>
              <w:ind w:left="397"/>
              <w:rPr>
                <w:color w:val="434343"/>
                <w:sz w:val="20"/>
                <w:szCs w:val="20"/>
              </w:rPr>
            </w:pPr>
            <w:r>
              <w:rPr>
                <w:color w:val="434343"/>
                <w:sz w:val="20"/>
                <w:szCs w:val="20"/>
              </w:rPr>
              <w:t xml:space="preserve">Insider threats, including intentional or </w:t>
            </w:r>
            <w:r w:rsidR="00163EF0">
              <w:rPr>
                <w:color w:val="434343"/>
                <w:sz w:val="20"/>
                <w:szCs w:val="20"/>
              </w:rPr>
              <w:t>unintentional.</w:t>
            </w:r>
          </w:p>
          <w:p w14:paraId="4B3A02DD" w14:textId="77777777" w:rsidR="00CE1B63" w:rsidRDefault="00BC4666" w:rsidP="00163EF0">
            <w:pPr>
              <w:numPr>
                <w:ilvl w:val="0"/>
                <w:numId w:val="1"/>
              </w:numPr>
              <w:spacing w:after="0" w:line="240" w:lineRule="auto"/>
              <w:ind w:left="397"/>
              <w:rPr>
                <w:color w:val="434343"/>
                <w:sz w:val="20"/>
                <w:szCs w:val="20"/>
              </w:rPr>
            </w:pPr>
            <w:r>
              <w:rPr>
                <w:color w:val="434343"/>
                <w:sz w:val="20"/>
                <w:szCs w:val="20"/>
              </w:rPr>
              <w:t xml:space="preserve">Lack of awareness </w:t>
            </w:r>
          </w:p>
          <w:p w14:paraId="0B8CC16A" w14:textId="77777777" w:rsidR="00CE1B63" w:rsidRDefault="00BC4666" w:rsidP="00163EF0">
            <w:pPr>
              <w:numPr>
                <w:ilvl w:val="0"/>
                <w:numId w:val="1"/>
              </w:numPr>
              <w:spacing w:after="0" w:line="240" w:lineRule="auto"/>
              <w:ind w:left="397"/>
              <w:rPr>
                <w:color w:val="434343"/>
                <w:sz w:val="20"/>
                <w:szCs w:val="20"/>
              </w:rPr>
            </w:pPr>
            <w:r>
              <w:rPr>
                <w:color w:val="434343"/>
                <w:sz w:val="20"/>
                <w:szCs w:val="20"/>
              </w:rPr>
              <w:t>Lack of adherence to security policies</w:t>
            </w:r>
          </w:p>
          <w:p w14:paraId="31E4ACEA" w14:textId="77777777" w:rsidR="00CE1B63" w:rsidRDefault="00BC4666" w:rsidP="00163EF0">
            <w:pPr>
              <w:numPr>
                <w:ilvl w:val="0"/>
                <w:numId w:val="1"/>
              </w:numPr>
              <w:spacing w:after="0" w:line="240" w:lineRule="auto"/>
              <w:ind w:left="397"/>
              <w:rPr>
                <w:color w:val="434343"/>
                <w:sz w:val="20"/>
                <w:szCs w:val="20"/>
              </w:rPr>
            </w:pPr>
            <w:r>
              <w:rPr>
                <w:color w:val="434343"/>
                <w:sz w:val="20"/>
                <w:szCs w:val="20"/>
              </w:rPr>
              <w:t>Lack of adherence to procedures</w:t>
            </w:r>
          </w:p>
          <w:p w14:paraId="2CCA69B2" w14:textId="77777777" w:rsidR="00CE1B63" w:rsidRDefault="00BC4666" w:rsidP="00163EF0">
            <w:pPr>
              <w:numPr>
                <w:ilvl w:val="0"/>
                <w:numId w:val="1"/>
              </w:numPr>
              <w:spacing w:after="0" w:line="240" w:lineRule="auto"/>
              <w:ind w:left="397"/>
              <w:rPr>
                <w:color w:val="434343"/>
                <w:sz w:val="20"/>
                <w:szCs w:val="20"/>
              </w:rPr>
            </w:pPr>
            <w:r>
              <w:rPr>
                <w:color w:val="434343"/>
                <w:sz w:val="20"/>
                <w:szCs w:val="20"/>
              </w:rPr>
              <w:t>Insufficient training and knowledge about secure best practices</w:t>
            </w:r>
          </w:p>
          <w:p w14:paraId="6C459F96" w14:textId="77777777" w:rsidR="00CE1B63" w:rsidRDefault="00BC4666" w:rsidP="00163EF0">
            <w:pPr>
              <w:numPr>
                <w:ilvl w:val="0"/>
                <w:numId w:val="1"/>
              </w:numPr>
              <w:spacing w:after="0" w:line="240" w:lineRule="auto"/>
              <w:ind w:left="397"/>
              <w:rPr>
                <w:color w:val="434343"/>
                <w:sz w:val="20"/>
                <w:szCs w:val="20"/>
              </w:rPr>
            </w:pPr>
            <w:r>
              <w:rPr>
                <w:color w:val="434343"/>
                <w:sz w:val="20"/>
                <w:szCs w:val="20"/>
              </w:rPr>
              <w:t>Human error</w:t>
            </w:r>
          </w:p>
        </w:tc>
      </w:tr>
      <w:tr w:rsidR="00CE1B63" w14:paraId="66CB7EDA" w14:textId="77777777" w:rsidTr="00163EF0">
        <w:trPr>
          <w:trHeight w:val="1634"/>
        </w:trPr>
        <w:tc>
          <w:tcPr>
            <w:tcW w:w="2910" w:type="dxa"/>
            <w:tcBorders>
              <w:top w:val="single" w:sz="12" w:space="0" w:color="FFFFFF"/>
              <w:left w:val="single" w:sz="12" w:space="0" w:color="FFFFFF"/>
              <w:bottom w:val="single" w:sz="12" w:space="0" w:color="FFFFFF"/>
              <w:right w:val="single" w:sz="12" w:space="0" w:color="FFFFFF"/>
            </w:tcBorders>
            <w:shd w:val="clear" w:color="auto" w:fill="CCCCCC"/>
            <w:tcMar>
              <w:top w:w="100" w:type="dxa"/>
              <w:left w:w="100" w:type="dxa"/>
              <w:bottom w:w="100" w:type="dxa"/>
              <w:right w:w="100" w:type="dxa"/>
            </w:tcMar>
            <w:vAlign w:val="center"/>
          </w:tcPr>
          <w:p w14:paraId="44A9AD9E" w14:textId="77777777" w:rsidR="00CE1B63" w:rsidRDefault="00BC4666">
            <w:pPr>
              <w:spacing w:after="0" w:line="240" w:lineRule="auto"/>
              <w:rPr>
                <w:b/>
                <w:sz w:val="20"/>
                <w:szCs w:val="20"/>
              </w:rPr>
            </w:pPr>
            <w:r>
              <w:rPr>
                <w:b/>
                <w:sz w:val="20"/>
                <w:szCs w:val="20"/>
              </w:rPr>
              <w:t>Compliance and Regulatory Risks:</w:t>
            </w:r>
          </w:p>
        </w:tc>
        <w:tc>
          <w:tcPr>
            <w:tcW w:w="7140" w:type="dxa"/>
            <w:tcBorders>
              <w:top w:val="single" w:sz="12" w:space="0" w:color="FFFFFF"/>
              <w:left w:val="single" w:sz="12" w:space="0" w:color="FFFFFF"/>
              <w:bottom w:val="single" w:sz="12" w:space="0" w:color="FFFFFF"/>
              <w:right w:val="single" w:sz="12" w:space="0" w:color="FFFFFF"/>
            </w:tcBorders>
            <w:shd w:val="clear" w:color="auto" w:fill="EFEFEF"/>
            <w:tcMar>
              <w:top w:w="100" w:type="dxa"/>
              <w:left w:w="100" w:type="dxa"/>
              <w:bottom w:w="100" w:type="dxa"/>
              <w:right w:w="100" w:type="dxa"/>
            </w:tcMar>
            <w:vAlign w:val="center"/>
          </w:tcPr>
          <w:p w14:paraId="3C766CC0" w14:textId="77777777" w:rsidR="00CE1B63" w:rsidRDefault="00BC4666" w:rsidP="00163EF0">
            <w:pPr>
              <w:numPr>
                <w:ilvl w:val="0"/>
                <w:numId w:val="2"/>
              </w:numPr>
              <w:spacing w:after="0" w:line="240" w:lineRule="auto"/>
              <w:ind w:left="397"/>
              <w:rPr>
                <w:color w:val="434343"/>
                <w:sz w:val="20"/>
                <w:szCs w:val="20"/>
              </w:rPr>
            </w:pPr>
            <w:r>
              <w:rPr>
                <w:color w:val="434343"/>
                <w:sz w:val="20"/>
                <w:szCs w:val="20"/>
              </w:rPr>
              <w:t>Non-compliance with industry standards and regulations</w:t>
            </w:r>
          </w:p>
          <w:p w14:paraId="2636E03D" w14:textId="77777777" w:rsidR="00CE1B63" w:rsidRDefault="00BC4666" w:rsidP="00163EF0">
            <w:pPr>
              <w:numPr>
                <w:ilvl w:val="0"/>
                <w:numId w:val="2"/>
              </w:numPr>
              <w:spacing w:after="0" w:line="240" w:lineRule="auto"/>
              <w:ind w:left="397"/>
              <w:rPr>
                <w:color w:val="434343"/>
                <w:sz w:val="20"/>
                <w:szCs w:val="20"/>
              </w:rPr>
            </w:pPr>
            <w:r>
              <w:rPr>
                <w:color w:val="434343"/>
                <w:sz w:val="20"/>
                <w:szCs w:val="20"/>
              </w:rPr>
              <w:t>Non-compliance with legal requirements</w:t>
            </w:r>
          </w:p>
          <w:p w14:paraId="22453983" w14:textId="77777777" w:rsidR="00CE1B63" w:rsidRDefault="00BC4666" w:rsidP="00163EF0">
            <w:pPr>
              <w:numPr>
                <w:ilvl w:val="0"/>
                <w:numId w:val="2"/>
              </w:numPr>
              <w:spacing w:after="0" w:line="240" w:lineRule="auto"/>
              <w:ind w:left="397"/>
              <w:rPr>
                <w:color w:val="434343"/>
                <w:sz w:val="20"/>
                <w:szCs w:val="20"/>
              </w:rPr>
            </w:pPr>
            <w:r>
              <w:rPr>
                <w:color w:val="434343"/>
                <w:sz w:val="20"/>
                <w:szCs w:val="20"/>
              </w:rPr>
              <w:t>Inadequate data privacy protection measures</w:t>
            </w:r>
          </w:p>
          <w:p w14:paraId="54BC16A7" w14:textId="70BF3AEB" w:rsidR="00CE1B63" w:rsidRDefault="00BC4666" w:rsidP="00163EF0">
            <w:pPr>
              <w:numPr>
                <w:ilvl w:val="0"/>
                <w:numId w:val="2"/>
              </w:numPr>
              <w:spacing w:after="0" w:line="240" w:lineRule="auto"/>
              <w:ind w:left="397"/>
              <w:rPr>
                <w:color w:val="434343"/>
                <w:sz w:val="20"/>
                <w:szCs w:val="20"/>
              </w:rPr>
            </w:pPr>
            <w:r>
              <w:rPr>
                <w:color w:val="434343"/>
                <w:sz w:val="20"/>
                <w:szCs w:val="20"/>
              </w:rPr>
              <w:t xml:space="preserve">Failure to meet audit and reporting </w:t>
            </w:r>
            <w:r w:rsidR="00163EF0">
              <w:rPr>
                <w:color w:val="434343"/>
                <w:sz w:val="20"/>
                <w:szCs w:val="20"/>
              </w:rPr>
              <w:t>obligations.</w:t>
            </w:r>
          </w:p>
          <w:p w14:paraId="4EBDEA1F" w14:textId="77777777" w:rsidR="00CE1B63" w:rsidRDefault="00BC4666" w:rsidP="00163EF0">
            <w:pPr>
              <w:numPr>
                <w:ilvl w:val="0"/>
                <w:numId w:val="2"/>
              </w:numPr>
              <w:spacing w:after="0" w:line="240" w:lineRule="auto"/>
              <w:ind w:left="397"/>
              <w:rPr>
                <w:color w:val="434343"/>
                <w:sz w:val="20"/>
                <w:szCs w:val="20"/>
              </w:rPr>
            </w:pPr>
            <w:r>
              <w:rPr>
                <w:color w:val="434343"/>
                <w:sz w:val="20"/>
                <w:szCs w:val="20"/>
              </w:rPr>
              <w:t>Lack of documentation or evidence of security controls and measures</w:t>
            </w:r>
          </w:p>
        </w:tc>
      </w:tr>
      <w:tr w:rsidR="00CE1B63" w14:paraId="6CAB3F26" w14:textId="77777777" w:rsidTr="00163EF0">
        <w:trPr>
          <w:trHeight w:val="1334"/>
        </w:trPr>
        <w:tc>
          <w:tcPr>
            <w:tcW w:w="2910" w:type="dxa"/>
            <w:tcBorders>
              <w:top w:val="single" w:sz="12" w:space="0" w:color="FFFFFF"/>
              <w:left w:val="single" w:sz="12" w:space="0" w:color="FFFFFF"/>
              <w:bottom w:val="single" w:sz="12" w:space="0" w:color="FFFFFF"/>
              <w:right w:val="single" w:sz="12" w:space="0" w:color="FFFFFF"/>
            </w:tcBorders>
            <w:shd w:val="clear" w:color="auto" w:fill="CCCCCC"/>
            <w:tcMar>
              <w:top w:w="100" w:type="dxa"/>
              <w:left w:w="100" w:type="dxa"/>
              <w:bottom w:w="100" w:type="dxa"/>
              <w:right w:w="100" w:type="dxa"/>
            </w:tcMar>
            <w:vAlign w:val="center"/>
          </w:tcPr>
          <w:p w14:paraId="27CE5800" w14:textId="77777777" w:rsidR="00CE1B63" w:rsidRDefault="00BC4666">
            <w:pPr>
              <w:spacing w:after="0" w:line="240" w:lineRule="auto"/>
              <w:rPr>
                <w:b/>
                <w:sz w:val="20"/>
                <w:szCs w:val="20"/>
              </w:rPr>
            </w:pPr>
            <w:r>
              <w:rPr>
                <w:b/>
                <w:sz w:val="20"/>
                <w:szCs w:val="20"/>
              </w:rPr>
              <w:t>Project Management and Stakeholder Risks:</w:t>
            </w:r>
          </w:p>
        </w:tc>
        <w:tc>
          <w:tcPr>
            <w:tcW w:w="7140" w:type="dxa"/>
            <w:tcBorders>
              <w:top w:val="single" w:sz="12" w:space="0" w:color="FFFFFF"/>
              <w:left w:val="single" w:sz="12" w:space="0" w:color="FFFFFF"/>
              <w:bottom w:val="single" w:sz="12" w:space="0" w:color="FFFFFF"/>
              <w:right w:val="single" w:sz="12" w:space="0" w:color="FFFFFF"/>
            </w:tcBorders>
            <w:shd w:val="clear" w:color="auto" w:fill="D9D9D9"/>
            <w:tcMar>
              <w:top w:w="100" w:type="dxa"/>
              <w:left w:w="100" w:type="dxa"/>
              <w:bottom w:w="100" w:type="dxa"/>
              <w:right w:w="100" w:type="dxa"/>
            </w:tcMar>
            <w:vAlign w:val="center"/>
          </w:tcPr>
          <w:p w14:paraId="3212B392" w14:textId="77777777" w:rsidR="00CE1B63" w:rsidRDefault="00BC4666" w:rsidP="00163EF0">
            <w:pPr>
              <w:numPr>
                <w:ilvl w:val="0"/>
                <w:numId w:val="3"/>
              </w:numPr>
              <w:spacing w:after="0" w:line="240" w:lineRule="auto"/>
              <w:ind w:left="397"/>
              <w:rPr>
                <w:color w:val="434343"/>
                <w:sz w:val="20"/>
                <w:szCs w:val="20"/>
              </w:rPr>
            </w:pPr>
            <w:r>
              <w:rPr>
                <w:color w:val="434343"/>
                <w:sz w:val="20"/>
                <w:szCs w:val="20"/>
              </w:rPr>
              <w:t>Insufficient project resources or expertise for effective risk management</w:t>
            </w:r>
          </w:p>
          <w:p w14:paraId="127FAB07" w14:textId="77777777" w:rsidR="00CE1B63" w:rsidRDefault="00BC4666" w:rsidP="00163EF0">
            <w:pPr>
              <w:numPr>
                <w:ilvl w:val="0"/>
                <w:numId w:val="3"/>
              </w:numPr>
              <w:spacing w:after="0" w:line="240" w:lineRule="auto"/>
              <w:ind w:left="397"/>
              <w:rPr>
                <w:color w:val="434343"/>
                <w:sz w:val="20"/>
                <w:szCs w:val="20"/>
              </w:rPr>
            </w:pPr>
            <w:r>
              <w:rPr>
                <w:color w:val="434343"/>
                <w:sz w:val="20"/>
                <w:szCs w:val="20"/>
              </w:rPr>
              <w:t>Misalignment of stakeholder expectations or priorities</w:t>
            </w:r>
          </w:p>
          <w:p w14:paraId="46D0EDDB" w14:textId="77777777" w:rsidR="00CE1B63" w:rsidRDefault="00BC4666" w:rsidP="00163EF0">
            <w:pPr>
              <w:numPr>
                <w:ilvl w:val="0"/>
                <w:numId w:val="3"/>
              </w:numPr>
              <w:spacing w:after="0" w:line="240" w:lineRule="auto"/>
              <w:ind w:left="397"/>
              <w:rPr>
                <w:color w:val="434343"/>
                <w:sz w:val="20"/>
                <w:szCs w:val="20"/>
              </w:rPr>
            </w:pPr>
            <w:r>
              <w:rPr>
                <w:color w:val="434343"/>
                <w:sz w:val="20"/>
                <w:szCs w:val="20"/>
              </w:rPr>
              <w:t>Inadequate communication and collaboration among project team members</w:t>
            </w:r>
          </w:p>
          <w:p w14:paraId="5841BAE1" w14:textId="77777777" w:rsidR="00CE1B63" w:rsidRDefault="00BC4666" w:rsidP="00163EF0">
            <w:pPr>
              <w:numPr>
                <w:ilvl w:val="0"/>
                <w:numId w:val="3"/>
              </w:numPr>
              <w:spacing w:after="0" w:line="240" w:lineRule="auto"/>
              <w:ind w:left="397"/>
              <w:rPr>
                <w:color w:val="434343"/>
                <w:sz w:val="20"/>
                <w:szCs w:val="20"/>
              </w:rPr>
            </w:pPr>
            <w:r>
              <w:rPr>
                <w:color w:val="434343"/>
                <w:sz w:val="20"/>
                <w:szCs w:val="20"/>
              </w:rPr>
              <w:t xml:space="preserve">Delays or disruptions impacting the project timeline and </w:t>
            </w:r>
            <w:r>
              <w:rPr>
                <w:color w:val="434343"/>
                <w:sz w:val="20"/>
                <w:szCs w:val="20"/>
              </w:rPr>
              <w:t>objectives</w:t>
            </w:r>
          </w:p>
        </w:tc>
      </w:tr>
    </w:tbl>
    <w:p w14:paraId="00A286DA" w14:textId="77777777" w:rsidR="00CE1B63" w:rsidRPr="00163EF0" w:rsidRDefault="00CE1B63">
      <w:pPr>
        <w:tabs>
          <w:tab w:val="left" w:pos="6330"/>
        </w:tabs>
        <w:spacing w:after="0"/>
        <w:ind w:left="-566" w:right="-607"/>
      </w:pPr>
    </w:p>
    <w:p w14:paraId="761BF7FD" w14:textId="089AC119" w:rsidR="00CE1B63" w:rsidRPr="00163EF0" w:rsidRDefault="00BC4666">
      <w:pPr>
        <w:tabs>
          <w:tab w:val="left" w:pos="6330"/>
        </w:tabs>
        <w:spacing w:after="0"/>
        <w:ind w:left="-566" w:right="-607"/>
      </w:pPr>
      <w:r w:rsidRPr="00163EF0">
        <w:t>These risk categories encompass a wide range of potential risks that could arise during the AWS CyberShift Initiative's execution. To create effective mitigation measures, it is crucial to further evaluate and rank these risks based on their unique context</w:t>
      </w:r>
      <w:r w:rsidRPr="00163EF0">
        <w:t xml:space="preserve"> and effects on the </w:t>
      </w:r>
      <w:r w:rsidR="00163EF0" w:rsidRPr="00163EF0">
        <w:t>project.</w:t>
      </w:r>
    </w:p>
    <w:tbl>
      <w:tblPr>
        <w:tblStyle w:val="a7"/>
        <w:tblW w:w="108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90"/>
      </w:tblGrid>
      <w:tr w:rsidR="00CE1B63" w14:paraId="12C75C71" w14:textId="77777777" w:rsidTr="00163EF0">
        <w:trPr>
          <w:trHeight w:val="300"/>
          <w:jc w:val="center"/>
        </w:trPr>
        <w:tc>
          <w:tcPr>
            <w:tcW w:w="1089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03D80F15" w14:textId="77777777" w:rsidR="00CE1B63" w:rsidRDefault="00BC4666">
            <w:pPr>
              <w:widowControl w:val="0"/>
              <w:rPr>
                <w:rFonts w:ascii="Calibri" w:eastAsia="Calibri" w:hAnsi="Calibri" w:cs="Calibri"/>
                <w:b/>
              </w:rPr>
            </w:pPr>
            <w:r>
              <w:rPr>
                <w:rFonts w:ascii="Calibri" w:eastAsia="Calibri" w:hAnsi="Calibri" w:cs="Calibri"/>
                <w:b/>
              </w:rPr>
              <w:lastRenderedPageBreak/>
              <w:t>Risk Management Funding</w:t>
            </w:r>
          </w:p>
        </w:tc>
      </w:tr>
    </w:tbl>
    <w:p w14:paraId="05321D4B" w14:textId="77777777" w:rsidR="00CE1B63" w:rsidRDefault="00CE1B63">
      <w:pPr>
        <w:tabs>
          <w:tab w:val="left" w:pos="6330"/>
        </w:tabs>
        <w:spacing w:after="0"/>
        <w:ind w:left="-566" w:right="-607"/>
        <w:rPr>
          <w:b/>
          <w:color w:val="1F3864"/>
        </w:rPr>
      </w:pPr>
    </w:p>
    <w:p w14:paraId="6E9A693C" w14:textId="77777777" w:rsidR="00CE1B63" w:rsidRPr="00163EF0" w:rsidRDefault="00BC4666">
      <w:pPr>
        <w:tabs>
          <w:tab w:val="left" w:pos="6330"/>
        </w:tabs>
        <w:ind w:left="-566" w:right="-607"/>
      </w:pPr>
      <w:r w:rsidRPr="00163EF0">
        <w:t xml:space="preserve">Risk management funding encompasses the required resources allocated to support the implementation of risk management activities within the </w:t>
      </w:r>
      <w:r w:rsidRPr="00163EF0">
        <w:t xml:space="preserve">AWS CyberShift Initiative Project. </w:t>
      </w:r>
      <w:r w:rsidRPr="00163EF0">
        <w:t xml:space="preserve"> The risk management funding would involve the allocation of financial resources </w:t>
      </w:r>
      <w:r w:rsidRPr="00163EF0">
        <w:t>for identifying, assessing, mitigating, and monitoring risks associated with securing OzCasual's cloud infrastructure and migrating to Amazon AWS.</w:t>
      </w:r>
    </w:p>
    <w:p w14:paraId="34C41C55" w14:textId="77777777" w:rsidR="00CE1B63" w:rsidRPr="00163EF0" w:rsidRDefault="00BC4666">
      <w:pPr>
        <w:tabs>
          <w:tab w:val="left" w:pos="6330"/>
        </w:tabs>
        <w:ind w:left="-566" w:right="-607"/>
      </w:pPr>
      <w:r w:rsidRPr="00163EF0">
        <w:t>Since risk management operations directly impact the project's overall security and success, it is crucial to</w:t>
      </w:r>
      <w:r w:rsidRPr="00163EF0">
        <w:t xml:space="preserve"> allot enough budget for them. Organisations can deploy required security measures, maintain an efficient framework for monitoring and responding to risks, and implement effective risk management strategies with the correct funding.</w:t>
      </w:r>
    </w:p>
    <w:p w14:paraId="627FB454" w14:textId="77777777" w:rsidR="00CE1B63" w:rsidRPr="00163EF0" w:rsidRDefault="00BC4666">
      <w:pPr>
        <w:tabs>
          <w:tab w:val="left" w:pos="6330"/>
        </w:tabs>
        <w:ind w:left="-566" w:right="-607"/>
        <w:rPr>
          <w:b/>
          <w:sz w:val="24"/>
          <w:szCs w:val="24"/>
        </w:rPr>
      </w:pPr>
      <w:r w:rsidRPr="00163EF0">
        <w:rPr>
          <w:b/>
          <w:sz w:val="24"/>
          <w:szCs w:val="24"/>
        </w:rPr>
        <w:t>The funding for risk management would cover the following areas;</w:t>
      </w:r>
    </w:p>
    <w:tbl>
      <w:tblPr>
        <w:tblStyle w:val="a8"/>
        <w:tblW w:w="10380" w:type="dxa"/>
        <w:tblInd w:w="-56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8235"/>
      </w:tblGrid>
      <w:tr w:rsidR="00CE1B63" w14:paraId="3737A243" w14:textId="77777777">
        <w:trPr>
          <w:trHeight w:val="1815"/>
        </w:trPr>
        <w:tc>
          <w:tcPr>
            <w:tcW w:w="2145" w:type="dxa"/>
            <w:tcBorders>
              <w:top w:val="single" w:sz="12" w:space="0" w:color="FFFFFF"/>
              <w:left w:val="single" w:sz="12" w:space="0" w:color="FFFFFF"/>
              <w:bottom w:val="single" w:sz="12" w:space="0" w:color="FFFFFF"/>
              <w:right w:val="single" w:sz="12" w:space="0" w:color="FFFFFF"/>
            </w:tcBorders>
            <w:shd w:val="clear" w:color="auto" w:fill="CCCCCC"/>
            <w:tcMar>
              <w:top w:w="100" w:type="dxa"/>
              <w:left w:w="100" w:type="dxa"/>
              <w:bottom w:w="100" w:type="dxa"/>
              <w:right w:w="100" w:type="dxa"/>
            </w:tcMar>
            <w:vAlign w:val="center"/>
          </w:tcPr>
          <w:p w14:paraId="5835F758" w14:textId="77777777" w:rsidR="00CE1B63" w:rsidRDefault="00BC4666">
            <w:pPr>
              <w:tabs>
                <w:tab w:val="left" w:pos="6330"/>
              </w:tabs>
              <w:spacing w:after="0"/>
              <w:ind w:right="12"/>
              <w:rPr>
                <w:b/>
                <w:sz w:val="20"/>
                <w:szCs w:val="20"/>
              </w:rPr>
            </w:pPr>
            <w:r>
              <w:rPr>
                <w:b/>
                <w:sz w:val="20"/>
                <w:szCs w:val="20"/>
              </w:rPr>
              <w:t>Risk Assessment Tools and Services:</w:t>
            </w:r>
          </w:p>
        </w:tc>
        <w:tc>
          <w:tcPr>
            <w:tcW w:w="8235" w:type="dxa"/>
            <w:tcBorders>
              <w:top w:val="single" w:sz="12" w:space="0" w:color="FFFFFF"/>
              <w:left w:val="single" w:sz="12" w:space="0" w:color="FFFFFF"/>
              <w:bottom w:val="single" w:sz="12" w:space="0" w:color="FFFFFF"/>
              <w:right w:val="single" w:sz="12" w:space="0" w:color="FFFFFF"/>
            </w:tcBorders>
            <w:shd w:val="clear" w:color="auto" w:fill="F3F3F3"/>
            <w:tcMar>
              <w:top w:w="100" w:type="dxa"/>
              <w:left w:w="100" w:type="dxa"/>
              <w:bottom w:w="100" w:type="dxa"/>
              <w:right w:w="100" w:type="dxa"/>
            </w:tcMar>
            <w:vAlign w:val="center"/>
          </w:tcPr>
          <w:p w14:paraId="295EDC56" w14:textId="77777777" w:rsidR="00CE1B63" w:rsidRDefault="00BC4666">
            <w:pPr>
              <w:tabs>
                <w:tab w:val="left" w:pos="6330"/>
              </w:tabs>
              <w:spacing w:after="0"/>
              <w:ind w:right="-20"/>
              <w:rPr>
                <w:b/>
                <w:color w:val="434343"/>
                <w:sz w:val="24"/>
                <w:szCs w:val="24"/>
              </w:rPr>
            </w:pPr>
            <w:r>
              <w:rPr>
                <w:color w:val="434343"/>
                <w:sz w:val="20"/>
                <w:szCs w:val="20"/>
              </w:rPr>
              <w:t>The budget would include funds for purchasing or subscribing to tools and services for risk assessment that can be used to find vulnerabilities, run scans,</w:t>
            </w:r>
            <w:r>
              <w:rPr>
                <w:color w:val="434343"/>
                <w:sz w:val="20"/>
                <w:szCs w:val="20"/>
              </w:rPr>
              <w:t xml:space="preserve"> and gauge the likelihood and consequences of potential threats. This would also cover the costs associated for penetration testing services, vulnerability scanning tool licences and providing risk assessments.</w:t>
            </w:r>
          </w:p>
        </w:tc>
      </w:tr>
      <w:tr w:rsidR="00CE1B63" w14:paraId="128A6EB6" w14:textId="77777777">
        <w:trPr>
          <w:trHeight w:val="1815"/>
        </w:trPr>
        <w:tc>
          <w:tcPr>
            <w:tcW w:w="2145" w:type="dxa"/>
            <w:tcBorders>
              <w:top w:val="single" w:sz="12" w:space="0" w:color="FFFFFF"/>
              <w:left w:val="single" w:sz="12" w:space="0" w:color="FFFFFF"/>
              <w:bottom w:val="single" w:sz="12" w:space="0" w:color="FFFFFF"/>
              <w:right w:val="single" w:sz="12" w:space="0" w:color="FFFFFF"/>
            </w:tcBorders>
            <w:shd w:val="clear" w:color="auto" w:fill="CCCCCC"/>
            <w:tcMar>
              <w:top w:w="100" w:type="dxa"/>
              <w:left w:w="100" w:type="dxa"/>
              <w:bottom w:w="100" w:type="dxa"/>
              <w:right w:w="100" w:type="dxa"/>
            </w:tcMar>
            <w:vAlign w:val="center"/>
          </w:tcPr>
          <w:p w14:paraId="6C58C811" w14:textId="77777777" w:rsidR="00CE1B63" w:rsidRDefault="00BC4666">
            <w:pPr>
              <w:tabs>
                <w:tab w:val="left" w:pos="6330"/>
              </w:tabs>
              <w:spacing w:after="0"/>
              <w:ind w:right="12"/>
              <w:rPr>
                <w:b/>
                <w:sz w:val="20"/>
                <w:szCs w:val="20"/>
              </w:rPr>
            </w:pPr>
            <w:r>
              <w:rPr>
                <w:b/>
                <w:sz w:val="20"/>
                <w:szCs w:val="20"/>
              </w:rPr>
              <w:t>Security Controls and Technologies:</w:t>
            </w:r>
          </w:p>
        </w:tc>
        <w:tc>
          <w:tcPr>
            <w:tcW w:w="8235" w:type="dxa"/>
            <w:tcBorders>
              <w:top w:val="single" w:sz="12" w:space="0" w:color="FFFFFF"/>
              <w:left w:val="single" w:sz="12" w:space="0" w:color="FFFFFF"/>
              <w:bottom w:val="single" w:sz="12" w:space="0" w:color="FFFFFF"/>
              <w:right w:val="single" w:sz="12" w:space="0" w:color="FFFFFF"/>
            </w:tcBorders>
            <w:shd w:val="clear" w:color="auto" w:fill="D9D9D9"/>
            <w:tcMar>
              <w:top w:w="100" w:type="dxa"/>
              <w:left w:w="100" w:type="dxa"/>
              <w:bottom w:w="100" w:type="dxa"/>
              <w:right w:w="100" w:type="dxa"/>
            </w:tcMar>
            <w:vAlign w:val="center"/>
          </w:tcPr>
          <w:p w14:paraId="25002B50" w14:textId="77777777" w:rsidR="00CE1B63" w:rsidRDefault="00BC4666">
            <w:pPr>
              <w:tabs>
                <w:tab w:val="left" w:pos="6330"/>
              </w:tabs>
              <w:spacing w:after="0"/>
              <w:ind w:right="-20"/>
              <w:rPr>
                <w:color w:val="434343"/>
                <w:sz w:val="20"/>
                <w:szCs w:val="20"/>
              </w:rPr>
            </w:pPr>
            <w:r>
              <w:rPr>
                <w:color w:val="434343"/>
                <w:sz w:val="20"/>
                <w:szCs w:val="20"/>
              </w:rPr>
              <w:t>The budg</w:t>
            </w:r>
            <w:r>
              <w:rPr>
                <w:color w:val="434343"/>
                <w:sz w:val="20"/>
                <w:szCs w:val="20"/>
              </w:rPr>
              <w:t>et would include funds for purchasing and putting in place the technology, software tools, and security measures necessary to reduce the risks that have been identified. Firewalls, intrusion detection/prevention systems (IDS/IPS), antivirus and malware sof</w:t>
            </w:r>
            <w:r>
              <w:rPr>
                <w:color w:val="434343"/>
                <w:sz w:val="20"/>
                <w:szCs w:val="20"/>
              </w:rPr>
              <w:t>tware, log monitoring and analysis tools, and real-time monitoring solutions may all fall under this category. Budget allocations might also be required for system upgrades or fixes to security flaws.</w:t>
            </w:r>
          </w:p>
        </w:tc>
      </w:tr>
      <w:tr w:rsidR="00CE1B63" w14:paraId="23C4EDA6" w14:textId="77777777">
        <w:trPr>
          <w:trHeight w:val="1815"/>
        </w:trPr>
        <w:tc>
          <w:tcPr>
            <w:tcW w:w="2145" w:type="dxa"/>
            <w:tcBorders>
              <w:top w:val="single" w:sz="12" w:space="0" w:color="FFFFFF"/>
              <w:left w:val="single" w:sz="12" w:space="0" w:color="FFFFFF"/>
              <w:bottom w:val="single" w:sz="12" w:space="0" w:color="FFFFFF"/>
              <w:right w:val="single" w:sz="12" w:space="0" w:color="FFFFFF"/>
            </w:tcBorders>
            <w:shd w:val="clear" w:color="auto" w:fill="CCCCCC"/>
            <w:tcMar>
              <w:top w:w="100" w:type="dxa"/>
              <w:left w:w="100" w:type="dxa"/>
              <w:bottom w:w="100" w:type="dxa"/>
              <w:right w:w="100" w:type="dxa"/>
            </w:tcMar>
            <w:vAlign w:val="center"/>
          </w:tcPr>
          <w:p w14:paraId="63C5FD01" w14:textId="77777777" w:rsidR="00CE1B63" w:rsidRDefault="00BC4666">
            <w:pPr>
              <w:tabs>
                <w:tab w:val="left" w:pos="6330"/>
              </w:tabs>
              <w:spacing w:after="0"/>
              <w:ind w:right="12"/>
              <w:rPr>
                <w:b/>
                <w:sz w:val="20"/>
                <w:szCs w:val="20"/>
              </w:rPr>
            </w:pPr>
            <w:r>
              <w:rPr>
                <w:b/>
                <w:sz w:val="20"/>
                <w:szCs w:val="20"/>
              </w:rPr>
              <w:t>Training and Awareness Programs:</w:t>
            </w:r>
          </w:p>
        </w:tc>
        <w:tc>
          <w:tcPr>
            <w:tcW w:w="8235" w:type="dxa"/>
            <w:tcBorders>
              <w:top w:val="single" w:sz="12" w:space="0" w:color="FFFFFF"/>
              <w:left w:val="single" w:sz="12" w:space="0" w:color="FFFFFF"/>
              <w:bottom w:val="single" w:sz="12" w:space="0" w:color="FFFFFF"/>
              <w:right w:val="single" w:sz="12" w:space="0" w:color="FFFFFF"/>
            </w:tcBorders>
            <w:shd w:val="clear" w:color="auto" w:fill="EFEFEF"/>
            <w:tcMar>
              <w:top w:w="100" w:type="dxa"/>
              <w:left w:w="100" w:type="dxa"/>
              <w:bottom w:w="100" w:type="dxa"/>
              <w:right w:w="100" w:type="dxa"/>
            </w:tcMar>
            <w:vAlign w:val="center"/>
          </w:tcPr>
          <w:p w14:paraId="3D87F4BE" w14:textId="77777777" w:rsidR="00CE1B63" w:rsidRDefault="00BC4666">
            <w:pPr>
              <w:tabs>
                <w:tab w:val="left" w:pos="6330"/>
              </w:tabs>
              <w:spacing w:after="0"/>
              <w:ind w:right="-20"/>
              <w:rPr>
                <w:color w:val="434343"/>
                <w:sz w:val="20"/>
                <w:szCs w:val="20"/>
              </w:rPr>
            </w:pPr>
            <w:r>
              <w:rPr>
                <w:color w:val="434343"/>
                <w:sz w:val="20"/>
                <w:szCs w:val="20"/>
              </w:rPr>
              <w:t>The budget would include funds to provide the project team and staff with training sessions and awareness programmes on risk management best practices, secure configurations, and incident response protocols. This would guar</w:t>
            </w:r>
            <w:r>
              <w:rPr>
                <w:color w:val="434343"/>
                <w:sz w:val="20"/>
                <w:szCs w:val="20"/>
              </w:rPr>
              <w:t>antee that the workforce has the knowledge and abilities needed to successfully minimise risks and respond to them.</w:t>
            </w:r>
          </w:p>
        </w:tc>
      </w:tr>
      <w:tr w:rsidR="00CE1B63" w14:paraId="285F2CFA" w14:textId="77777777">
        <w:trPr>
          <w:trHeight w:val="1815"/>
        </w:trPr>
        <w:tc>
          <w:tcPr>
            <w:tcW w:w="2145" w:type="dxa"/>
            <w:tcBorders>
              <w:top w:val="single" w:sz="12" w:space="0" w:color="FFFFFF"/>
              <w:left w:val="single" w:sz="12" w:space="0" w:color="FFFFFF"/>
              <w:bottom w:val="single" w:sz="12" w:space="0" w:color="FFFFFF"/>
              <w:right w:val="single" w:sz="12" w:space="0" w:color="FFFFFF"/>
            </w:tcBorders>
            <w:shd w:val="clear" w:color="auto" w:fill="CCCCCC"/>
            <w:tcMar>
              <w:top w:w="100" w:type="dxa"/>
              <w:left w:w="100" w:type="dxa"/>
              <w:bottom w:w="100" w:type="dxa"/>
              <w:right w:w="100" w:type="dxa"/>
            </w:tcMar>
            <w:vAlign w:val="center"/>
          </w:tcPr>
          <w:p w14:paraId="54DDBDDD" w14:textId="77777777" w:rsidR="00CE1B63" w:rsidRDefault="00BC4666">
            <w:pPr>
              <w:tabs>
                <w:tab w:val="left" w:pos="6330"/>
              </w:tabs>
              <w:spacing w:after="0"/>
              <w:ind w:right="12"/>
              <w:rPr>
                <w:b/>
                <w:sz w:val="20"/>
                <w:szCs w:val="20"/>
              </w:rPr>
            </w:pPr>
            <w:r>
              <w:rPr>
                <w:b/>
                <w:sz w:val="20"/>
                <w:szCs w:val="20"/>
              </w:rPr>
              <w:t>Incident Response Preparedness:</w:t>
            </w:r>
          </w:p>
        </w:tc>
        <w:tc>
          <w:tcPr>
            <w:tcW w:w="8235" w:type="dxa"/>
            <w:tcBorders>
              <w:top w:val="single" w:sz="12" w:space="0" w:color="FFFFFF"/>
              <w:left w:val="single" w:sz="12" w:space="0" w:color="FFFFFF"/>
              <w:bottom w:val="single" w:sz="12" w:space="0" w:color="FFFFFF"/>
              <w:right w:val="single" w:sz="12" w:space="0" w:color="FFFFFF"/>
            </w:tcBorders>
            <w:shd w:val="clear" w:color="auto" w:fill="D9D9D9"/>
            <w:tcMar>
              <w:top w:w="100" w:type="dxa"/>
              <w:left w:w="100" w:type="dxa"/>
              <w:bottom w:w="100" w:type="dxa"/>
              <w:right w:w="100" w:type="dxa"/>
            </w:tcMar>
            <w:vAlign w:val="center"/>
          </w:tcPr>
          <w:p w14:paraId="59C9A8D7" w14:textId="77777777" w:rsidR="00CE1B63" w:rsidRDefault="00BC4666">
            <w:pPr>
              <w:tabs>
                <w:tab w:val="left" w:pos="6330"/>
              </w:tabs>
              <w:spacing w:after="0"/>
              <w:ind w:right="-20"/>
              <w:rPr>
                <w:b/>
                <w:color w:val="434343"/>
                <w:sz w:val="24"/>
                <w:szCs w:val="24"/>
              </w:rPr>
            </w:pPr>
            <w:r>
              <w:rPr>
                <w:color w:val="434343"/>
                <w:sz w:val="20"/>
                <w:szCs w:val="20"/>
              </w:rPr>
              <w:t xml:space="preserve">The budget would include funds for incident detection, containment, investigation, and remediation as well as to create and maintain an incident response plan.  </w:t>
            </w:r>
          </w:p>
        </w:tc>
      </w:tr>
      <w:tr w:rsidR="00CE1B63" w14:paraId="6C7B60D4" w14:textId="77777777">
        <w:trPr>
          <w:trHeight w:val="1815"/>
        </w:trPr>
        <w:tc>
          <w:tcPr>
            <w:tcW w:w="2145" w:type="dxa"/>
            <w:tcBorders>
              <w:top w:val="single" w:sz="12" w:space="0" w:color="FFFFFF"/>
              <w:left w:val="single" w:sz="12" w:space="0" w:color="FFFFFF"/>
              <w:bottom w:val="single" w:sz="12" w:space="0" w:color="FFFFFF"/>
              <w:right w:val="single" w:sz="12" w:space="0" w:color="FFFFFF"/>
            </w:tcBorders>
            <w:shd w:val="clear" w:color="auto" w:fill="CCCCCC"/>
            <w:tcMar>
              <w:top w:w="100" w:type="dxa"/>
              <w:left w:w="100" w:type="dxa"/>
              <w:bottom w:w="100" w:type="dxa"/>
              <w:right w:w="100" w:type="dxa"/>
            </w:tcMar>
            <w:vAlign w:val="center"/>
          </w:tcPr>
          <w:p w14:paraId="664D49BC" w14:textId="77777777" w:rsidR="00CE1B63" w:rsidRDefault="00BC4666">
            <w:pPr>
              <w:tabs>
                <w:tab w:val="left" w:pos="6330"/>
              </w:tabs>
              <w:spacing w:after="0"/>
              <w:ind w:right="12"/>
              <w:rPr>
                <w:b/>
                <w:sz w:val="20"/>
                <w:szCs w:val="20"/>
              </w:rPr>
            </w:pPr>
            <w:r>
              <w:rPr>
                <w:b/>
                <w:sz w:val="20"/>
                <w:szCs w:val="20"/>
              </w:rPr>
              <w:t>Risk Monitoring and Compliance Audits:</w:t>
            </w:r>
          </w:p>
        </w:tc>
        <w:tc>
          <w:tcPr>
            <w:tcW w:w="8235" w:type="dxa"/>
            <w:tcBorders>
              <w:top w:val="single" w:sz="12" w:space="0" w:color="FFFFFF"/>
              <w:left w:val="single" w:sz="12" w:space="0" w:color="FFFFFF"/>
              <w:bottom w:val="single" w:sz="12" w:space="0" w:color="FFFFFF"/>
              <w:right w:val="single" w:sz="12" w:space="0" w:color="FFFFFF"/>
            </w:tcBorders>
            <w:shd w:val="clear" w:color="auto" w:fill="EFEFEF"/>
            <w:tcMar>
              <w:top w:w="100" w:type="dxa"/>
              <w:left w:w="100" w:type="dxa"/>
              <w:bottom w:w="100" w:type="dxa"/>
              <w:right w:w="100" w:type="dxa"/>
            </w:tcMar>
            <w:vAlign w:val="center"/>
          </w:tcPr>
          <w:p w14:paraId="3E12A61C" w14:textId="77777777" w:rsidR="00CE1B63" w:rsidRDefault="00BC4666">
            <w:pPr>
              <w:tabs>
                <w:tab w:val="left" w:pos="6330"/>
              </w:tabs>
              <w:spacing w:after="0"/>
              <w:ind w:right="-20"/>
              <w:rPr>
                <w:b/>
                <w:color w:val="434343"/>
                <w:sz w:val="24"/>
                <w:szCs w:val="24"/>
              </w:rPr>
            </w:pPr>
            <w:r>
              <w:rPr>
                <w:color w:val="434343"/>
                <w:sz w:val="20"/>
                <w:szCs w:val="20"/>
              </w:rPr>
              <w:t>The budget would include provisions for continuing ris</w:t>
            </w:r>
            <w:r>
              <w:rPr>
                <w:color w:val="434343"/>
                <w:sz w:val="20"/>
                <w:szCs w:val="20"/>
              </w:rPr>
              <w:t>k monitoring operations, such as log analysis, network traffic monitoring, and vulnerability assessments.  Funds would also be given for compliance audits to make sure security standards, laws, and policies are followed.</w:t>
            </w:r>
          </w:p>
        </w:tc>
      </w:tr>
    </w:tbl>
    <w:p w14:paraId="543E8AFE" w14:textId="77777777" w:rsidR="00CE1B63" w:rsidRPr="00163EF0" w:rsidRDefault="00BC4666">
      <w:pPr>
        <w:tabs>
          <w:tab w:val="left" w:pos="6330"/>
        </w:tabs>
        <w:ind w:left="-566" w:right="-607"/>
      </w:pPr>
      <w:r>
        <w:rPr>
          <w:color w:val="1F3864"/>
        </w:rPr>
        <w:br/>
      </w:r>
      <w:r w:rsidRPr="00163EF0">
        <w:t xml:space="preserve">It is essential to allocate adequate funding to risk management activities as it directly contributes to the overall security and success of the project. Proper funding enables organizations to implement robust risk management strategies, employ necessary </w:t>
      </w:r>
      <w:r w:rsidRPr="00163EF0">
        <w:t>security measures, and maintain an effective risk monitoring and response framework.</w:t>
      </w:r>
    </w:p>
    <w:tbl>
      <w:tblPr>
        <w:tblStyle w:val="a9"/>
        <w:tblW w:w="106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65"/>
      </w:tblGrid>
      <w:tr w:rsidR="00CE1B63" w14:paraId="6B9167F6" w14:textId="77777777" w:rsidTr="00163EF0">
        <w:trPr>
          <w:trHeight w:val="158"/>
          <w:jc w:val="center"/>
        </w:trPr>
        <w:tc>
          <w:tcPr>
            <w:tcW w:w="10665"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12589679" w14:textId="77777777" w:rsidR="00CE1B63" w:rsidRDefault="00BC4666">
            <w:pPr>
              <w:widowControl w:val="0"/>
              <w:rPr>
                <w:rFonts w:ascii="Calibri" w:eastAsia="Calibri" w:hAnsi="Calibri" w:cs="Calibri"/>
                <w:b/>
              </w:rPr>
            </w:pPr>
            <w:r>
              <w:rPr>
                <w:rFonts w:ascii="Calibri" w:eastAsia="Calibri" w:hAnsi="Calibri" w:cs="Calibri"/>
                <w:b/>
              </w:rPr>
              <w:lastRenderedPageBreak/>
              <w:t>Contingency Protocols</w:t>
            </w:r>
          </w:p>
        </w:tc>
      </w:tr>
    </w:tbl>
    <w:p w14:paraId="444E3790" w14:textId="77777777" w:rsidR="00CE1B63" w:rsidRDefault="00CE1B63">
      <w:pPr>
        <w:widowControl w:val="0"/>
        <w:spacing w:after="0" w:line="240" w:lineRule="auto"/>
        <w:rPr>
          <w:b/>
          <w:color w:val="1F3863"/>
        </w:rPr>
      </w:pPr>
    </w:p>
    <w:p w14:paraId="07B65812" w14:textId="77777777" w:rsidR="00CE1B63" w:rsidRPr="00163EF0" w:rsidRDefault="00BC4666">
      <w:pPr>
        <w:widowControl w:val="0"/>
        <w:spacing w:after="0" w:line="240" w:lineRule="auto"/>
        <w:ind w:left="-567"/>
        <w:rPr>
          <w:highlight w:val="white"/>
        </w:rPr>
      </w:pPr>
      <w:r w:rsidRPr="00163EF0">
        <w:rPr>
          <w:highlight w:val="white"/>
        </w:rPr>
        <w:t xml:space="preserve">Contingency protocols for risk management are predetermined plans and processes that specify how to deal with risks and unforeseen events during the implementation of a project, and how to lessen their effects. Risk management contingency protocols entail </w:t>
      </w:r>
      <w:r w:rsidRPr="00163EF0">
        <w:rPr>
          <w:highlight w:val="white"/>
        </w:rPr>
        <w:t>adopting strategies and measures to handle identified risks and guarantee business continuity in the face of disruptions or incidents in the AWS CyberShift Initiative.</w:t>
      </w:r>
    </w:p>
    <w:p w14:paraId="795D6C53" w14:textId="77777777" w:rsidR="00CE1B63" w:rsidRPr="00163EF0" w:rsidRDefault="00CE1B63">
      <w:pPr>
        <w:widowControl w:val="0"/>
        <w:spacing w:after="0" w:line="240" w:lineRule="auto"/>
        <w:ind w:left="-567"/>
        <w:rPr>
          <w:sz w:val="20"/>
          <w:szCs w:val="20"/>
          <w:highlight w:val="white"/>
        </w:rPr>
      </w:pPr>
    </w:p>
    <w:p w14:paraId="1011986D" w14:textId="77777777" w:rsidR="00CE1B63" w:rsidRPr="00163EF0" w:rsidRDefault="00BC4666">
      <w:pPr>
        <w:widowControl w:val="0"/>
        <w:spacing w:after="0" w:line="240" w:lineRule="auto"/>
        <w:ind w:left="-567"/>
        <w:rPr>
          <w:b/>
          <w:i/>
          <w:highlight w:val="white"/>
        </w:rPr>
      </w:pPr>
      <w:r w:rsidRPr="00163EF0">
        <w:rPr>
          <w:b/>
          <w:i/>
          <w:highlight w:val="white"/>
        </w:rPr>
        <w:t>Contingency protocols may include the following:</w:t>
      </w:r>
    </w:p>
    <w:p w14:paraId="0E115336" w14:textId="77777777" w:rsidR="00CE1B63" w:rsidRPr="00163EF0" w:rsidRDefault="00CE1B63">
      <w:pPr>
        <w:widowControl w:val="0"/>
        <w:spacing w:after="0" w:line="240" w:lineRule="auto"/>
        <w:ind w:left="-567"/>
        <w:rPr>
          <w:highlight w:val="white"/>
        </w:rPr>
      </w:pPr>
    </w:p>
    <w:p w14:paraId="49B1E847" w14:textId="77777777" w:rsidR="00CE1B63" w:rsidRPr="00163EF0" w:rsidRDefault="00BC4666">
      <w:pPr>
        <w:widowControl w:val="0"/>
        <w:spacing w:after="200" w:line="240" w:lineRule="auto"/>
        <w:ind w:left="-567"/>
        <w:rPr>
          <w:b/>
          <w:i/>
          <w:highlight w:val="white"/>
        </w:rPr>
      </w:pPr>
      <w:r w:rsidRPr="00163EF0">
        <w:rPr>
          <w:b/>
          <w:i/>
          <w:highlight w:val="white"/>
        </w:rPr>
        <w:t xml:space="preserve">Risk Response Strategies: </w:t>
      </w:r>
    </w:p>
    <w:p w14:paraId="4928C555" w14:textId="77777777" w:rsidR="00CE1B63" w:rsidRPr="00163EF0" w:rsidRDefault="00BC4666">
      <w:pPr>
        <w:widowControl w:val="0"/>
        <w:spacing w:after="0" w:line="240" w:lineRule="auto"/>
        <w:ind w:left="-567"/>
        <w:rPr>
          <w:highlight w:val="white"/>
        </w:rPr>
      </w:pPr>
      <w:r w:rsidRPr="00163EF0">
        <w:rPr>
          <w:highlight w:val="white"/>
        </w:rPr>
        <w:t>Each identified risk will have a corresponding response strategy outlined in the contingency protocols. The strategy could involve risk mitigation, risk transfer through insurance</w:t>
      </w:r>
      <w:r w:rsidRPr="00163EF0">
        <w:rPr>
          <w:highlight w:val="white"/>
        </w:rPr>
        <w:t xml:space="preserve"> or outsourcing, risk acceptance, or risk avoidance by making alterations to the project plan or scope.</w:t>
      </w:r>
    </w:p>
    <w:p w14:paraId="3C272A0B" w14:textId="77777777" w:rsidR="00CE1B63" w:rsidRPr="00163EF0" w:rsidRDefault="00CE1B63">
      <w:pPr>
        <w:widowControl w:val="0"/>
        <w:spacing w:after="0" w:line="240" w:lineRule="auto"/>
        <w:ind w:left="-567"/>
        <w:rPr>
          <w:highlight w:val="white"/>
        </w:rPr>
      </w:pPr>
    </w:p>
    <w:p w14:paraId="4584AB82" w14:textId="77777777" w:rsidR="00CE1B63" w:rsidRPr="00163EF0" w:rsidRDefault="00BC4666">
      <w:pPr>
        <w:widowControl w:val="0"/>
        <w:spacing w:after="200" w:line="240" w:lineRule="auto"/>
        <w:ind w:left="-567"/>
        <w:rPr>
          <w:b/>
          <w:i/>
          <w:highlight w:val="white"/>
        </w:rPr>
      </w:pPr>
      <w:r w:rsidRPr="00163EF0">
        <w:rPr>
          <w:b/>
          <w:i/>
          <w:highlight w:val="white"/>
        </w:rPr>
        <w:t xml:space="preserve">Incident Response and Escalation: </w:t>
      </w:r>
    </w:p>
    <w:p w14:paraId="0DB466F5" w14:textId="77777777" w:rsidR="00CE1B63" w:rsidRPr="00163EF0" w:rsidRDefault="00BC4666">
      <w:pPr>
        <w:widowControl w:val="0"/>
        <w:spacing w:after="0" w:line="240" w:lineRule="auto"/>
        <w:ind w:left="-567"/>
        <w:rPr>
          <w:highlight w:val="white"/>
        </w:rPr>
      </w:pPr>
      <w:r w:rsidRPr="00163EF0">
        <w:rPr>
          <w:highlight w:val="white"/>
        </w:rPr>
        <w:t>In the occurrence of a security incident or risk event, the action to be taken would be specified by contingency pro</w:t>
      </w:r>
      <w:r w:rsidRPr="00163EF0">
        <w:rPr>
          <w:highlight w:val="white"/>
        </w:rPr>
        <w:t>tocols. This covers the procedures for incident detection, containment, investigation, and remediation. To ensure that any problems that arise are dealt with in a timely and effective manner, the incident response team will have their roles and duties clea</w:t>
      </w:r>
      <w:r w:rsidRPr="00163EF0">
        <w:rPr>
          <w:highlight w:val="white"/>
        </w:rPr>
        <w:t>rly defined, and escalation procedures will also be specified.</w:t>
      </w:r>
    </w:p>
    <w:p w14:paraId="5CDE787A" w14:textId="77777777" w:rsidR="00CE1B63" w:rsidRPr="00163EF0" w:rsidRDefault="00CE1B63">
      <w:pPr>
        <w:widowControl w:val="0"/>
        <w:spacing w:after="0" w:line="240" w:lineRule="auto"/>
        <w:ind w:left="-567"/>
        <w:rPr>
          <w:sz w:val="20"/>
          <w:szCs w:val="20"/>
          <w:highlight w:val="white"/>
        </w:rPr>
      </w:pPr>
    </w:p>
    <w:p w14:paraId="5DC0D85B" w14:textId="77777777" w:rsidR="00CE1B63" w:rsidRPr="00163EF0" w:rsidRDefault="00BC4666">
      <w:pPr>
        <w:widowControl w:val="0"/>
        <w:spacing w:after="200" w:line="240" w:lineRule="auto"/>
        <w:ind w:left="-567"/>
        <w:rPr>
          <w:b/>
          <w:i/>
          <w:highlight w:val="white"/>
        </w:rPr>
      </w:pPr>
      <w:r w:rsidRPr="00163EF0">
        <w:rPr>
          <w:b/>
          <w:i/>
          <w:highlight w:val="white"/>
        </w:rPr>
        <w:t xml:space="preserve">Backup and Disaster Recovery: </w:t>
      </w:r>
    </w:p>
    <w:p w14:paraId="4A38F473" w14:textId="77777777" w:rsidR="00CE1B63" w:rsidRPr="00163EF0" w:rsidRDefault="00BC4666">
      <w:pPr>
        <w:widowControl w:val="0"/>
        <w:spacing w:after="0" w:line="240" w:lineRule="auto"/>
        <w:ind w:left="-567"/>
        <w:rPr>
          <w:highlight w:val="white"/>
        </w:rPr>
      </w:pPr>
      <w:r w:rsidRPr="00163EF0">
        <w:rPr>
          <w:highlight w:val="white"/>
        </w:rPr>
        <w:t>In case of data loss, system failures, or other serious incidents, contingency protocols will provide backup and disaster recovery strategies. This entails creat</w:t>
      </w:r>
      <w:r w:rsidRPr="00163EF0">
        <w:rPr>
          <w:highlight w:val="white"/>
        </w:rPr>
        <w:t>ing frequent backups of crucial data and systems, storing backups off-site, and setting up recovery procedures to resume operations in the event of an incident.</w:t>
      </w:r>
    </w:p>
    <w:p w14:paraId="0606AE02" w14:textId="77777777" w:rsidR="00CE1B63" w:rsidRPr="00163EF0" w:rsidRDefault="00CE1B63">
      <w:pPr>
        <w:widowControl w:val="0"/>
        <w:spacing w:after="0" w:line="240" w:lineRule="auto"/>
        <w:ind w:left="-567"/>
        <w:rPr>
          <w:sz w:val="20"/>
          <w:szCs w:val="20"/>
          <w:highlight w:val="white"/>
        </w:rPr>
      </w:pPr>
    </w:p>
    <w:p w14:paraId="494E281E" w14:textId="77777777" w:rsidR="00CE1B63" w:rsidRPr="00163EF0" w:rsidRDefault="00BC4666">
      <w:pPr>
        <w:widowControl w:val="0"/>
        <w:spacing w:after="200" w:line="240" w:lineRule="auto"/>
        <w:ind w:left="-567"/>
        <w:rPr>
          <w:b/>
          <w:i/>
          <w:highlight w:val="white"/>
        </w:rPr>
      </w:pPr>
      <w:r w:rsidRPr="00163EF0">
        <w:rPr>
          <w:b/>
          <w:i/>
          <w:highlight w:val="white"/>
        </w:rPr>
        <w:t xml:space="preserve">Communication and Stakeholder Management: </w:t>
      </w:r>
    </w:p>
    <w:p w14:paraId="5665D2E0" w14:textId="77777777" w:rsidR="00CE1B63" w:rsidRPr="00163EF0" w:rsidRDefault="00BC4666">
      <w:pPr>
        <w:widowControl w:val="0"/>
        <w:spacing w:after="0" w:line="240" w:lineRule="auto"/>
        <w:ind w:left="-567"/>
        <w:rPr>
          <w:highlight w:val="white"/>
        </w:rPr>
      </w:pPr>
      <w:r w:rsidRPr="00163EF0">
        <w:rPr>
          <w:highlight w:val="white"/>
        </w:rPr>
        <w:t>Guidelines for stakeholder management and communica</w:t>
      </w:r>
      <w:r w:rsidRPr="00163EF0">
        <w:rPr>
          <w:highlight w:val="white"/>
        </w:rPr>
        <w:t>tion during risk events or interruptions will be included in contingency plans. This entails designating channels of communication, crucial contacts, and protocols for informing stakeholders about the issue, its effects, and mitigation actions.</w:t>
      </w:r>
    </w:p>
    <w:p w14:paraId="1B57BC43" w14:textId="77777777" w:rsidR="00CE1B63" w:rsidRPr="00163EF0" w:rsidRDefault="00CE1B63">
      <w:pPr>
        <w:widowControl w:val="0"/>
        <w:spacing w:after="0" w:line="240" w:lineRule="auto"/>
        <w:ind w:left="-567"/>
        <w:rPr>
          <w:highlight w:val="white"/>
        </w:rPr>
      </w:pPr>
    </w:p>
    <w:p w14:paraId="0FDE0480" w14:textId="77777777" w:rsidR="00CE1B63" w:rsidRPr="00163EF0" w:rsidRDefault="00BC4666">
      <w:pPr>
        <w:widowControl w:val="0"/>
        <w:spacing w:after="200" w:line="240" w:lineRule="auto"/>
        <w:ind w:left="-567"/>
        <w:rPr>
          <w:b/>
          <w:i/>
          <w:highlight w:val="white"/>
        </w:rPr>
      </w:pPr>
      <w:r w:rsidRPr="00163EF0">
        <w:rPr>
          <w:b/>
          <w:i/>
          <w:highlight w:val="white"/>
        </w:rPr>
        <w:t>Alternativ</w:t>
      </w:r>
      <w:r w:rsidRPr="00163EF0">
        <w:rPr>
          <w:b/>
          <w:i/>
          <w:highlight w:val="white"/>
        </w:rPr>
        <w:t xml:space="preserve">e Solutions and Workarounds: </w:t>
      </w:r>
    </w:p>
    <w:p w14:paraId="535F51C7" w14:textId="2F61F7CC" w:rsidR="00CE1B63" w:rsidRPr="00163EF0" w:rsidRDefault="00163EF0">
      <w:pPr>
        <w:widowControl w:val="0"/>
        <w:spacing w:after="0" w:line="240" w:lineRule="auto"/>
        <w:ind w:left="-567"/>
        <w:rPr>
          <w:highlight w:val="white"/>
        </w:rPr>
      </w:pPr>
      <w:r w:rsidRPr="00163EF0">
        <w:rPr>
          <w:highlight w:val="white"/>
        </w:rPr>
        <w:t>If</w:t>
      </w:r>
      <w:r w:rsidR="00BC4666" w:rsidRPr="00163EF0">
        <w:rPr>
          <w:highlight w:val="white"/>
        </w:rPr>
        <w:t xml:space="preserve"> a threat occurs, alternate solutions or workarounds could be </w:t>
      </w:r>
      <w:r w:rsidRPr="00163EF0">
        <w:rPr>
          <w:highlight w:val="white"/>
        </w:rPr>
        <w:t>considered</w:t>
      </w:r>
      <w:r w:rsidR="00BC4666" w:rsidRPr="00163EF0">
        <w:rPr>
          <w:highlight w:val="white"/>
        </w:rPr>
        <w:t>.</w:t>
      </w:r>
      <w:r w:rsidR="00BC4666" w:rsidRPr="00163EF0">
        <w:rPr>
          <w:highlight w:val="white"/>
        </w:rPr>
        <w:t xml:space="preserve"> Finding backup systems, redundant infrastructure, or contingency plans for short-term business operations may be required.</w:t>
      </w:r>
    </w:p>
    <w:p w14:paraId="0AD130BD" w14:textId="77777777" w:rsidR="00CE1B63" w:rsidRPr="00163EF0" w:rsidRDefault="00CE1B63">
      <w:pPr>
        <w:widowControl w:val="0"/>
        <w:spacing w:after="0" w:line="240" w:lineRule="auto"/>
        <w:ind w:left="-567"/>
        <w:rPr>
          <w:highlight w:val="white"/>
        </w:rPr>
      </w:pPr>
    </w:p>
    <w:p w14:paraId="1647764A" w14:textId="77777777" w:rsidR="00CE1B63" w:rsidRPr="00163EF0" w:rsidRDefault="00BC4666">
      <w:pPr>
        <w:widowControl w:val="0"/>
        <w:spacing w:after="200" w:line="240" w:lineRule="auto"/>
        <w:ind w:left="-567"/>
        <w:rPr>
          <w:b/>
          <w:i/>
          <w:highlight w:val="white"/>
        </w:rPr>
      </w:pPr>
      <w:r w:rsidRPr="00163EF0">
        <w:rPr>
          <w:b/>
          <w:i/>
          <w:highlight w:val="white"/>
        </w:rPr>
        <w:t>Bu</w:t>
      </w:r>
      <w:r w:rsidRPr="00163EF0">
        <w:rPr>
          <w:b/>
          <w:i/>
          <w:highlight w:val="white"/>
        </w:rPr>
        <w:t xml:space="preserve">siness Continuity Planning: </w:t>
      </w:r>
    </w:p>
    <w:p w14:paraId="4E91AE21" w14:textId="77777777" w:rsidR="00CE1B63" w:rsidRPr="00163EF0" w:rsidRDefault="00BC4666">
      <w:pPr>
        <w:widowControl w:val="0"/>
        <w:spacing w:after="0" w:line="240" w:lineRule="auto"/>
        <w:ind w:left="-567"/>
        <w:rPr>
          <w:highlight w:val="white"/>
        </w:rPr>
      </w:pPr>
      <w:r w:rsidRPr="00163EF0">
        <w:rPr>
          <w:highlight w:val="white"/>
        </w:rPr>
        <w:t>Business continuity planning will be addressed by contingency protocols, ensuring that essential business operations can continue in the event of risks and disruptions. This can entail prioritising and maintaining crucial opera</w:t>
      </w:r>
      <w:r w:rsidRPr="00163EF0">
        <w:rPr>
          <w:highlight w:val="white"/>
        </w:rPr>
        <w:t>tions by defining procedures, identifying vital individuals, and setting up backup work sites.</w:t>
      </w:r>
    </w:p>
    <w:p w14:paraId="45D1F923" w14:textId="77777777" w:rsidR="00CE1B63" w:rsidRPr="00163EF0" w:rsidRDefault="00CE1B63">
      <w:pPr>
        <w:widowControl w:val="0"/>
        <w:spacing w:after="0" w:line="240" w:lineRule="auto"/>
        <w:ind w:left="-567"/>
        <w:rPr>
          <w:highlight w:val="white"/>
        </w:rPr>
      </w:pPr>
    </w:p>
    <w:p w14:paraId="234F82B1" w14:textId="77777777" w:rsidR="00CE1B63" w:rsidRPr="00163EF0" w:rsidRDefault="00BC4666">
      <w:pPr>
        <w:widowControl w:val="0"/>
        <w:spacing w:after="0" w:line="240" w:lineRule="auto"/>
        <w:ind w:left="-567"/>
        <w:rPr>
          <w:highlight w:val="white"/>
        </w:rPr>
      </w:pPr>
      <w:r w:rsidRPr="00163EF0">
        <w:rPr>
          <w:highlight w:val="white"/>
        </w:rPr>
        <w:t>Plans for contingencies are essential for reducing risks' effects and assuring the project's resilience. The project team can respond quickly and effectively to</w:t>
      </w:r>
      <w:r w:rsidRPr="00163EF0">
        <w:rPr>
          <w:highlight w:val="white"/>
        </w:rPr>
        <w:t xml:space="preserve"> unforeseen occurrences, minimise downtime, and protect the integrity and security of the AWS CyberShift Initiative by having established plans and processes in place.</w:t>
      </w:r>
    </w:p>
    <w:p w14:paraId="3C558503" w14:textId="77777777" w:rsidR="00CE1B63" w:rsidRDefault="00CE1B63">
      <w:pPr>
        <w:widowControl w:val="0"/>
        <w:spacing w:after="0" w:line="240" w:lineRule="auto"/>
        <w:ind w:left="-567"/>
        <w:rPr>
          <w:color w:val="244061"/>
          <w:sz w:val="20"/>
          <w:szCs w:val="20"/>
          <w:highlight w:val="white"/>
        </w:rPr>
      </w:pPr>
    </w:p>
    <w:p w14:paraId="37DC8D38" w14:textId="77777777" w:rsidR="00CE1B63" w:rsidRDefault="00CE1B63">
      <w:pPr>
        <w:widowControl w:val="0"/>
        <w:spacing w:after="0" w:line="240" w:lineRule="auto"/>
        <w:ind w:left="-567"/>
        <w:rPr>
          <w:color w:val="244061"/>
          <w:sz w:val="20"/>
          <w:szCs w:val="20"/>
          <w:highlight w:val="white"/>
        </w:rPr>
      </w:pPr>
    </w:p>
    <w:p w14:paraId="232281F9" w14:textId="77777777" w:rsidR="00CE1B63" w:rsidRDefault="00CE1B63">
      <w:pPr>
        <w:widowControl w:val="0"/>
        <w:spacing w:after="0" w:line="240" w:lineRule="auto"/>
        <w:ind w:left="-567"/>
        <w:rPr>
          <w:color w:val="244061"/>
          <w:sz w:val="20"/>
          <w:szCs w:val="20"/>
          <w:highlight w:val="white"/>
        </w:rPr>
      </w:pPr>
    </w:p>
    <w:p w14:paraId="7DE1051F" w14:textId="77777777" w:rsidR="00CE1B63" w:rsidRDefault="00CE1B63">
      <w:pPr>
        <w:widowControl w:val="0"/>
        <w:spacing w:after="0" w:line="240" w:lineRule="auto"/>
        <w:ind w:left="-567"/>
        <w:rPr>
          <w:color w:val="244061"/>
          <w:sz w:val="20"/>
          <w:szCs w:val="20"/>
          <w:highlight w:val="white"/>
        </w:rPr>
      </w:pPr>
    </w:p>
    <w:p w14:paraId="3C8E6408" w14:textId="77777777" w:rsidR="00CE1B63" w:rsidRDefault="00CE1B63">
      <w:pPr>
        <w:widowControl w:val="0"/>
        <w:spacing w:after="0" w:line="240" w:lineRule="auto"/>
        <w:ind w:left="-567"/>
        <w:rPr>
          <w:color w:val="244061"/>
          <w:sz w:val="20"/>
          <w:szCs w:val="20"/>
          <w:highlight w:val="white"/>
        </w:rPr>
      </w:pPr>
    </w:p>
    <w:p w14:paraId="3DA064CB" w14:textId="77777777" w:rsidR="00CE1B63" w:rsidRDefault="00CE1B63">
      <w:pPr>
        <w:widowControl w:val="0"/>
        <w:spacing w:after="0" w:line="240" w:lineRule="auto"/>
        <w:ind w:left="-567"/>
        <w:rPr>
          <w:color w:val="244061"/>
          <w:sz w:val="20"/>
          <w:szCs w:val="20"/>
          <w:highlight w:val="white"/>
        </w:rPr>
      </w:pPr>
    </w:p>
    <w:p w14:paraId="4D478A13" w14:textId="77777777" w:rsidR="00CE1B63" w:rsidRDefault="00CE1B63">
      <w:pPr>
        <w:widowControl w:val="0"/>
        <w:spacing w:after="0" w:line="240" w:lineRule="auto"/>
        <w:ind w:left="-567"/>
        <w:rPr>
          <w:color w:val="244061"/>
          <w:sz w:val="20"/>
          <w:szCs w:val="20"/>
          <w:highlight w:val="white"/>
        </w:rPr>
      </w:pPr>
    </w:p>
    <w:p w14:paraId="4C88DBEF" w14:textId="77777777" w:rsidR="00CE1B63" w:rsidRDefault="00CE1B63">
      <w:pPr>
        <w:widowControl w:val="0"/>
        <w:spacing w:after="0" w:line="240" w:lineRule="auto"/>
        <w:ind w:left="-567"/>
        <w:rPr>
          <w:color w:val="244061"/>
          <w:sz w:val="20"/>
          <w:szCs w:val="20"/>
          <w:highlight w:val="white"/>
        </w:rPr>
      </w:pPr>
    </w:p>
    <w:p w14:paraId="396A4248" w14:textId="77777777" w:rsidR="00CE1B63" w:rsidRDefault="00CE1B63">
      <w:pPr>
        <w:widowControl w:val="0"/>
        <w:spacing w:after="0" w:line="240" w:lineRule="auto"/>
        <w:ind w:left="-567"/>
        <w:rPr>
          <w:color w:val="244061"/>
          <w:sz w:val="20"/>
          <w:szCs w:val="20"/>
          <w:highlight w:val="white"/>
        </w:rPr>
      </w:pPr>
    </w:p>
    <w:tbl>
      <w:tblPr>
        <w:tblStyle w:val="aa"/>
        <w:tblW w:w="104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480"/>
      </w:tblGrid>
      <w:tr w:rsidR="00CE1B63" w14:paraId="3845E6C7" w14:textId="77777777">
        <w:trPr>
          <w:trHeight w:val="420"/>
          <w:jc w:val="center"/>
        </w:trPr>
        <w:tc>
          <w:tcPr>
            <w:tcW w:w="1048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3C7D918F" w14:textId="77777777" w:rsidR="00CE1B63" w:rsidRDefault="00BC4666">
            <w:pPr>
              <w:widowControl w:val="0"/>
              <w:rPr>
                <w:rFonts w:ascii="Calibri" w:eastAsia="Calibri" w:hAnsi="Calibri" w:cs="Calibri"/>
                <w:b/>
              </w:rPr>
            </w:pPr>
            <w:r>
              <w:rPr>
                <w:rFonts w:ascii="Calibri" w:eastAsia="Calibri" w:hAnsi="Calibri" w:cs="Calibri"/>
                <w:b/>
              </w:rPr>
              <w:lastRenderedPageBreak/>
              <w:t>Frequency and Timing</w:t>
            </w:r>
          </w:p>
        </w:tc>
      </w:tr>
    </w:tbl>
    <w:p w14:paraId="6CB3333C" w14:textId="77777777" w:rsidR="00CE1B63" w:rsidRPr="00163EF0" w:rsidRDefault="00CE1B63">
      <w:pPr>
        <w:widowControl w:val="0"/>
        <w:spacing w:after="0" w:line="240" w:lineRule="auto"/>
        <w:rPr>
          <w:highlight w:val="white"/>
        </w:rPr>
      </w:pPr>
    </w:p>
    <w:p w14:paraId="31C187EC" w14:textId="77777777" w:rsidR="00CE1B63" w:rsidRPr="00163EF0" w:rsidRDefault="00BC4666">
      <w:pPr>
        <w:widowControl w:val="0"/>
        <w:spacing w:after="0" w:line="240" w:lineRule="auto"/>
        <w:ind w:left="-426"/>
        <w:rPr>
          <w:sz w:val="20"/>
          <w:szCs w:val="20"/>
          <w:highlight w:val="white"/>
        </w:rPr>
      </w:pPr>
      <w:r w:rsidRPr="00163EF0">
        <w:rPr>
          <w:sz w:val="20"/>
          <w:szCs w:val="20"/>
          <w:highlight w:val="white"/>
        </w:rPr>
        <w:t>Risk management frequency and timeliness relates to how frequently risk assessments, mitigation attempts, monitoring, and review processes are carried out to enable successful risk management in the context of the AWS CyberShift Initiative.</w:t>
      </w:r>
    </w:p>
    <w:p w14:paraId="68883DC7" w14:textId="77777777" w:rsidR="00CE1B63" w:rsidRPr="00163EF0" w:rsidRDefault="00CE1B63">
      <w:pPr>
        <w:widowControl w:val="0"/>
        <w:spacing w:after="0" w:line="240" w:lineRule="auto"/>
        <w:ind w:left="-426"/>
        <w:rPr>
          <w:sz w:val="20"/>
          <w:szCs w:val="20"/>
          <w:highlight w:val="white"/>
        </w:rPr>
      </w:pPr>
    </w:p>
    <w:p w14:paraId="4DB6DB5A" w14:textId="77777777" w:rsidR="00CE1B63" w:rsidRPr="00163EF0" w:rsidRDefault="00BC4666">
      <w:pPr>
        <w:widowControl w:val="0"/>
        <w:spacing w:after="0" w:line="240" w:lineRule="auto"/>
        <w:ind w:left="-426"/>
        <w:rPr>
          <w:sz w:val="20"/>
          <w:szCs w:val="20"/>
          <w:highlight w:val="white"/>
        </w:rPr>
      </w:pPr>
      <w:r w:rsidRPr="00163EF0">
        <w:rPr>
          <w:sz w:val="20"/>
          <w:szCs w:val="20"/>
          <w:highlight w:val="white"/>
        </w:rPr>
        <w:t xml:space="preserve">The frequency </w:t>
      </w:r>
      <w:r w:rsidRPr="00163EF0">
        <w:rPr>
          <w:sz w:val="20"/>
          <w:szCs w:val="20"/>
          <w:highlight w:val="white"/>
        </w:rPr>
        <w:t xml:space="preserve">and timing of risk management must be balanced. If risk management activities are conducted too infrequently, hazards may go undetected or mitigation measures may be delayed, while if they are conducted too frequently, resources may be diverted from other </w:t>
      </w:r>
      <w:r w:rsidRPr="00163EF0">
        <w:rPr>
          <w:sz w:val="20"/>
          <w:szCs w:val="20"/>
          <w:highlight w:val="white"/>
        </w:rPr>
        <w:t xml:space="preserve">crucial project responsibilities. </w:t>
      </w:r>
      <w:r w:rsidRPr="00163EF0">
        <w:rPr>
          <w:sz w:val="20"/>
          <w:szCs w:val="20"/>
          <w:highlight w:val="white"/>
        </w:rPr>
        <w:br/>
      </w:r>
      <w:r w:rsidRPr="00163EF0">
        <w:rPr>
          <w:sz w:val="20"/>
          <w:szCs w:val="20"/>
          <w:highlight w:val="white"/>
        </w:rPr>
        <w:br/>
        <w:t>Based on the particulars of the project, the level of risk exposure, and the requirement for prompt risk identification and response, the best frequency and timing should be chosen.</w:t>
      </w:r>
    </w:p>
    <w:p w14:paraId="7B09E049" w14:textId="77777777" w:rsidR="00CE1B63" w:rsidRPr="00163EF0" w:rsidRDefault="00CE1B63">
      <w:pPr>
        <w:widowControl w:val="0"/>
        <w:spacing w:after="0" w:line="240" w:lineRule="auto"/>
        <w:ind w:left="-426"/>
        <w:rPr>
          <w:sz w:val="20"/>
          <w:szCs w:val="20"/>
          <w:highlight w:val="white"/>
        </w:rPr>
      </w:pPr>
    </w:p>
    <w:p w14:paraId="44EE537F" w14:textId="77777777" w:rsidR="00CE1B63" w:rsidRPr="00163EF0" w:rsidRDefault="00BC4666">
      <w:pPr>
        <w:widowControl w:val="0"/>
        <w:spacing w:after="200" w:line="276" w:lineRule="auto"/>
        <w:ind w:left="-426"/>
        <w:rPr>
          <w:b/>
          <w:i/>
          <w:highlight w:val="white"/>
        </w:rPr>
      </w:pPr>
      <w:r w:rsidRPr="00163EF0">
        <w:rPr>
          <w:b/>
          <w:i/>
          <w:highlight w:val="white"/>
        </w:rPr>
        <w:t>Key considerations for risk management frequency and timing are:</w:t>
      </w:r>
    </w:p>
    <w:tbl>
      <w:tblPr>
        <w:tblStyle w:val="ab"/>
        <w:tblW w:w="10335"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8520"/>
      </w:tblGrid>
      <w:tr w:rsidR="00CE1B63" w14:paraId="0C67EEB8" w14:textId="77777777">
        <w:trPr>
          <w:trHeight w:val="1633"/>
        </w:trPr>
        <w:tc>
          <w:tcPr>
            <w:tcW w:w="1815"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vAlign w:val="center"/>
          </w:tcPr>
          <w:p w14:paraId="0605F619" w14:textId="77777777" w:rsidR="00CE1B63" w:rsidRDefault="00BC4666">
            <w:pPr>
              <w:widowControl w:val="0"/>
              <w:spacing w:after="0" w:line="240" w:lineRule="auto"/>
              <w:rPr>
                <w:sz w:val="20"/>
                <w:szCs w:val="20"/>
              </w:rPr>
            </w:pPr>
            <w:r>
              <w:rPr>
                <w:b/>
                <w:sz w:val="20"/>
                <w:szCs w:val="20"/>
              </w:rPr>
              <w:t>Risk Assessments:</w:t>
            </w:r>
          </w:p>
        </w:tc>
        <w:tc>
          <w:tcPr>
            <w:tcW w:w="8520" w:type="dxa"/>
            <w:tcBorders>
              <w:top w:val="single" w:sz="8" w:space="0" w:color="FFFFFF"/>
              <w:left w:val="single" w:sz="8" w:space="0" w:color="FFFFFF"/>
              <w:bottom w:val="single" w:sz="8" w:space="0" w:color="FFFFFF"/>
              <w:right w:val="single" w:sz="8" w:space="0" w:color="FFFFFF"/>
            </w:tcBorders>
            <w:shd w:val="clear" w:color="auto" w:fill="D9D9D9"/>
            <w:tcMar>
              <w:top w:w="100" w:type="dxa"/>
              <w:left w:w="100" w:type="dxa"/>
              <w:bottom w:w="100" w:type="dxa"/>
              <w:right w:w="100" w:type="dxa"/>
            </w:tcMar>
            <w:vAlign w:val="center"/>
          </w:tcPr>
          <w:p w14:paraId="2DBED115" w14:textId="77777777" w:rsidR="00CE1B63" w:rsidRDefault="00BC4666">
            <w:pPr>
              <w:widowControl w:val="0"/>
              <w:spacing w:after="0" w:line="240" w:lineRule="auto"/>
              <w:rPr>
                <w:color w:val="434343"/>
                <w:sz w:val="20"/>
                <w:szCs w:val="20"/>
              </w:rPr>
            </w:pPr>
            <w:r>
              <w:rPr>
                <w:color w:val="434343"/>
                <w:sz w:val="20"/>
                <w:szCs w:val="20"/>
              </w:rPr>
              <w:t xml:space="preserve">To identify potential risks and vulnerabilities related to safeguarding OzCasual's cloud infrastructure and the switch to Amazon AWS, risk assessments should be carried out </w:t>
            </w:r>
            <w:r>
              <w:rPr>
                <w:color w:val="434343"/>
                <w:sz w:val="20"/>
                <w:szCs w:val="20"/>
              </w:rPr>
              <w:t>at the start of the project. To detect any new risks or changes in the risk environment, periodic or milestone-based risk assessments should be carried out throughout the project.</w:t>
            </w:r>
          </w:p>
        </w:tc>
      </w:tr>
      <w:tr w:rsidR="00CE1B63" w14:paraId="2ECC0007" w14:textId="77777777">
        <w:trPr>
          <w:trHeight w:val="1633"/>
        </w:trPr>
        <w:tc>
          <w:tcPr>
            <w:tcW w:w="1815"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vAlign w:val="center"/>
          </w:tcPr>
          <w:p w14:paraId="0A3DC564" w14:textId="77777777" w:rsidR="00CE1B63" w:rsidRDefault="00BC4666">
            <w:pPr>
              <w:widowControl w:val="0"/>
              <w:spacing w:after="0" w:line="240" w:lineRule="auto"/>
              <w:rPr>
                <w:sz w:val="20"/>
                <w:szCs w:val="20"/>
              </w:rPr>
            </w:pPr>
            <w:r>
              <w:rPr>
                <w:b/>
                <w:sz w:val="20"/>
                <w:szCs w:val="20"/>
              </w:rPr>
              <w:t>Risk Mitigation:</w:t>
            </w:r>
          </w:p>
        </w:tc>
        <w:tc>
          <w:tcPr>
            <w:tcW w:w="85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7ECA37CF" w14:textId="77777777" w:rsidR="00CE1B63" w:rsidRDefault="00BC4666">
            <w:pPr>
              <w:widowControl w:val="0"/>
              <w:spacing w:after="0" w:line="240" w:lineRule="auto"/>
              <w:rPr>
                <w:color w:val="434343"/>
                <w:sz w:val="20"/>
                <w:szCs w:val="20"/>
              </w:rPr>
            </w:pPr>
            <w:r>
              <w:rPr>
                <w:color w:val="434343"/>
                <w:sz w:val="20"/>
                <w:szCs w:val="20"/>
              </w:rPr>
              <w:t>Measures for risk mitigation should be put into place as soon as concerns are identified and given a priority. High-priority risks must require immediate mitigation measures, whilst medium- or low-priority risks can wait until a later stage. The urgency an</w:t>
            </w:r>
            <w:r>
              <w:rPr>
                <w:color w:val="434343"/>
                <w:sz w:val="20"/>
                <w:szCs w:val="20"/>
              </w:rPr>
              <w:t>d seriousness of the identified threats will determine when to implement risk mitigation measures.</w:t>
            </w:r>
          </w:p>
        </w:tc>
      </w:tr>
      <w:tr w:rsidR="00CE1B63" w14:paraId="156DF862" w14:textId="77777777">
        <w:trPr>
          <w:trHeight w:val="1633"/>
        </w:trPr>
        <w:tc>
          <w:tcPr>
            <w:tcW w:w="1815"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vAlign w:val="center"/>
          </w:tcPr>
          <w:p w14:paraId="6329E1E2" w14:textId="77777777" w:rsidR="00CE1B63" w:rsidRDefault="00BC4666">
            <w:pPr>
              <w:widowControl w:val="0"/>
              <w:spacing w:after="0" w:line="240" w:lineRule="auto"/>
              <w:rPr>
                <w:sz w:val="20"/>
                <w:szCs w:val="20"/>
              </w:rPr>
            </w:pPr>
            <w:r>
              <w:rPr>
                <w:b/>
                <w:sz w:val="20"/>
                <w:szCs w:val="20"/>
              </w:rPr>
              <w:t xml:space="preserve">Risk Monitoring and Review: </w:t>
            </w:r>
          </w:p>
        </w:tc>
        <w:tc>
          <w:tcPr>
            <w:tcW w:w="8520" w:type="dxa"/>
            <w:tcBorders>
              <w:top w:val="single" w:sz="8" w:space="0" w:color="FFFFFF"/>
              <w:left w:val="single" w:sz="8" w:space="0" w:color="FFFFFF"/>
              <w:bottom w:val="single" w:sz="8" w:space="0" w:color="FFFFFF"/>
              <w:right w:val="single" w:sz="8" w:space="0" w:color="FFFFFF"/>
            </w:tcBorders>
            <w:shd w:val="clear" w:color="auto" w:fill="D9D9D9"/>
            <w:tcMar>
              <w:top w:w="100" w:type="dxa"/>
              <w:left w:w="100" w:type="dxa"/>
              <w:bottom w:w="100" w:type="dxa"/>
              <w:right w:w="100" w:type="dxa"/>
            </w:tcMar>
            <w:vAlign w:val="center"/>
          </w:tcPr>
          <w:p w14:paraId="58CB9708" w14:textId="77777777" w:rsidR="00CE1B63" w:rsidRDefault="00BC4666">
            <w:pPr>
              <w:widowControl w:val="0"/>
              <w:spacing w:after="0" w:line="240" w:lineRule="auto"/>
              <w:rPr>
                <w:color w:val="434343"/>
                <w:sz w:val="20"/>
                <w:szCs w:val="20"/>
              </w:rPr>
            </w:pPr>
            <w:r>
              <w:rPr>
                <w:color w:val="434343"/>
                <w:sz w:val="20"/>
                <w:szCs w:val="20"/>
              </w:rPr>
              <w:t xml:space="preserve">Throughout the project, ongoing risk monitoring should be done to identify new risks, changing hazards, or emerging vulnerabilities. Depending on the project, the exposure to risk, and the rate of technical development, different risk monitoring tasks may </w:t>
            </w:r>
            <w:r>
              <w:rPr>
                <w:color w:val="434343"/>
                <w:sz w:val="20"/>
                <w:szCs w:val="20"/>
              </w:rPr>
              <w:t>be conducted more frequently. Regular review sessions should be held to evaluate the efficacy of adopted mitigating measures and make necessary adjustments as required.</w:t>
            </w:r>
          </w:p>
        </w:tc>
      </w:tr>
      <w:tr w:rsidR="00CE1B63" w14:paraId="70FA8758" w14:textId="77777777">
        <w:trPr>
          <w:trHeight w:val="1633"/>
        </w:trPr>
        <w:tc>
          <w:tcPr>
            <w:tcW w:w="1815"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vAlign w:val="center"/>
          </w:tcPr>
          <w:p w14:paraId="36DE7F59" w14:textId="77777777" w:rsidR="00CE1B63" w:rsidRDefault="00BC4666">
            <w:pPr>
              <w:widowControl w:val="0"/>
              <w:spacing w:after="0" w:line="240" w:lineRule="auto"/>
              <w:rPr>
                <w:sz w:val="20"/>
                <w:szCs w:val="20"/>
              </w:rPr>
            </w:pPr>
            <w:r>
              <w:rPr>
                <w:b/>
                <w:sz w:val="20"/>
                <w:szCs w:val="20"/>
              </w:rPr>
              <w:t xml:space="preserve">Incident Response: </w:t>
            </w:r>
          </w:p>
        </w:tc>
        <w:tc>
          <w:tcPr>
            <w:tcW w:w="85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10C85892" w14:textId="3C5E471B" w:rsidR="00CE1B63" w:rsidRDefault="00BC4666">
            <w:pPr>
              <w:widowControl w:val="0"/>
              <w:spacing w:after="0" w:line="240" w:lineRule="auto"/>
              <w:rPr>
                <w:color w:val="434343"/>
                <w:sz w:val="20"/>
                <w:szCs w:val="20"/>
              </w:rPr>
            </w:pPr>
            <w:r>
              <w:rPr>
                <w:color w:val="434343"/>
                <w:sz w:val="20"/>
                <w:szCs w:val="20"/>
              </w:rPr>
              <w:t>When a security incident or risk event occurs, incident response p</w:t>
            </w:r>
            <w:r>
              <w:rPr>
                <w:color w:val="434343"/>
                <w:sz w:val="20"/>
                <w:szCs w:val="20"/>
              </w:rPr>
              <w:t xml:space="preserve">rocedures should already be set up and prepared to be used right away. </w:t>
            </w:r>
            <w:r w:rsidR="00163EF0">
              <w:rPr>
                <w:color w:val="434343"/>
                <w:sz w:val="20"/>
                <w:szCs w:val="20"/>
              </w:rPr>
              <w:t>To</w:t>
            </w:r>
            <w:r>
              <w:rPr>
                <w:color w:val="434343"/>
                <w:sz w:val="20"/>
                <w:szCs w:val="20"/>
              </w:rPr>
              <w:t xml:space="preserve"> contain the incident and lessen its effects, incident response procedures should be started immediately. To reduce the incident's duration and effects, incident response act</w:t>
            </w:r>
            <w:r>
              <w:rPr>
                <w:color w:val="434343"/>
                <w:sz w:val="20"/>
                <w:szCs w:val="20"/>
              </w:rPr>
              <w:t>ivities must be coordinated in a time critical manner.</w:t>
            </w:r>
          </w:p>
        </w:tc>
      </w:tr>
      <w:tr w:rsidR="00CE1B63" w14:paraId="66165C0E" w14:textId="77777777">
        <w:trPr>
          <w:trHeight w:val="1633"/>
        </w:trPr>
        <w:tc>
          <w:tcPr>
            <w:tcW w:w="1815"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vAlign w:val="center"/>
          </w:tcPr>
          <w:p w14:paraId="56271E8C" w14:textId="77777777" w:rsidR="00CE1B63" w:rsidRDefault="00BC4666">
            <w:pPr>
              <w:widowControl w:val="0"/>
              <w:spacing w:after="0" w:line="240" w:lineRule="auto"/>
              <w:rPr>
                <w:sz w:val="20"/>
                <w:szCs w:val="20"/>
              </w:rPr>
            </w:pPr>
            <w:r>
              <w:rPr>
                <w:b/>
                <w:sz w:val="20"/>
                <w:szCs w:val="20"/>
              </w:rPr>
              <w:t xml:space="preserve">Project Milestones: </w:t>
            </w:r>
          </w:p>
        </w:tc>
        <w:tc>
          <w:tcPr>
            <w:tcW w:w="8520" w:type="dxa"/>
            <w:tcBorders>
              <w:top w:val="single" w:sz="8" w:space="0" w:color="FFFFFF"/>
              <w:left w:val="single" w:sz="8" w:space="0" w:color="FFFFFF"/>
              <w:bottom w:val="single" w:sz="8" w:space="0" w:color="FFFFFF"/>
              <w:right w:val="single" w:sz="8" w:space="0" w:color="FFFFFF"/>
            </w:tcBorders>
            <w:shd w:val="clear" w:color="auto" w:fill="D9D9D9"/>
            <w:tcMar>
              <w:top w:w="100" w:type="dxa"/>
              <w:left w:w="100" w:type="dxa"/>
              <w:bottom w:w="100" w:type="dxa"/>
              <w:right w:w="100" w:type="dxa"/>
            </w:tcMar>
            <w:vAlign w:val="center"/>
          </w:tcPr>
          <w:p w14:paraId="35CBCA22" w14:textId="77777777" w:rsidR="00CE1B63" w:rsidRDefault="00BC4666">
            <w:pPr>
              <w:widowControl w:val="0"/>
              <w:spacing w:after="0" w:line="240" w:lineRule="auto"/>
              <w:rPr>
                <w:color w:val="434343"/>
                <w:sz w:val="20"/>
                <w:szCs w:val="20"/>
              </w:rPr>
            </w:pPr>
            <w:r>
              <w:rPr>
                <w:color w:val="434343"/>
                <w:sz w:val="20"/>
                <w:szCs w:val="20"/>
              </w:rPr>
              <w:t>The primary deliverables and project milestones should be coordinated with risk management actions. This guarantees that risk evaluations, mitigation actions, and monitoring are carried out at the proper intervals to support the project's advancement and g</w:t>
            </w:r>
            <w:r>
              <w:rPr>
                <w:color w:val="434343"/>
                <w:sz w:val="20"/>
                <w:szCs w:val="20"/>
              </w:rPr>
              <w:t>oals.</w:t>
            </w:r>
          </w:p>
        </w:tc>
      </w:tr>
      <w:tr w:rsidR="00CE1B63" w14:paraId="51130DD9" w14:textId="77777777">
        <w:trPr>
          <w:trHeight w:val="1633"/>
        </w:trPr>
        <w:tc>
          <w:tcPr>
            <w:tcW w:w="1815" w:type="dxa"/>
            <w:tcBorders>
              <w:top w:val="single" w:sz="8" w:space="0" w:color="FFFFFF"/>
              <w:left w:val="single" w:sz="8" w:space="0" w:color="FFFFFF"/>
              <w:bottom w:val="single" w:sz="8" w:space="0" w:color="FFFFFF"/>
              <w:right w:val="single" w:sz="8" w:space="0" w:color="FFFFFF"/>
            </w:tcBorders>
            <w:shd w:val="clear" w:color="auto" w:fill="B7B7B7"/>
            <w:tcMar>
              <w:top w:w="100" w:type="dxa"/>
              <w:left w:w="100" w:type="dxa"/>
              <w:bottom w:w="100" w:type="dxa"/>
              <w:right w:w="100" w:type="dxa"/>
            </w:tcMar>
            <w:vAlign w:val="center"/>
          </w:tcPr>
          <w:p w14:paraId="02D67FE6" w14:textId="77777777" w:rsidR="00CE1B63" w:rsidRDefault="00BC4666">
            <w:pPr>
              <w:widowControl w:val="0"/>
              <w:spacing w:after="0" w:line="240" w:lineRule="auto"/>
              <w:rPr>
                <w:sz w:val="20"/>
                <w:szCs w:val="20"/>
              </w:rPr>
            </w:pPr>
            <w:r>
              <w:rPr>
                <w:b/>
                <w:sz w:val="20"/>
                <w:szCs w:val="20"/>
              </w:rPr>
              <w:t>Regular Reporting:</w:t>
            </w:r>
          </w:p>
        </w:tc>
        <w:tc>
          <w:tcPr>
            <w:tcW w:w="85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vAlign w:val="center"/>
          </w:tcPr>
          <w:p w14:paraId="79F542DD" w14:textId="77777777" w:rsidR="00CE1B63" w:rsidRDefault="00BC4666">
            <w:pPr>
              <w:widowControl w:val="0"/>
              <w:spacing w:after="0" w:line="240" w:lineRule="auto"/>
              <w:rPr>
                <w:color w:val="434343"/>
                <w:sz w:val="20"/>
                <w:szCs w:val="20"/>
              </w:rPr>
            </w:pPr>
            <w:r>
              <w:rPr>
                <w:color w:val="434343"/>
                <w:sz w:val="20"/>
                <w:szCs w:val="20"/>
              </w:rPr>
              <w:t>To keep stakeholders updated, regular reporting on risk management actions and the state of identified risks should be scheduled. Depending on the project's timeframe and stakeholder requirements, this can be done on a weekly, mon</w:t>
            </w:r>
            <w:r>
              <w:rPr>
                <w:color w:val="434343"/>
                <w:sz w:val="20"/>
                <w:szCs w:val="20"/>
              </w:rPr>
              <w:t>thly, or quarterly basis.</w:t>
            </w:r>
          </w:p>
        </w:tc>
      </w:tr>
    </w:tbl>
    <w:tbl>
      <w:tblPr>
        <w:tblStyle w:val="ac"/>
        <w:tblW w:w="1074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740"/>
      </w:tblGrid>
      <w:tr w:rsidR="00CE1B63" w14:paraId="2E708B37" w14:textId="77777777">
        <w:trPr>
          <w:trHeight w:val="420"/>
          <w:jc w:val="center"/>
        </w:trPr>
        <w:tc>
          <w:tcPr>
            <w:tcW w:w="10740" w:type="dxa"/>
            <w:tcBorders>
              <w:top w:val="single" w:sz="8" w:space="0" w:color="FFFFFF"/>
              <w:left w:val="single" w:sz="8" w:space="0" w:color="FFFFFF"/>
              <w:bottom w:val="nil"/>
              <w:right w:val="single" w:sz="8" w:space="0" w:color="FFFFFF"/>
            </w:tcBorders>
            <w:shd w:val="clear" w:color="auto" w:fill="ACB9CA"/>
            <w:vAlign w:val="center"/>
          </w:tcPr>
          <w:p w14:paraId="1FC04700" w14:textId="77777777" w:rsidR="00CE1B63" w:rsidRDefault="00BC4666">
            <w:pPr>
              <w:widowControl w:val="0"/>
              <w:rPr>
                <w:rFonts w:ascii="Calibri" w:eastAsia="Calibri" w:hAnsi="Calibri" w:cs="Calibri"/>
                <w:b/>
                <w:sz w:val="20"/>
                <w:szCs w:val="20"/>
              </w:rPr>
            </w:pPr>
            <w:r>
              <w:rPr>
                <w:rFonts w:ascii="Calibri" w:eastAsia="Calibri" w:hAnsi="Calibri" w:cs="Calibri"/>
                <w:b/>
                <w:sz w:val="20"/>
                <w:szCs w:val="20"/>
              </w:rPr>
              <w:lastRenderedPageBreak/>
              <w:t>Stakeholder Risk Tolerances</w:t>
            </w:r>
          </w:p>
        </w:tc>
      </w:tr>
      <w:tr w:rsidR="00163EF0" w:rsidRPr="00163EF0" w14:paraId="44BC1C6B" w14:textId="77777777">
        <w:trPr>
          <w:trHeight w:val="3473"/>
          <w:jc w:val="center"/>
        </w:trPr>
        <w:tc>
          <w:tcPr>
            <w:tcW w:w="10740" w:type="dxa"/>
            <w:tcBorders>
              <w:top w:val="nil"/>
              <w:left w:val="nil"/>
              <w:bottom w:val="nil"/>
              <w:right w:val="nil"/>
            </w:tcBorders>
            <w:vAlign w:val="center"/>
          </w:tcPr>
          <w:p w14:paraId="2E998A02" w14:textId="77777777" w:rsidR="00CE1B63" w:rsidRPr="00163EF0" w:rsidRDefault="00BC4666">
            <w:pPr>
              <w:ind w:right="40"/>
              <w:rPr>
                <w:rFonts w:ascii="Calibri" w:eastAsia="Calibri" w:hAnsi="Calibri" w:cs="Calibri"/>
              </w:rPr>
            </w:pPr>
            <w:r w:rsidRPr="00163EF0">
              <w:rPr>
                <w:rFonts w:ascii="Calibri" w:eastAsia="Calibri" w:hAnsi="Calibri" w:cs="Calibri"/>
              </w:rPr>
              <w:t>Stakeholder risk tolerances are essential to successful risk management in the AWS CyberShift Initiative project. The degree of risk that each stakeholder is willing to accept or endure inside the project is referred to as stakeholder risk tolerance. Align</w:t>
            </w:r>
            <w:r w:rsidRPr="00163EF0">
              <w:rPr>
                <w:rFonts w:ascii="Calibri" w:eastAsia="Calibri" w:hAnsi="Calibri" w:cs="Calibri"/>
              </w:rPr>
              <w:t xml:space="preserve">ing risk management strategies, decision-making procedures, and risk mitigation activities requires an understanding of these risk tolerances. </w:t>
            </w:r>
          </w:p>
          <w:p w14:paraId="53503E13" w14:textId="77777777" w:rsidR="00CE1B63" w:rsidRPr="00163EF0" w:rsidRDefault="00CE1B63">
            <w:pPr>
              <w:ind w:right="40"/>
              <w:rPr>
                <w:rFonts w:ascii="Calibri" w:eastAsia="Calibri" w:hAnsi="Calibri" w:cs="Calibri"/>
              </w:rPr>
            </w:pPr>
          </w:p>
          <w:p w14:paraId="486A4674" w14:textId="77777777" w:rsidR="00CE1B63" w:rsidRPr="00163EF0" w:rsidRDefault="00BC4666">
            <w:pPr>
              <w:ind w:right="40"/>
              <w:rPr>
                <w:rFonts w:ascii="Calibri" w:eastAsia="Calibri" w:hAnsi="Calibri" w:cs="Calibri"/>
              </w:rPr>
            </w:pPr>
            <w:r w:rsidRPr="00163EF0">
              <w:rPr>
                <w:rFonts w:ascii="Calibri" w:eastAsia="Calibri" w:hAnsi="Calibri" w:cs="Calibri"/>
              </w:rPr>
              <w:t>Different stakeholders may view risk differently; some may be more risk-averse and favour conservative strategi</w:t>
            </w:r>
            <w:r w:rsidRPr="00163EF0">
              <w:rPr>
                <w:rFonts w:ascii="Calibri" w:eastAsia="Calibri" w:hAnsi="Calibri" w:cs="Calibri"/>
              </w:rPr>
              <w:t>es, while others may be more risk-tolerant and willing to accept greater levels of risk. To ensure that risk assessments, mitigation plans, and choices reflect stakeholders' risk tolerances and expectations, effective risk communication and stakeholder eng</w:t>
            </w:r>
            <w:r w:rsidRPr="00163EF0">
              <w:rPr>
                <w:rFonts w:ascii="Calibri" w:eastAsia="Calibri" w:hAnsi="Calibri" w:cs="Calibri"/>
              </w:rPr>
              <w:t>agement are essential.</w:t>
            </w:r>
          </w:p>
          <w:p w14:paraId="301DAB08" w14:textId="77777777" w:rsidR="00CE1B63" w:rsidRPr="00163EF0" w:rsidRDefault="00CE1B63">
            <w:pPr>
              <w:ind w:right="40"/>
              <w:rPr>
                <w:rFonts w:ascii="Calibri" w:eastAsia="Calibri" w:hAnsi="Calibri" w:cs="Calibri"/>
              </w:rPr>
            </w:pPr>
          </w:p>
          <w:p w14:paraId="7D37120B" w14:textId="77777777" w:rsidR="00CE1B63" w:rsidRPr="00163EF0" w:rsidRDefault="00BC4666">
            <w:pPr>
              <w:ind w:right="40"/>
              <w:rPr>
                <w:rFonts w:ascii="Calibri" w:eastAsia="Calibri" w:hAnsi="Calibri" w:cs="Calibri"/>
                <w:b/>
              </w:rPr>
            </w:pPr>
            <w:r w:rsidRPr="00163EF0">
              <w:rPr>
                <w:rFonts w:ascii="Calibri" w:eastAsia="Calibri" w:hAnsi="Calibri" w:cs="Calibri"/>
              </w:rPr>
              <w:t>The risk management plan can be modified to establish a balance between risk reduction and project objectives by taking stakeholder risk tolerances into account. The risk appetites of stakeholders can serve as a guide for risk trade-offs and decision-makin</w:t>
            </w:r>
            <w:r w:rsidRPr="00163EF0">
              <w:rPr>
                <w:rFonts w:ascii="Calibri" w:eastAsia="Calibri" w:hAnsi="Calibri" w:cs="Calibri"/>
              </w:rPr>
              <w:t xml:space="preserve">g processes, ensuring that the chosen risk mitigation techniques match their preferences. </w:t>
            </w:r>
          </w:p>
        </w:tc>
      </w:tr>
    </w:tbl>
    <w:p w14:paraId="7F9B086A" w14:textId="77777777" w:rsidR="00CE1B63" w:rsidRDefault="00CE1B63">
      <w:pPr>
        <w:widowControl w:val="0"/>
        <w:spacing w:after="0" w:line="240" w:lineRule="auto"/>
        <w:rPr>
          <w:b/>
          <w:color w:val="8EAADB"/>
          <w:sz w:val="20"/>
          <w:szCs w:val="20"/>
        </w:rPr>
      </w:pPr>
    </w:p>
    <w:tbl>
      <w:tblPr>
        <w:tblStyle w:val="ad"/>
        <w:tblW w:w="106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80"/>
      </w:tblGrid>
      <w:tr w:rsidR="00CE1B63" w14:paraId="591EB91B" w14:textId="77777777">
        <w:trPr>
          <w:trHeight w:val="315"/>
          <w:jc w:val="center"/>
        </w:trPr>
        <w:tc>
          <w:tcPr>
            <w:tcW w:w="1068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799EB8A6" w14:textId="77777777" w:rsidR="00CE1B63" w:rsidRDefault="00BC4666">
            <w:pPr>
              <w:widowControl w:val="0"/>
              <w:rPr>
                <w:rFonts w:ascii="Calibri" w:eastAsia="Calibri" w:hAnsi="Calibri" w:cs="Calibri"/>
                <w:b/>
              </w:rPr>
            </w:pPr>
            <w:r>
              <w:rPr>
                <w:rFonts w:ascii="Calibri" w:eastAsia="Calibri" w:hAnsi="Calibri" w:cs="Calibri"/>
                <w:b/>
              </w:rPr>
              <w:t>Risk Tracking and Audit</w:t>
            </w:r>
          </w:p>
        </w:tc>
      </w:tr>
    </w:tbl>
    <w:p w14:paraId="0AB023F1" w14:textId="77777777" w:rsidR="00CE1B63" w:rsidRDefault="00CE1B63">
      <w:pPr>
        <w:ind w:left="-566" w:right="-607"/>
        <w:rPr>
          <w:b/>
          <w:color w:val="8EAADB"/>
          <w:sz w:val="2"/>
          <w:szCs w:val="2"/>
        </w:rPr>
      </w:pPr>
    </w:p>
    <w:p w14:paraId="225F93F1" w14:textId="77777777" w:rsidR="00CE1B63" w:rsidRPr="00163EF0" w:rsidRDefault="00BC4666">
      <w:pPr>
        <w:ind w:left="-566" w:right="-607"/>
        <w:rPr>
          <w:highlight w:val="white"/>
        </w:rPr>
      </w:pPr>
      <w:r w:rsidRPr="00163EF0">
        <w:rPr>
          <w:highlight w:val="white"/>
        </w:rPr>
        <w:t>The methods and actions involved in recording and evaluating risks over the course of the AWS CyberShift Initiative project are referred to as risk management, risk tracking, and audit. With the help of these procedures, risks should be successfully recogn</w:t>
      </w:r>
      <w:r w:rsidRPr="00163EF0">
        <w:rPr>
          <w:highlight w:val="white"/>
        </w:rPr>
        <w:t>ised, evaluated, and managed, and risk reduction measures should be carried out and monitored in a systematic and controlled manner.</w:t>
      </w:r>
    </w:p>
    <w:p w14:paraId="47BB51A7" w14:textId="77777777" w:rsidR="00CE1B63" w:rsidRPr="00163EF0" w:rsidRDefault="00BC4666">
      <w:pPr>
        <w:spacing w:after="200"/>
        <w:ind w:left="-566" w:right="-607"/>
        <w:rPr>
          <w:b/>
          <w:i/>
          <w:highlight w:val="white"/>
        </w:rPr>
      </w:pPr>
      <w:r w:rsidRPr="00163EF0">
        <w:rPr>
          <w:b/>
          <w:i/>
          <w:highlight w:val="white"/>
        </w:rPr>
        <w:t>Risk Tracking:</w:t>
      </w:r>
    </w:p>
    <w:p w14:paraId="783849FB" w14:textId="61AA8853" w:rsidR="00CE1B63" w:rsidRPr="00163EF0" w:rsidRDefault="00BC4666">
      <w:pPr>
        <w:ind w:left="-566" w:right="-607"/>
        <w:rPr>
          <w:highlight w:val="white"/>
        </w:rPr>
      </w:pPr>
      <w:r w:rsidRPr="00163EF0">
        <w:rPr>
          <w:highlight w:val="white"/>
        </w:rPr>
        <w:t xml:space="preserve">Risk tracking involves monitoring and recording recognised hazards continuously </w:t>
      </w:r>
      <w:r w:rsidR="00163EF0" w:rsidRPr="00163EF0">
        <w:rPr>
          <w:highlight w:val="white"/>
        </w:rPr>
        <w:t>to</w:t>
      </w:r>
      <w:r w:rsidRPr="00163EF0">
        <w:rPr>
          <w:highlight w:val="white"/>
        </w:rPr>
        <w:t xml:space="preserve"> evaluate their s</w:t>
      </w:r>
      <w:r w:rsidRPr="00163EF0">
        <w:rPr>
          <w:highlight w:val="white"/>
        </w:rPr>
        <w:t xml:space="preserve">tatus and follow changes over time. This involves maintaining an organised database, or risk register, that records and organises risks, their likelihood and impact, existing risk mitigation techniques, and the people or teams in charge. </w:t>
      </w:r>
    </w:p>
    <w:p w14:paraId="227B2BFB" w14:textId="77777777" w:rsidR="00CE1B63" w:rsidRPr="00163EF0" w:rsidRDefault="00BC4666">
      <w:pPr>
        <w:ind w:left="-566" w:right="-607"/>
        <w:rPr>
          <w:highlight w:val="white"/>
        </w:rPr>
      </w:pPr>
      <w:r w:rsidRPr="00163EF0">
        <w:rPr>
          <w:highlight w:val="white"/>
        </w:rPr>
        <w:t>Potential risks a</w:t>
      </w:r>
      <w:r w:rsidRPr="00163EF0">
        <w:rPr>
          <w:highlight w:val="white"/>
        </w:rPr>
        <w:t>re actively managed by regular revisions to the risk register, which also ensures that alterations or new hazards are quickly discovered. Risk tracking provides project stakeholders with a comprehensive picture of the risk environment, aids in making knowl</w:t>
      </w:r>
      <w:r w:rsidRPr="00163EF0">
        <w:rPr>
          <w:highlight w:val="white"/>
        </w:rPr>
        <w:t>edgeable decisions, and enables prompt adjustments to risk mitigation techniques when necessary.</w:t>
      </w:r>
    </w:p>
    <w:p w14:paraId="6A52F128" w14:textId="77777777" w:rsidR="00CE1B63" w:rsidRPr="00163EF0" w:rsidRDefault="00BC4666">
      <w:pPr>
        <w:spacing w:after="200"/>
        <w:ind w:left="-566" w:right="-607"/>
        <w:rPr>
          <w:b/>
          <w:i/>
          <w:highlight w:val="white"/>
        </w:rPr>
      </w:pPr>
      <w:r w:rsidRPr="00163EF0">
        <w:rPr>
          <w:b/>
          <w:i/>
          <w:highlight w:val="white"/>
        </w:rPr>
        <w:t>Risk Audit:</w:t>
      </w:r>
    </w:p>
    <w:p w14:paraId="0AFA757C" w14:textId="77777777" w:rsidR="00CE1B63" w:rsidRPr="00163EF0" w:rsidRDefault="00BC4666">
      <w:pPr>
        <w:ind w:left="-566" w:right="-607"/>
        <w:rPr>
          <w:highlight w:val="white"/>
        </w:rPr>
      </w:pPr>
      <w:r w:rsidRPr="00163EF0">
        <w:rPr>
          <w:highlight w:val="white"/>
        </w:rPr>
        <w:t>The risk audit involves identifying any gaps or potential areas for improvement, evaluating the effectiveness of risk mitigation measures and contr</w:t>
      </w:r>
      <w:r w:rsidRPr="00163EF0">
        <w:rPr>
          <w:highlight w:val="white"/>
        </w:rPr>
        <w:t xml:space="preserve">ols, and determining whether they are being applied as intended. Internal auditors or outside specialists may conduct the risk audit to offer an unbiased evaluation of the project's risk management procedures. </w:t>
      </w:r>
      <w:r w:rsidRPr="00163EF0">
        <w:rPr>
          <w:highlight w:val="white"/>
        </w:rPr>
        <w:br/>
      </w:r>
      <w:r w:rsidRPr="00163EF0">
        <w:rPr>
          <w:highlight w:val="white"/>
        </w:rPr>
        <w:br/>
        <w:t xml:space="preserve">Examining paperwork, conducting interviews, </w:t>
      </w:r>
      <w:r w:rsidRPr="00163EF0">
        <w:rPr>
          <w:highlight w:val="white"/>
        </w:rPr>
        <w:t>and assessing the risk management framework, policies, and procedures are all typical components of the audit process. The results of the risk audit indicate any new hazards, point out areas where risk management procedures can be strengthened, and offer s</w:t>
      </w:r>
      <w:r w:rsidRPr="00163EF0">
        <w:rPr>
          <w:highlight w:val="white"/>
        </w:rPr>
        <w:t>uggestions for improving risk mitigation strategies.</w:t>
      </w:r>
    </w:p>
    <w:p w14:paraId="4579C361" w14:textId="77777777" w:rsidR="00CE1B63" w:rsidRPr="00163EF0" w:rsidRDefault="00BC4666">
      <w:pPr>
        <w:spacing w:after="0"/>
        <w:ind w:left="-566" w:right="-607"/>
        <w:rPr>
          <w:highlight w:val="white"/>
        </w:rPr>
      </w:pPr>
      <w:r w:rsidRPr="00163EF0">
        <w:rPr>
          <w:highlight w:val="white"/>
        </w:rPr>
        <w:t>SecureNET will ensure that risks are regularly tracked, managed, and assessed throughout the AWS CyberShift Initiative project lifecycle by putting in place comprehensive risk monitoring and audit practi</w:t>
      </w:r>
      <w:r w:rsidRPr="00163EF0">
        <w:rPr>
          <w:highlight w:val="white"/>
        </w:rPr>
        <w:t>ces. This makes proactive risk management easier, makes it easier for the project to respond to shifting risk scenarios, and gives stakeholders confidence that risks are being effectively managed. Regular risk tracking and audits enable rapid modifications</w:t>
      </w:r>
      <w:r w:rsidRPr="00163EF0">
        <w:rPr>
          <w:highlight w:val="white"/>
        </w:rPr>
        <w:t xml:space="preserve"> and continual improvement in risk mitigation techniques, which add to the overall efficacy and success of the risk management initiatives.</w:t>
      </w:r>
    </w:p>
    <w:p w14:paraId="6B4935F4" w14:textId="77777777" w:rsidR="00CE1B63" w:rsidRDefault="00CE1B63">
      <w:pPr>
        <w:ind w:left="-566" w:right="-607"/>
        <w:rPr>
          <w:color w:val="244061"/>
          <w:highlight w:val="white"/>
        </w:rPr>
      </w:pPr>
    </w:p>
    <w:p w14:paraId="72A7CA0C" w14:textId="77777777" w:rsidR="00CE1B63" w:rsidRDefault="00CE1B63">
      <w:pPr>
        <w:ind w:left="-566" w:right="-607"/>
        <w:rPr>
          <w:color w:val="244061"/>
          <w:sz w:val="20"/>
          <w:szCs w:val="20"/>
          <w:highlight w:val="white"/>
        </w:rPr>
      </w:pPr>
    </w:p>
    <w:tbl>
      <w:tblPr>
        <w:tblStyle w:val="ae"/>
        <w:tblW w:w="106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0"/>
      </w:tblGrid>
      <w:tr w:rsidR="00CE1B63" w14:paraId="3D14A2C9" w14:textId="77777777">
        <w:trPr>
          <w:trHeight w:val="283"/>
          <w:jc w:val="center"/>
        </w:trPr>
        <w:tc>
          <w:tcPr>
            <w:tcW w:w="1065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29FF2AAB" w14:textId="77777777" w:rsidR="00CE1B63" w:rsidRDefault="00BC4666">
            <w:pPr>
              <w:widowControl w:val="0"/>
              <w:rPr>
                <w:rFonts w:ascii="Calibri" w:eastAsia="Calibri" w:hAnsi="Calibri" w:cs="Calibri"/>
                <w:b/>
              </w:rPr>
            </w:pPr>
            <w:r>
              <w:rPr>
                <w:rFonts w:ascii="Calibri" w:eastAsia="Calibri" w:hAnsi="Calibri" w:cs="Calibri"/>
                <w:b/>
              </w:rPr>
              <w:lastRenderedPageBreak/>
              <w:t>Definition of Probability</w:t>
            </w:r>
          </w:p>
        </w:tc>
      </w:tr>
    </w:tbl>
    <w:p w14:paraId="5BB5C97E" w14:textId="77777777" w:rsidR="00CE1B63" w:rsidRDefault="00CE1B63">
      <w:pPr>
        <w:widowControl w:val="0"/>
        <w:spacing w:after="0" w:line="240" w:lineRule="auto"/>
        <w:ind w:left="-567"/>
        <w:rPr>
          <w:color w:val="244061"/>
          <w:sz w:val="20"/>
          <w:szCs w:val="20"/>
          <w:highlight w:val="white"/>
        </w:rPr>
      </w:pPr>
    </w:p>
    <w:p w14:paraId="67FFC3C2" w14:textId="77777777" w:rsidR="00CE1B63" w:rsidRPr="00163EF0" w:rsidRDefault="00BC4666">
      <w:pPr>
        <w:widowControl w:val="0"/>
        <w:spacing w:after="0" w:line="240" w:lineRule="auto"/>
        <w:ind w:left="-567"/>
        <w:rPr>
          <w:sz w:val="20"/>
          <w:szCs w:val="20"/>
          <w:highlight w:val="white"/>
        </w:rPr>
      </w:pPr>
      <w:r w:rsidRPr="00163EF0">
        <w:rPr>
          <w:sz w:val="20"/>
          <w:szCs w:val="20"/>
          <w:highlight w:val="white"/>
        </w:rPr>
        <w:t xml:space="preserve">Risk management probability involves the assessment and estimation of the likelihood that a specific risk event or scenario will occur within the context of the AWS CyberShift Initiative project. The process involves quantifying the probability of various </w:t>
      </w:r>
      <w:r w:rsidRPr="00163EF0">
        <w:rPr>
          <w:sz w:val="20"/>
          <w:szCs w:val="20"/>
          <w:highlight w:val="white"/>
        </w:rPr>
        <w:t>risks occurring based on available data, historical information, judgment, and analysis of relevant factors.</w:t>
      </w:r>
    </w:p>
    <w:p w14:paraId="5A05D346" w14:textId="77777777" w:rsidR="00CE1B63" w:rsidRPr="00163EF0" w:rsidRDefault="00CE1B63">
      <w:pPr>
        <w:widowControl w:val="0"/>
        <w:spacing w:after="0" w:line="240" w:lineRule="auto"/>
        <w:ind w:left="-567"/>
        <w:rPr>
          <w:sz w:val="20"/>
          <w:szCs w:val="20"/>
          <w:highlight w:val="white"/>
        </w:rPr>
      </w:pPr>
    </w:p>
    <w:p w14:paraId="2C87108D" w14:textId="3E65BAC6" w:rsidR="00CE1B63" w:rsidRPr="00163EF0" w:rsidRDefault="00BC4666">
      <w:pPr>
        <w:widowControl w:val="0"/>
        <w:spacing w:after="0" w:line="240" w:lineRule="auto"/>
        <w:ind w:left="-567"/>
        <w:rPr>
          <w:sz w:val="20"/>
          <w:szCs w:val="20"/>
          <w:highlight w:val="white"/>
        </w:rPr>
      </w:pPr>
      <w:r w:rsidRPr="00163EF0">
        <w:rPr>
          <w:sz w:val="20"/>
          <w:szCs w:val="20"/>
          <w:highlight w:val="white"/>
        </w:rPr>
        <w:t>Probability is often rated on a qualitative or quantitative scale during the risk management process. Risks are categorised as high, medium, or lo</w:t>
      </w:r>
      <w:r w:rsidRPr="00163EF0">
        <w:rPr>
          <w:sz w:val="20"/>
          <w:szCs w:val="20"/>
          <w:highlight w:val="white"/>
        </w:rPr>
        <w:t xml:space="preserve">w probability based on professional or subjective assessments in qualitative probability assessment. As a result, risks may be </w:t>
      </w:r>
      <w:r w:rsidR="00163EF0" w:rsidRPr="00163EF0">
        <w:rPr>
          <w:sz w:val="20"/>
          <w:szCs w:val="20"/>
          <w:highlight w:val="white"/>
        </w:rPr>
        <w:t>prioritised,</w:t>
      </w:r>
      <w:r w:rsidRPr="00163EF0">
        <w:rPr>
          <w:sz w:val="20"/>
          <w:szCs w:val="20"/>
          <w:highlight w:val="white"/>
        </w:rPr>
        <w:t xml:space="preserve"> and the proper resources can be set aside for their mitigation. On the other hand, quantitative probability assessmen</w:t>
      </w:r>
      <w:r w:rsidRPr="00163EF0">
        <w:rPr>
          <w:sz w:val="20"/>
          <w:szCs w:val="20"/>
          <w:highlight w:val="white"/>
        </w:rPr>
        <w:t>t entails putting numbers or percentages on risks based on statistical analysis, past data, or probabilistic models. This method offers a more accurate and quantitative assessment of the risk's likelihood of happening.</w:t>
      </w:r>
    </w:p>
    <w:p w14:paraId="5492CF2F" w14:textId="77777777" w:rsidR="00CE1B63" w:rsidRPr="00163EF0" w:rsidRDefault="00CE1B63">
      <w:pPr>
        <w:widowControl w:val="0"/>
        <w:spacing w:after="0" w:line="240" w:lineRule="auto"/>
        <w:ind w:left="-567"/>
        <w:rPr>
          <w:sz w:val="20"/>
          <w:szCs w:val="20"/>
          <w:highlight w:val="white"/>
        </w:rPr>
      </w:pPr>
    </w:p>
    <w:p w14:paraId="1F230F60" w14:textId="124AEFC3" w:rsidR="00CE1B63" w:rsidRPr="00163EF0" w:rsidRDefault="00BC4666">
      <w:pPr>
        <w:widowControl w:val="0"/>
        <w:spacing w:after="0" w:line="240" w:lineRule="auto"/>
        <w:ind w:left="-567"/>
        <w:rPr>
          <w:sz w:val="20"/>
          <w:szCs w:val="20"/>
          <w:highlight w:val="white"/>
        </w:rPr>
      </w:pPr>
      <w:r w:rsidRPr="00163EF0">
        <w:rPr>
          <w:sz w:val="20"/>
          <w:szCs w:val="20"/>
          <w:highlight w:val="white"/>
        </w:rPr>
        <w:t>The project team may prioritise thei</w:t>
      </w:r>
      <w:r w:rsidRPr="00163EF0">
        <w:rPr>
          <w:sz w:val="20"/>
          <w:szCs w:val="20"/>
          <w:highlight w:val="white"/>
        </w:rPr>
        <w:t>r time and resources by determining the likelihood of risks. While risks with lower probabilities can be monitored or managed using less intense procedures, those with higher probabilities may need rapid attention and strong mitigation tactics. The project</w:t>
      </w:r>
      <w:r w:rsidRPr="00163EF0">
        <w:rPr>
          <w:sz w:val="20"/>
          <w:szCs w:val="20"/>
          <w:highlight w:val="white"/>
        </w:rPr>
        <w:t xml:space="preserve"> team can allocate resources effectively, make educated decisions, and create backup plans for hazards that are more likely to materialise thanks to probability assessment. The probability assessment is an ongoing process, and it must be continually examin</w:t>
      </w:r>
      <w:r w:rsidRPr="00163EF0">
        <w:rPr>
          <w:sz w:val="20"/>
          <w:szCs w:val="20"/>
          <w:highlight w:val="white"/>
        </w:rPr>
        <w:t xml:space="preserve">ed and revised when new information becomes </w:t>
      </w:r>
      <w:r w:rsidR="00163EF0" w:rsidRPr="00163EF0">
        <w:rPr>
          <w:sz w:val="20"/>
          <w:szCs w:val="20"/>
          <w:highlight w:val="white"/>
        </w:rPr>
        <w:t>available,</w:t>
      </w:r>
      <w:r w:rsidRPr="00163EF0">
        <w:rPr>
          <w:sz w:val="20"/>
          <w:szCs w:val="20"/>
          <w:highlight w:val="white"/>
        </w:rPr>
        <w:t xml:space="preserve"> or project conditions change.</w:t>
      </w:r>
    </w:p>
    <w:p w14:paraId="1F118C6D" w14:textId="77777777" w:rsidR="00CE1B63" w:rsidRDefault="00CE1B63">
      <w:pPr>
        <w:widowControl w:val="0"/>
        <w:spacing w:after="0" w:line="240" w:lineRule="auto"/>
        <w:rPr>
          <w:b/>
          <w:color w:val="8EAADB"/>
          <w:sz w:val="28"/>
          <w:szCs w:val="28"/>
        </w:rPr>
      </w:pPr>
    </w:p>
    <w:tbl>
      <w:tblPr>
        <w:tblStyle w:val="af"/>
        <w:tblW w:w="1065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0"/>
      </w:tblGrid>
      <w:tr w:rsidR="00CE1B63" w14:paraId="126DCC0F" w14:textId="77777777">
        <w:trPr>
          <w:trHeight w:val="420"/>
          <w:jc w:val="center"/>
        </w:trPr>
        <w:tc>
          <w:tcPr>
            <w:tcW w:w="1065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7F44EE10" w14:textId="77777777" w:rsidR="00CE1B63" w:rsidRDefault="00BC4666">
            <w:pPr>
              <w:widowControl w:val="0"/>
              <w:rPr>
                <w:rFonts w:ascii="Calibri" w:eastAsia="Calibri" w:hAnsi="Calibri" w:cs="Calibri"/>
                <w:b/>
              </w:rPr>
            </w:pPr>
            <w:r>
              <w:rPr>
                <w:rFonts w:ascii="Calibri" w:eastAsia="Calibri" w:hAnsi="Calibri" w:cs="Calibri"/>
                <w:b/>
              </w:rPr>
              <w:t>Definition of Impact by Objective</w:t>
            </w:r>
          </w:p>
        </w:tc>
      </w:tr>
    </w:tbl>
    <w:p w14:paraId="193A12D3" w14:textId="77777777" w:rsidR="00CE1B63" w:rsidRPr="00163EF0" w:rsidRDefault="00CE1B63">
      <w:pPr>
        <w:widowControl w:val="0"/>
        <w:spacing w:after="0" w:line="240" w:lineRule="auto"/>
        <w:ind w:left="-567"/>
        <w:rPr>
          <w:sz w:val="20"/>
          <w:szCs w:val="20"/>
          <w:highlight w:val="white"/>
        </w:rPr>
      </w:pPr>
    </w:p>
    <w:p w14:paraId="63F0E50B" w14:textId="33A9EC54" w:rsidR="00CE1B63" w:rsidRPr="00163EF0" w:rsidRDefault="00BC4666">
      <w:pPr>
        <w:widowControl w:val="0"/>
        <w:spacing w:after="0" w:line="240" w:lineRule="auto"/>
        <w:ind w:left="-567"/>
        <w:rPr>
          <w:sz w:val="20"/>
          <w:szCs w:val="20"/>
          <w:highlight w:val="white"/>
        </w:rPr>
      </w:pPr>
      <w:r w:rsidRPr="00163EF0">
        <w:rPr>
          <w:sz w:val="20"/>
          <w:szCs w:val="20"/>
          <w:highlight w:val="white"/>
        </w:rPr>
        <w:t xml:space="preserve">The importance of both qualitative and quantitative factors must be </w:t>
      </w:r>
      <w:r w:rsidR="00163EF0" w:rsidRPr="00163EF0">
        <w:rPr>
          <w:sz w:val="20"/>
          <w:szCs w:val="20"/>
          <w:highlight w:val="white"/>
        </w:rPr>
        <w:t>considered</w:t>
      </w:r>
      <w:r w:rsidRPr="00163EF0">
        <w:rPr>
          <w:sz w:val="20"/>
          <w:szCs w:val="20"/>
          <w:highlight w:val="white"/>
        </w:rPr>
        <w:t xml:space="preserve"> when assessing risk effect by objective. To properly prioritise risks, qualitative evaluation involves defining probable impacts as high, medium, or low. In a quantitati</w:t>
      </w:r>
      <w:r w:rsidRPr="00163EF0">
        <w:rPr>
          <w:sz w:val="20"/>
          <w:szCs w:val="20"/>
          <w:highlight w:val="white"/>
        </w:rPr>
        <w:t xml:space="preserve">ve assessment, values or scales are assigned to allow for accurate analysis and comparison. </w:t>
      </w:r>
    </w:p>
    <w:p w14:paraId="2B8FC046" w14:textId="77777777" w:rsidR="00CE1B63" w:rsidRPr="00163EF0" w:rsidRDefault="00CE1B63">
      <w:pPr>
        <w:widowControl w:val="0"/>
        <w:spacing w:after="0" w:line="240" w:lineRule="auto"/>
        <w:ind w:left="-567"/>
        <w:rPr>
          <w:sz w:val="20"/>
          <w:szCs w:val="20"/>
          <w:highlight w:val="white"/>
        </w:rPr>
      </w:pPr>
    </w:p>
    <w:p w14:paraId="44CFF8C6" w14:textId="77777777" w:rsidR="00CE1B63" w:rsidRPr="00163EF0" w:rsidRDefault="00BC4666">
      <w:pPr>
        <w:widowControl w:val="0"/>
        <w:spacing w:after="0" w:line="240" w:lineRule="auto"/>
        <w:ind w:left="-567"/>
        <w:rPr>
          <w:sz w:val="20"/>
          <w:szCs w:val="20"/>
          <w:highlight w:val="white"/>
        </w:rPr>
      </w:pPr>
      <w:r w:rsidRPr="00163EF0">
        <w:rPr>
          <w:sz w:val="20"/>
          <w:szCs w:val="20"/>
          <w:highlight w:val="white"/>
        </w:rPr>
        <w:t>The project team can better allocate resources and establish effective mitigation plans when they are aware of the potential effects of risks. While risks with sm</w:t>
      </w:r>
      <w:r w:rsidRPr="00163EF0">
        <w:rPr>
          <w:sz w:val="20"/>
          <w:szCs w:val="20"/>
          <w:highlight w:val="white"/>
        </w:rPr>
        <w:t xml:space="preserve">aller implications can be addressed with less resources, those with major effects on crucial goals may call for thorough interventions. To ensure alignment with changing project objectives and effectively address new risks, regular review and reassessment </w:t>
      </w:r>
      <w:r w:rsidRPr="00163EF0">
        <w:rPr>
          <w:sz w:val="20"/>
          <w:szCs w:val="20"/>
          <w:highlight w:val="white"/>
        </w:rPr>
        <w:t>of risk implications is a necessary process.</w:t>
      </w:r>
    </w:p>
    <w:p w14:paraId="7987985F" w14:textId="77777777" w:rsidR="00CE1B63" w:rsidRPr="00163EF0" w:rsidRDefault="00CE1B63">
      <w:pPr>
        <w:widowControl w:val="0"/>
        <w:spacing w:after="0" w:line="240" w:lineRule="auto"/>
        <w:ind w:left="-567"/>
        <w:rPr>
          <w:sz w:val="20"/>
          <w:szCs w:val="20"/>
          <w:highlight w:val="white"/>
        </w:rPr>
      </w:pPr>
    </w:p>
    <w:p w14:paraId="61ED698C" w14:textId="52D7C2A2" w:rsidR="00CE1B63" w:rsidRPr="00163EF0" w:rsidRDefault="00BC4666">
      <w:pPr>
        <w:widowControl w:val="0"/>
        <w:spacing w:after="0" w:line="240" w:lineRule="auto"/>
        <w:ind w:left="-567"/>
        <w:rPr>
          <w:sz w:val="20"/>
          <w:szCs w:val="20"/>
          <w:highlight w:val="white"/>
        </w:rPr>
      </w:pPr>
      <w:r w:rsidRPr="00163EF0">
        <w:rPr>
          <w:sz w:val="20"/>
          <w:szCs w:val="20"/>
          <w:highlight w:val="white"/>
        </w:rPr>
        <w:t xml:space="preserve">The AWS CyberShift Initiative project can proactively manage and mitigate risks while working to accomplish desired outcomes by </w:t>
      </w:r>
      <w:r w:rsidR="00163EF0" w:rsidRPr="00163EF0">
        <w:rPr>
          <w:sz w:val="20"/>
          <w:szCs w:val="20"/>
          <w:highlight w:val="white"/>
        </w:rPr>
        <w:t>considering</w:t>
      </w:r>
      <w:r w:rsidRPr="00163EF0">
        <w:rPr>
          <w:sz w:val="20"/>
          <w:szCs w:val="20"/>
          <w:highlight w:val="white"/>
        </w:rPr>
        <w:t xml:space="preserve"> risk consequences by objective. Decision-making is aided by im</w:t>
      </w:r>
      <w:r w:rsidRPr="00163EF0">
        <w:rPr>
          <w:sz w:val="20"/>
          <w:szCs w:val="20"/>
          <w:highlight w:val="white"/>
        </w:rPr>
        <w:t xml:space="preserve">pact assessment, which enables stakeholders to compare the trade-offs between project goals and risk mitigation initiatives. </w:t>
      </w:r>
    </w:p>
    <w:p w14:paraId="6BF71592" w14:textId="77777777" w:rsidR="00CE1B63" w:rsidRPr="00163EF0" w:rsidRDefault="00CE1B63">
      <w:pPr>
        <w:widowControl w:val="0"/>
        <w:spacing w:after="0" w:line="240" w:lineRule="auto"/>
        <w:ind w:left="-567"/>
        <w:rPr>
          <w:highlight w:val="white"/>
        </w:rPr>
      </w:pPr>
    </w:p>
    <w:p w14:paraId="01036998" w14:textId="77777777" w:rsidR="00CE1B63" w:rsidRPr="00163EF0" w:rsidRDefault="00BC4666">
      <w:pPr>
        <w:widowControl w:val="0"/>
        <w:spacing w:after="0" w:line="240" w:lineRule="auto"/>
        <w:ind w:left="-567"/>
        <w:rPr>
          <w:b/>
          <w:i/>
          <w:highlight w:val="white"/>
        </w:rPr>
      </w:pPr>
      <w:r w:rsidRPr="00163EF0">
        <w:rPr>
          <w:b/>
          <w:i/>
          <w:highlight w:val="white"/>
        </w:rPr>
        <w:t>A detailed Risk management impact by objective is as follows:</w:t>
      </w:r>
    </w:p>
    <w:p w14:paraId="7AF6A0E4" w14:textId="77777777" w:rsidR="00CE1B63" w:rsidRPr="00163EF0" w:rsidRDefault="00CE1B63">
      <w:pPr>
        <w:widowControl w:val="0"/>
        <w:spacing w:after="0" w:line="240" w:lineRule="auto"/>
        <w:ind w:left="-567"/>
        <w:rPr>
          <w:highlight w:val="white"/>
        </w:rPr>
      </w:pPr>
    </w:p>
    <w:p w14:paraId="62873F44" w14:textId="77777777" w:rsidR="00CE1B63" w:rsidRPr="00163EF0" w:rsidRDefault="00BC4666">
      <w:pPr>
        <w:widowControl w:val="0"/>
        <w:spacing w:after="0" w:line="240" w:lineRule="auto"/>
        <w:ind w:left="-567"/>
        <w:rPr>
          <w:b/>
          <w:i/>
          <w:highlight w:val="white"/>
        </w:rPr>
      </w:pPr>
      <w:r w:rsidRPr="00163EF0">
        <w:rPr>
          <w:b/>
          <w:i/>
          <w:highlight w:val="white"/>
        </w:rPr>
        <w:t xml:space="preserve">Secure the cloud infrastructure: </w:t>
      </w:r>
    </w:p>
    <w:p w14:paraId="7993036B" w14:textId="77777777" w:rsidR="00CE1B63" w:rsidRPr="00163EF0" w:rsidRDefault="00BC4666">
      <w:pPr>
        <w:widowControl w:val="0"/>
        <w:spacing w:after="0" w:line="240" w:lineRule="auto"/>
        <w:ind w:left="-567"/>
        <w:rPr>
          <w:sz w:val="20"/>
          <w:szCs w:val="20"/>
          <w:highlight w:val="white"/>
        </w:rPr>
      </w:pPr>
      <w:r w:rsidRPr="00163EF0">
        <w:rPr>
          <w:sz w:val="20"/>
          <w:szCs w:val="20"/>
          <w:highlight w:val="white"/>
        </w:rPr>
        <w:t>The goal of protecting the cloud</w:t>
      </w:r>
      <w:r w:rsidRPr="00163EF0">
        <w:rPr>
          <w:sz w:val="20"/>
          <w:szCs w:val="20"/>
          <w:highlight w:val="white"/>
        </w:rPr>
        <w:t xml:space="preserve"> infrastructure against security risks may be significantly compromised. Unauthorised access, data breaches, or service interruptions are a few examples of potential dangers. The effects of these risks can include everything from financial losses and lost </w:t>
      </w:r>
      <w:r w:rsidRPr="00163EF0">
        <w:rPr>
          <w:sz w:val="20"/>
          <w:szCs w:val="20"/>
          <w:highlight w:val="white"/>
        </w:rPr>
        <w:t>customer data to reputational harm. To reduce these risks and ensure the security of the cloud infrastructure, effective risk management techniques are required, such as setting up strong firewalls, establishing intrusion detection systems (IPS/IDS), and p</w:t>
      </w:r>
      <w:r w:rsidRPr="00163EF0">
        <w:rPr>
          <w:sz w:val="20"/>
          <w:szCs w:val="20"/>
          <w:highlight w:val="white"/>
        </w:rPr>
        <w:t>roviding anti-virus/malware protection.</w:t>
      </w:r>
    </w:p>
    <w:p w14:paraId="17F71968" w14:textId="77777777" w:rsidR="00CE1B63" w:rsidRPr="00163EF0" w:rsidRDefault="00CE1B63">
      <w:pPr>
        <w:widowControl w:val="0"/>
        <w:spacing w:after="0" w:line="240" w:lineRule="auto"/>
        <w:ind w:left="-567"/>
        <w:rPr>
          <w:highlight w:val="white"/>
        </w:rPr>
      </w:pPr>
    </w:p>
    <w:p w14:paraId="7D96763B" w14:textId="77777777" w:rsidR="00CE1B63" w:rsidRPr="00163EF0" w:rsidRDefault="00BC4666">
      <w:pPr>
        <w:widowControl w:val="0"/>
        <w:spacing w:after="0" w:line="240" w:lineRule="auto"/>
        <w:ind w:left="-567"/>
        <w:rPr>
          <w:b/>
          <w:i/>
          <w:highlight w:val="white"/>
        </w:rPr>
      </w:pPr>
      <w:r w:rsidRPr="00163EF0">
        <w:rPr>
          <w:b/>
          <w:i/>
          <w:highlight w:val="white"/>
        </w:rPr>
        <w:t xml:space="preserve">Installation and configuration of secure Windows 2022 AD Server and Linux Web Server: </w:t>
      </w:r>
    </w:p>
    <w:p w14:paraId="1042B244" w14:textId="77777777" w:rsidR="00CE1B63" w:rsidRPr="00163EF0" w:rsidRDefault="00BC4666">
      <w:pPr>
        <w:widowControl w:val="0"/>
        <w:spacing w:after="0" w:line="240" w:lineRule="auto"/>
        <w:ind w:left="-567"/>
        <w:rPr>
          <w:sz w:val="20"/>
          <w:szCs w:val="20"/>
          <w:highlight w:val="white"/>
        </w:rPr>
      </w:pPr>
      <w:r w:rsidRPr="00163EF0">
        <w:rPr>
          <w:sz w:val="20"/>
          <w:szCs w:val="20"/>
          <w:highlight w:val="white"/>
        </w:rPr>
        <w:t xml:space="preserve">The security and operational efficiency of these servers may be impacted by risks associated with their installation and setup. </w:t>
      </w:r>
      <w:r w:rsidRPr="00163EF0">
        <w:rPr>
          <w:sz w:val="20"/>
          <w:szCs w:val="20"/>
          <w:highlight w:val="white"/>
        </w:rPr>
        <w:t>Vulnerabilities or configuration errors may result in unauthorised access, data loss, or system outages. Compromise of user credentials, system downtime, or unauthorized configuration modifications are only a few examples of the consequences. To mitigate t</w:t>
      </w:r>
      <w:r w:rsidRPr="00163EF0">
        <w:rPr>
          <w:sz w:val="20"/>
          <w:szCs w:val="20"/>
          <w:highlight w:val="white"/>
        </w:rPr>
        <w:t>he effects of these risks and preserve the secure operation of the servers, appropriate risk management procedures, such as implementing secure settings, performing vulnerability analyses, and keeping an eye on logs in real-time, are essential.</w:t>
      </w:r>
    </w:p>
    <w:p w14:paraId="69BDA5DB" w14:textId="77777777" w:rsidR="00CE1B63" w:rsidRPr="00163EF0" w:rsidRDefault="00CE1B63">
      <w:pPr>
        <w:widowControl w:val="0"/>
        <w:spacing w:after="0" w:line="240" w:lineRule="auto"/>
        <w:ind w:left="-567"/>
        <w:rPr>
          <w:sz w:val="20"/>
          <w:szCs w:val="20"/>
          <w:highlight w:val="white"/>
        </w:rPr>
      </w:pPr>
    </w:p>
    <w:p w14:paraId="2B90A384" w14:textId="77777777" w:rsidR="00CE1B63" w:rsidRPr="00163EF0" w:rsidRDefault="00BC4666">
      <w:pPr>
        <w:widowControl w:val="0"/>
        <w:spacing w:after="0" w:line="240" w:lineRule="auto"/>
        <w:ind w:left="-567"/>
        <w:rPr>
          <w:b/>
          <w:i/>
          <w:highlight w:val="white"/>
        </w:rPr>
      </w:pPr>
      <w:r w:rsidRPr="00163EF0">
        <w:rPr>
          <w:b/>
          <w:i/>
          <w:highlight w:val="white"/>
        </w:rPr>
        <w:t>Perform ex</w:t>
      </w:r>
      <w:r w:rsidRPr="00163EF0">
        <w:rPr>
          <w:b/>
          <w:i/>
          <w:highlight w:val="white"/>
        </w:rPr>
        <w:t>ternal scans/vulnerability assessments:</w:t>
      </w:r>
    </w:p>
    <w:p w14:paraId="66DDDA70" w14:textId="77777777" w:rsidR="00CE1B63" w:rsidRPr="00163EF0" w:rsidRDefault="00BC4666">
      <w:pPr>
        <w:widowControl w:val="0"/>
        <w:spacing w:after="0" w:line="240" w:lineRule="auto"/>
        <w:ind w:left="-567"/>
        <w:rPr>
          <w:sz w:val="20"/>
          <w:szCs w:val="20"/>
          <w:highlight w:val="white"/>
        </w:rPr>
      </w:pPr>
      <w:r w:rsidRPr="00163EF0">
        <w:rPr>
          <w:sz w:val="20"/>
          <w:szCs w:val="20"/>
          <w:highlight w:val="white"/>
        </w:rPr>
        <w:t>Vulnerabilities can be used by malicious actors to obtain unauthorized access, disrupt services, or compromise data if they are not identified and mitigated. The hazards' effects may lead to system breaches, data los</w:t>
      </w:r>
      <w:r w:rsidRPr="00163EF0">
        <w:rPr>
          <w:sz w:val="20"/>
          <w:szCs w:val="20"/>
          <w:highlight w:val="white"/>
        </w:rPr>
        <w:t>s, or service outages. The effect of these risks can be reduced, and the overall security of the infrastructure can be improved, by performing routine scans and producing vulnerability reports with suggested mitigation actions.</w:t>
      </w:r>
    </w:p>
    <w:p w14:paraId="6811F292" w14:textId="77777777" w:rsidR="00CE1B63" w:rsidRPr="00163EF0" w:rsidRDefault="00CE1B63">
      <w:pPr>
        <w:widowControl w:val="0"/>
        <w:spacing w:after="0" w:line="240" w:lineRule="auto"/>
        <w:ind w:left="-567"/>
        <w:rPr>
          <w:sz w:val="18"/>
          <w:szCs w:val="18"/>
          <w:highlight w:val="white"/>
        </w:rPr>
      </w:pPr>
    </w:p>
    <w:p w14:paraId="1393BCDC" w14:textId="77777777" w:rsidR="00CE1B63" w:rsidRPr="00163EF0" w:rsidRDefault="00CE1B63">
      <w:pPr>
        <w:widowControl w:val="0"/>
        <w:spacing w:after="0" w:line="240" w:lineRule="auto"/>
        <w:ind w:left="-567"/>
        <w:rPr>
          <w:sz w:val="18"/>
          <w:szCs w:val="18"/>
          <w:highlight w:val="white"/>
        </w:rPr>
      </w:pPr>
    </w:p>
    <w:p w14:paraId="25C0F407" w14:textId="77777777" w:rsidR="00CE1B63" w:rsidRPr="00163EF0" w:rsidRDefault="00BC4666">
      <w:pPr>
        <w:widowControl w:val="0"/>
        <w:spacing w:after="0" w:line="240" w:lineRule="auto"/>
        <w:ind w:left="-567"/>
        <w:rPr>
          <w:b/>
          <w:i/>
          <w:highlight w:val="white"/>
        </w:rPr>
      </w:pPr>
      <w:r w:rsidRPr="00163EF0">
        <w:rPr>
          <w:b/>
          <w:i/>
          <w:highlight w:val="white"/>
        </w:rPr>
        <w:t xml:space="preserve">Red/blue team exercises: </w:t>
      </w:r>
    </w:p>
    <w:p w14:paraId="765E7B8B" w14:textId="77777777" w:rsidR="00CE1B63" w:rsidRPr="00163EF0" w:rsidRDefault="00BC4666">
      <w:pPr>
        <w:widowControl w:val="0"/>
        <w:spacing w:after="0" w:line="240" w:lineRule="auto"/>
        <w:ind w:left="-567"/>
        <w:rPr>
          <w:highlight w:val="white"/>
        </w:rPr>
      </w:pPr>
      <w:r w:rsidRPr="00163EF0">
        <w:rPr>
          <w:highlight w:val="white"/>
        </w:rPr>
        <w:t xml:space="preserve">Risks associated with red/blue team exercises centre on locating vulnerabilities and weaknesses in the Linux and Windows Server servers through simulated attacks. These risks have an effect by potentially exposing vulnerabilities </w:t>
      </w:r>
      <w:r w:rsidRPr="00163EF0">
        <w:rPr>
          <w:highlight w:val="white"/>
        </w:rPr>
        <w:t>in the system and requiring urgent remediation. If flaws identified during the exercise are not fixed, real-world attackers may exploit them and get access without authorisation or compromise the system. The blue team can adopt suitable remediation measure</w:t>
      </w:r>
      <w:r w:rsidRPr="00163EF0">
        <w:rPr>
          <w:highlight w:val="white"/>
        </w:rPr>
        <w:t>s and improve the overall security posture by properly documenting and fixing vulnerabilities discovered during the exercises.</w:t>
      </w:r>
    </w:p>
    <w:p w14:paraId="21B67CE2" w14:textId="77777777" w:rsidR="00CE1B63" w:rsidRPr="00163EF0" w:rsidRDefault="00CE1B63">
      <w:pPr>
        <w:widowControl w:val="0"/>
        <w:spacing w:after="0" w:line="240" w:lineRule="auto"/>
        <w:ind w:left="-567"/>
        <w:rPr>
          <w:highlight w:val="white"/>
        </w:rPr>
      </w:pPr>
    </w:p>
    <w:p w14:paraId="70E1A777" w14:textId="77777777" w:rsidR="00CE1B63" w:rsidRPr="00163EF0" w:rsidRDefault="00BC4666">
      <w:pPr>
        <w:widowControl w:val="0"/>
        <w:spacing w:after="0" w:line="240" w:lineRule="auto"/>
        <w:ind w:left="-567"/>
        <w:rPr>
          <w:b/>
          <w:i/>
          <w:highlight w:val="white"/>
        </w:rPr>
      </w:pPr>
      <w:r w:rsidRPr="00163EF0">
        <w:rPr>
          <w:b/>
          <w:i/>
          <w:highlight w:val="white"/>
        </w:rPr>
        <w:t>Handover of technical documentation:</w:t>
      </w:r>
    </w:p>
    <w:p w14:paraId="1BE2775E" w14:textId="77777777" w:rsidR="00CE1B63" w:rsidRPr="00163EF0" w:rsidRDefault="00BC4666">
      <w:pPr>
        <w:widowControl w:val="0"/>
        <w:spacing w:after="0" w:line="240" w:lineRule="auto"/>
        <w:ind w:left="-567"/>
        <w:rPr>
          <w:highlight w:val="white"/>
        </w:rPr>
      </w:pPr>
      <w:r w:rsidRPr="00163EF0">
        <w:rPr>
          <w:highlight w:val="white"/>
        </w:rPr>
        <w:t>The potential loss, unauthorised access, or incorrect management of sensitive information c</w:t>
      </w:r>
      <w:r w:rsidRPr="00163EF0">
        <w:rPr>
          <w:highlight w:val="white"/>
        </w:rPr>
        <w:t>ontained in the documentation are the key risks connected with the transfer of technical documentation. Impacts can include potential insider threats to compromised security setups and procedures. Secure document handling practices, effective access contro</w:t>
      </w:r>
      <w:r w:rsidRPr="00163EF0">
        <w:rPr>
          <w:highlight w:val="white"/>
        </w:rPr>
        <w:t>ls, and the implementation of security policies and procedures should all be part of risk management strategies. The potential impact of these risks can be reduced by adhering to strict risk management procedures during the handover process, protecting the</w:t>
      </w:r>
      <w:r w:rsidRPr="00163EF0">
        <w:rPr>
          <w:highlight w:val="white"/>
        </w:rPr>
        <w:t xml:space="preserve"> technical documentation's confidentiality and integrity.</w:t>
      </w:r>
    </w:p>
    <w:p w14:paraId="5A0A23CB" w14:textId="77777777" w:rsidR="00CE1B63" w:rsidRPr="00163EF0" w:rsidRDefault="00CE1B63">
      <w:pPr>
        <w:widowControl w:val="0"/>
        <w:spacing w:after="0" w:line="240" w:lineRule="auto"/>
        <w:ind w:left="-567"/>
        <w:rPr>
          <w:sz w:val="24"/>
          <w:szCs w:val="24"/>
          <w:highlight w:val="white"/>
        </w:rPr>
      </w:pPr>
    </w:p>
    <w:p w14:paraId="520C09FF" w14:textId="77777777" w:rsidR="00CE1B63" w:rsidRPr="00163EF0" w:rsidRDefault="00BC4666">
      <w:pPr>
        <w:widowControl w:val="0"/>
        <w:spacing w:after="0" w:line="240" w:lineRule="auto"/>
        <w:ind w:left="-567"/>
        <w:rPr>
          <w:highlight w:val="white"/>
        </w:rPr>
      </w:pPr>
      <w:r w:rsidRPr="00163EF0">
        <w:rPr>
          <w:highlight w:val="white"/>
        </w:rPr>
        <w:t>The overall goal of risk management impact by objective is to identify, evaluate, and reduce risks that might jeopardise the accomplishment of each individual goal mentioned in the project scenario</w:t>
      </w:r>
      <w:r w:rsidRPr="00163EF0">
        <w:rPr>
          <w:highlight w:val="white"/>
        </w:rPr>
        <w:t>. SecureNET may reduce the effects of potential risks and improve the overall security, dependability, and integrity of the cloud infrastructure and related systems by putting in place efficient risk management procedures and controls.</w:t>
      </w:r>
    </w:p>
    <w:p w14:paraId="32E86104" w14:textId="77777777" w:rsidR="00CE1B63" w:rsidRPr="00163EF0" w:rsidRDefault="00CE1B63">
      <w:pPr>
        <w:widowControl w:val="0"/>
        <w:spacing w:after="0" w:line="240" w:lineRule="auto"/>
        <w:ind w:left="-567"/>
        <w:rPr>
          <w:b/>
          <w:sz w:val="26"/>
          <w:szCs w:val="26"/>
        </w:rPr>
      </w:pPr>
    </w:p>
    <w:p w14:paraId="17DEA714" w14:textId="77777777" w:rsidR="00CE1B63" w:rsidRPr="00163EF0" w:rsidRDefault="00CE1B63">
      <w:pPr>
        <w:widowControl w:val="0"/>
        <w:spacing w:after="0" w:line="240" w:lineRule="auto"/>
        <w:ind w:left="-567"/>
        <w:rPr>
          <w:b/>
          <w:sz w:val="26"/>
          <w:szCs w:val="26"/>
        </w:rPr>
      </w:pPr>
    </w:p>
    <w:tbl>
      <w:tblPr>
        <w:tblStyle w:val="af0"/>
        <w:tblW w:w="1062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20"/>
      </w:tblGrid>
      <w:tr w:rsidR="00CE1B63" w14:paraId="7EF47635" w14:textId="77777777" w:rsidTr="00163EF0">
        <w:trPr>
          <w:trHeight w:val="306"/>
          <w:jc w:val="center"/>
        </w:trPr>
        <w:tc>
          <w:tcPr>
            <w:tcW w:w="10620" w:type="dxa"/>
            <w:tcBorders>
              <w:top w:val="single" w:sz="8" w:space="0" w:color="FFFFFF"/>
              <w:left w:val="single" w:sz="8" w:space="0" w:color="FFFFFF"/>
              <w:bottom w:val="single" w:sz="8" w:space="0" w:color="FFFFFF"/>
              <w:right w:val="single" w:sz="8" w:space="0" w:color="FFFFFF"/>
            </w:tcBorders>
            <w:shd w:val="clear" w:color="auto" w:fill="ACB9CA"/>
            <w:vAlign w:val="center"/>
          </w:tcPr>
          <w:p w14:paraId="53BC6ED3" w14:textId="77777777" w:rsidR="00CE1B63" w:rsidRDefault="00BC4666">
            <w:pPr>
              <w:widowControl w:val="0"/>
              <w:rPr>
                <w:rFonts w:ascii="Calibri" w:eastAsia="Calibri" w:hAnsi="Calibri" w:cs="Calibri"/>
                <w:b/>
              </w:rPr>
            </w:pPr>
            <w:r>
              <w:rPr>
                <w:rFonts w:ascii="Calibri" w:eastAsia="Calibri" w:hAnsi="Calibri" w:cs="Calibri"/>
                <w:b/>
              </w:rPr>
              <w:t>Probability and Impact Matrix</w:t>
            </w:r>
          </w:p>
        </w:tc>
      </w:tr>
    </w:tbl>
    <w:p w14:paraId="0367BC21" w14:textId="77777777" w:rsidR="00CE1B63" w:rsidRPr="00163EF0" w:rsidRDefault="00CE1B63" w:rsidP="00163EF0">
      <w:pPr>
        <w:spacing w:after="0"/>
        <w:ind w:left="-566" w:right="-607"/>
        <w:rPr>
          <w:highlight w:val="white"/>
        </w:rPr>
      </w:pPr>
    </w:p>
    <w:p w14:paraId="3DA8EE9E" w14:textId="5B8A1A0A" w:rsidR="00CE1B63" w:rsidRPr="00163EF0" w:rsidRDefault="00BC4666">
      <w:pPr>
        <w:ind w:left="-566" w:right="-607"/>
        <w:rPr>
          <w:highlight w:val="white"/>
        </w:rPr>
      </w:pPr>
      <w:r w:rsidRPr="00163EF0">
        <w:rPr>
          <w:highlight w:val="white"/>
        </w:rPr>
        <w:t xml:space="preserve">A risk management probability and impact matrix </w:t>
      </w:r>
      <w:r w:rsidR="00163EF0" w:rsidRPr="00163EF0">
        <w:rPr>
          <w:highlight w:val="white"/>
        </w:rPr>
        <w:t>are</w:t>
      </w:r>
      <w:r w:rsidRPr="00163EF0">
        <w:rPr>
          <w:highlight w:val="white"/>
        </w:rPr>
        <w:t xml:space="preserve"> a tool used to rank hazards according to their likelihood of happening and their influence on the project's goals. A likelihood and impact matrix can assist the project team</w:t>
      </w:r>
      <w:r w:rsidRPr="00163EF0">
        <w:rPr>
          <w:highlight w:val="white"/>
        </w:rPr>
        <w:t xml:space="preserve"> in the AWS CyberShift Initiative scenario in methodically evaluating and classifying risks for efficient risk management.</w:t>
      </w:r>
    </w:p>
    <w:p w14:paraId="14D6F8D2" w14:textId="77777777" w:rsidR="00CE1B63" w:rsidRPr="00163EF0" w:rsidRDefault="00BC4666">
      <w:pPr>
        <w:ind w:left="-566" w:right="-607"/>
        <w:rPr>
          <w:highlight w:val="white"/>
        </w:rPr>
      </w:pPr>
      <w:r w:rsidRPr="00163EF0">
        <w:rPr>
          <w:highlight w:val="white"/>
        </w:rPr>
        <w:t>The likelihood or chance that a certain risk event will take place is represented by the matrix's probability dimension. It can be ev</w:t>
      </w:r>
      <w:r w:rsidRPr="00163EF0">
        <w:rPr>
          <w:highlight w:val="white"/>
        </w:rPr>
        <w:t>aluated statistically (e.g., percentages) or qualitatively (e.g., low, medium, high) depending on the information at hand, historical data, professional opinion, or mathematical analysis. The probability assessment assists in prioritising risk mitigation a</w:t>
      </w:r>
      <w:r w:rsidRPr="00163EF0">
        <w:rPr>
          <w:highlight w:val="white"/>
        </w:rPr>
        <w:t>ctivities in accordance with the possibility that dangers may materialise.</w:t>
      </w:r>
    </w:p>
    <w:p w14:paraId="16144677" w14:textId="77777777" w:rsidR="00CE1B63" w:rsidRPr="00163EF0" w:rsidRDefault="00BC4666">
      <w:pPr>
        <w:ind w:left="-566" w:right="-607"/>
        <w:rPr>
          <w:highlight w:val="white"/>
        </w:rPr>
      </w:pPr>
      <w:r w:rsidRPr="00163EF0">
        <w:rPr>
          <w:highlight w:val="white"/>
        </w:rPr>
        <w:t xml:space="preserve">The matrix's impact dimension depicts any possible repercussions or effects that the detected risks might have on the project's goals. It evaluates the seriousness and significance </w:t>
      </w:r>
      <w:r w:rsidRPr="00163EF0">
        <w:rPr>
          <w:highlight w:val="white"/>
        </w:rPr>
        <w:t>of the prospective effects and can be classified statistically (using scales, for example) or qualitatively (using terms like low, medium, and high). Impact analysis improves decision-making processes for risk reduction and resource allocation by assisting</w:t>
      </w:r>
      <w:r w:rsidRPr="00163EF0">
        <w:rPr>
          <w:highlight w:val="white"/>
        </w:rPr>
        <w:t xml:space="preserve"> in understanding the potential scope of the implications.</w:t>
      </w:r>
    </w:p>
    <w:p w14:paraId="22E00339" w14:textId="5491DA58" w:rsidR="00CE1B63" w:rsidRPr="00163EF0" w:rsidRDefault="00BC4666">
      <w:pPr>
        <w:ind w:left="-566" w:right="-607"/>
        <w:rPr>
          <w:highlight w:val="white"/>
        </w:rPr>
      </w:pPr>
      <w:r w:rsidRPr="00163EF0">
        <w:rPr>
          <w:highlight w:val="white"/>
        </w:rPr>
        <w:t xml:space="preserve">The risk management probability and impact matrix </w:t>
      </w:r>
      <w:r w:rsidR="00163EF0" w:rsidRPr="00163EF0">
        <w:rPr>
          <w:highlight w:val="white"/>
        </w:rPr>
        <w:t>enable</w:t>
      </w:r>
      <w:r w:rsidRPr="00163EF0">
        <w:rPr>
          <w:highlight w:val="white"/>
        </w:rPr>
        <w:t xml:space="preserve"> risks to be divided into various risk levels or zones by combining the probability and impact estimates. This classification aids in prioritising hazards and choosing the best course of action. Risk</w:t>
      </w:r>
      <w:r w:rsidRPr="00163EF0">
        <w:rPr>
          <w:highlight w:val="white"/>
        </w:rPr>
        <w:t>s with high probabilities and high impacts fall into the high-risk zone and require immediate attention and comprehensive mitigation efforts. Risks with low probabilities and low impacts may be deemed acceptable and fall into the low-risk zone, where monit</w:t>
      </w:r>
      <w:r w:rsidRPr="00163EF0">
        <w:rPr>
          <w:highlight w:val="white"/>
        </w:rPr>
        <w:t>oring or less intensive measures can be applied.  The matrix makes it easier to visualise risks, allowing the project team to concentrate on addressing high-priority risks while efficiently allocating resources.</w:t>
      </w:r>
    </w:p>
    <w:p w14:paraId="06E859D5" w14:textId="77777777" w:rsidR="00CE1B63" w:rsidRDefault="00BC4666">
      <w:pPr>
        <w:spacing w:after="0"/>
        <w:ind w:left="-566" w:right="-607"/>
        <w:rPr>
          <w:highlight w:val="white"/>
        </w:rPr>
      </w:pPr>
      <w:bookmarkStart w:id="1" w:name="_30j0zll" w:colFirst="0" w:colLast="0"/>
      <w:bookmarkEnd w:id="1"/>
      <w:r w:rsidRPr="00163EF0">
        <w:rPr>
          <w:highlight w:val="white"/>
        </w:rPr>
        <w:t>Overall, the AWS CyberShift Initiative proje</w:t>
      </w:r>
      <w:r w:rsidRPr="00163EF0">
        <w:rPr>
          <w:highlight w:val="white"/>
        </w:rPr>
        <w:t>ct's development of risk mitigation techniques and decision-making processes is supported by the risk management likelihood and impact matrix, which offers a structured method for assessing and prioritising threats. It aids in resource allocation, addresse</w:t>
      </w:r>
      <w:r w:rsidRPr="00163EF0">
        <w:rPr>
          <w:highlight w:val="white"/>
        </w:rPr>
        <w:t>s the most important risks, and makes sure that the risk management activities are in line with the project's priorities and objectives.</w:t>
      </w:r>
    </w:p>
    <w:p w14:paraId="00899D25" w14:textId="77777777" w:rsidR="00163EF0" w:rsidRDefault="00163EF0">
      <w:pPr>
        <w:spacing w:after="0"/>
        <w:ind w:left="-566" w:right="-607"/>
        <w:rPr>
          <w:highlight w:val="white"/>
        </w:rPr>
      </w:pPr>
    </w:p>
    <w:p w14:paraId="16FC3A69" w14:textId="77777777" w:rsidR="00163EF0" w:rsidRDefault="00163EF0">
      <w:pPr>
        <w:spacing w:after="0"/>
        <w:ind w:left="-566" w:right="-607"/>
        <w:rPr>
          <w:highlight w:val="white"/>
        </w:rPr>
      </w:pPr>
    </w:p>
    <w:p w14:paraId="37B16CB5" w14:textId="77777777" w:rsidR="00163EF0" w:rsidRPr="00163EF0" w:rsidRDefault="00163EF0">
      <w:pPr>
        <w:spacing w:after="0"/>
        <w:ind w:left="-566" w:right="-607"/>
        <w:rPr>
          <w:highlight w:val="white"/>
        </w:rPr>
      </w:pPr>
    </w:p>
    <w:p w14:paraId="1ACAF5BB" w14:textId="77777777" w:rsidR="00CE1B63" w:rsidRDefault="00BC4666">
      <w:pPr>
        <w:spacing w:after="0"/>
        <w:ind w:left="-566" w:right="-607"/>
        <w:rPr>
          <w:b/>
          <w:color w:val="8EAADB"/>
          <w:sz w:val="20"/>
          <w:szCs w:val="20"/>
        </w:rPr>
      </w:pPr>
      <w:r>
        <w:rPr>
          <w:noProof/>
        </w:rPr>
        <w:drawing>
          <wp:inline distT="0" distB="0" distL="0" distR="0" wp14:anchorId="508393B4" wp14:editId="62C640E5">
            <wp:extent cx="6652838" cy="4104942"/>
            <wp:effectExtent l="0" t="0" r="0" b="0"/>
            <wp:docPr id="2" name="image1.png" descr="Risk Management Matrix Showing Probability and Impact and High Low Risk PPT"/>
            <wp:cNvGraphicFramePr/>
            <a:graphic xmlns:a="http://schemas.openxmlformats.org/drawingml/2006/main">
              <a:graphicData uri="http://schemas.openxmlformats.org/drawingml/2006/picture">
                <pic:pic xmlns:pic="http://schemas.openxmlformats.org/drawingml/2006/picture">
                  <pic:nvPicPr>
                    <pic:cNvPr id="0" name="image1.png" descr="Risk Management Matrix Showing Probability and Impact and High Low Risk PPT"/>
                    <pic:cNvPicPr preferRelativeResize="0"/>
                  </pic:nvPicPr>
                  <pic:blipFill>
                    <a:blip r:embed="rId7"/>
                    <a:srcRect l="4471" r="4334"/>
                    <a:stretch>
                      <a:fillRect/>
                    </a:stretch>
                  </pic:blipFill>
                  <pic:spPr>
                    <a:xfrm>
                      <a:off x="0" y="0"/>
                      <a:ext cx="6652838" cy="4104942"/>
                    </a:xfrm>
                    <a:prstGeom prst="rect">
                      <a:avLst/>
                    </a:prstGeom>
                    <a:ln/>
                  </pic:spPr>
                </pic:pic>
              </a:graphicData>
            </a:graphic>
          </wp:inline>
        </w:drawing>
      </w:r>
    </w:p>
    <w:p w14:paraId="7741C6FF" w14:textId="77777777" w:rsidR="00CE1B63" w:rsidRDefault="00CE1B63">
      <w:pPr>
        <w:spacing w:after="0"/>
        <w:ind w:left="-566" w:right="-607"/>
        <w:rPr>
          <w:b/>
          <w:i/>
          <w:color w:val="244061"/>
          <w:sz w:val="24"/>
          <w:szCs w:val="24"/>
        </w:rPr>
      </w:pPr>
    </w:p>
    <w:p w14:paraId="317C0A17" w14:textId="77777777" w:rsidR="00CE1B63" w:rsidRDefault="00BC4666">
      <w:pPr>
        <w:spacing w:after="0"/>
        <w:ind w:left="-566" w:right="-607"/>
        <w:rPr>
          <w:b/>
          <w:color w:val="244061"/>
          <w:sz w:val="24"/>
          <w:szCs w:val="24"/>
        </w:rPr>
      </w:pPr>
      <w:r>
        <w:rPr>
          <w:b/>
          <w:color w:val="244061"/>
          <w:sz w:val="24"/>
          <w:szCs w:val="24"/>
        </w:rPr>
        <w:t>Risk Likelihood table</w:t>
      </w:r>
    </w:p>
    <w:p w14:paraId="7E9BEC18" w14:textId="02C35CE5" w:rsidR="00CE1B63" w:rsidRDefault="00CE1B63">
      <w:pPr>
        <w:spacing w:after="0"/>
        <w:ind w:left="-566" w:right="-607"/>
        <w:rPr>
          <w:b/>
          <w:color w:val="8EAADB"/>
          <w:sz w:val="20"/>
          <w:szCs w:val="20"/>
        </w:rPr>
      </w:pPr>
    </w:p>
    <w:tbl>
      <w:tblPr>
        <w:tblStyle w:val="af1"/>
        <w:tblW w:w="10155" w:type="dxa"/>
        <w:tblInd w:w="-267" w:type="dxa"/>
        <w:tblLayout w:type="fixed"/>
        <w:tblLook w:val="0000" w:firstRow="0" w:lastRow="0" w:firstColumn="0" w:lastColumn="0" w:noHBand="0" w:noVBand="0"/>
      </w:tblPr>
      <w:tblGrid>
        <w:gridCol w:w="1395"/>
        <w:gridCol w:w="6660"/>
        <w:gridCol w:w="2100"/>
      </w:tblGrid>
      <w:tr w:rsidR="00CE1B63" w14:paraId="6CAD291D" w14:textId="77777777">
        <w:trPr>
          <w:cantSplit/>
          <w:trHeight w:val="1224"/>
        </w:trPr>
        <w:tc>
          <w:tcPr>
            <w:tcW w:w="1395" w:type="dxa"/>
            <w:vMerge w:val="restart"/>
            <w:tcBorders>
              <w:top w:val="single" w:sz="6" w:space="0" w:color="000000"/>
              <w:left w:val="single" w:sz="6" w:space="0" w:color="000000"/>
              <w:right w:val="single" w:sz="6" w:space="0" w:color="000000"/>
            </w:tcBorders>
            <w:shd w:val="clear" w:color="auto" w:fill="B8CCE4"/>
            <w:vAlign w:val="center"/>
          </w:tcPr>
          <w:p w14:paraId="3EBD4975" w14:textId="18F9819F" w:rsidR="00CE1B63" w:rsidRDefault="00BC4666">
            <w:pPr>
              <w:jc w:val="center"/>
              <w:rPr>
                <w:b/>
                <w:sz w:val="20"/>
                <w:szCs w:val="20"/>
              </w:rPr>
            </w:pPr>
            <w:r>
              <w:rPr>
                <w:b/>
                <w:sz w:val="20"/>
                <w:szCs w:val="20"/>
              </w:rPr>
              <w:t>Likelihood</w:t>
            </w:r>
          </w:p>
        </w:tc>
        <w:tc>
          <w:tcPr>
            <w:tcW w:w="6660"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7EB7E757" w14:textId="650E4B09" w:rsidR="00CE1B63" w:rsidRDefault="00BC4666">
            <w:pPr>
              <w:pBdr>
                <w:top w:val="nil"/>
                <w:left w:val="nil"/>
                <w:bottom w:val="nil"/>
                <w:right w:val="nil"/>
                <w:between w:val="nil"/>
              </w:pBdr>
              <w:spacing w:before="60" w:after="60" w:line="240" w:lineRule="auto"/>
              <w:rPr>
                <w:color w:val="000000"/>
                <w:sz w:val="20"/>
                <w:szCs w:val="20"/>
              </w:rPr>
            </w:pPr>
            <w:r>
              <w:rPr>
                <w:color w:val="000000"/>
                <w:sz w:val="20"/>
                <w:szCs w:val="20"/>
              </w:rPr>
              <w:t>Expected in most circumstances. Has occurred on an annual basis in the past or ci</w:t>
            </w:r>
            <w:r>
              <w:rPr>
                <w:color w:val="000000"/>
                <w:sz w:val="20"/>
                <w:szCs w:val="20"/>
              </w:rPr>
              <w:t>rcumstances are in train that will cause it to happen.</w:t>
            </w:r>
          </w:p>
        </w:tc>
        <w:tc>
          <w:tcPr>
            <w:tcW w:w="2100" w:type="dxa"/>
            <w:tcBorders>
              <w:top w:val="single" w:sz="6" w:space="0" w:color="000000"/>
              <w:left w:val="single" w:sz="6" w:space="0" w:color="000000"/>
              <w:bottom w:val="single" w:sz="6" w:space="0" w:color="000000"/>
              <w:right w:val="single" w:sz="6" w:space="0" w:color="000000"/>
            </w:tcBorders>
            <w:shd w:val="clear" w:color="auto" w:fill="FF0000"/>
            <w:vAlign w:val="center"/>
          </w:tcPr>
          <w:p w14:paraId="7032ECA3" w14:textId="77777777" w:rsidR="00CE1B63" w:rsidRDefault="00BC4666">
            <w:pPr>
              <w:pBdr>
                <w:top w:val="nil"/>
                <w:left w:val="nil"/>
                <w:bottom w:val="nil"/>
                <w:right w:val="nil"/>
                <w:between w:val="nil"/>
              </w:pBdr>
              <w:spacing w:before="60" w:after="60" w:line="240" w:lineRule="auto"/>
              <w:jc w:val="center"/>
              <w:rPr>
                <w:b/>
                <w:color w:val="FFFFFF"/>
                <w:sz w:val="20"/>
                <w:szCs w:val="20"/>
              </w:rPr>
            </w:pPr>
            <w:r>
              <w:rPr>
                <w:b/>
                <w:color w:val="FFFFFF"/>
                <w:sz w:val="20"/>
                <w:szCs w:val="20"/>
              </w:rPr>
              <w:t>Almost certain</w:t>
            </w:r>
          </w:p>
        </w:tc>
      </w:tr>
      <w:tr w:rsidR="00CE1B63" w14:paraId="474C88AC" w14:textId="77777777">
        <w:trPr>
          <w:trHeight w:val="1224"/>
        </w:trPr>
        <w:tc>
          <w:tcPr>
            <w:tcW w:w="1395" w:type="dxa"/>
            <w:vMerge/>
            <w:tcBorders>
              <w:top w:val="single" w:sz="6" w:space="0" w:color="000000"/>
              <w:left w:val="single" w:sz="6" w:space="0" w:color="000000"/>
              <w:right w:val="single" w:sz="6" w:space="0" w:color="000000"/>
            </w:tcBorders>
            <w:shd w:val="clear" w:color="auto" w:fill="B8CCE4"/>
            <w:vAlign w:val="center"/>
          </w:tcPr>
          <w:p w14:paraId="4A0F4023" w14:textId="77777777" w:rsidR="00CE1B63" w:rsidRDefault="00CE1B63">
            <w:pPr>
              <w:widowControl w:val="0"/>
              <w:pBdr>
                <w:top w:val="nil"/>
                <w:left w:val="nil"/>
                <w:bottom w:val="nil"/>
                <w:right w:val="nil"/>
                <w:between w:val="nil"/>
              </w:pBdr>
              <w:spacing w:after="0" w:line="276" w:lineRule="auto"/>
              <w:rPr>
                <w:b/>
                <w:color w:val="000000"/>
                <w:sz w:val="21"/>
                <w:szCs w:val="21"/>
              </w:rPr>
            </w:pPr>
          </w:p>
        </w:tc>
        <w:tc>
          <w:tcPr>
            <w:tcW w:w="6660"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461C4945" w14:textId="77777777" w:rsidR="00CE1B63" w:rsidRDefault="00BC4666">
            <w:pPr>
              <w:pBdr>
                <w:top w:val="nil"/>
                <w:left w:val="nil"/>
                <w:bottom w:val="nil"/>
                <w:right w:val="nil"/>
                <w:between w:val="nil"/>
              </w:pBdr>
              <w:spacing w:before="60" w:after="60" w:line="240" w:lineRule="auto"/>
              <w:rPr>
                <w:color w:val="000000"/>
                <w:sz w:val="20"/>
                <w:szCs w:val="20"/>
              </w:rPr>
            </w:pPr>
            <w:r>
              <w:rPr>
                <w:color w:val="000000"/>
                <w:sz w:val="20"/>
                <w:szCs w:val="20"/>
              </w:rPr>
              <w:t xml:space="preserve">Has occurred in the last few years or has occurred recently, circumstances have occurred that will cause it to happen in the short term. </w:t>
            </w:r>
          </w:p>
        </w:tc>
        <w:tc>
          <w:tcPr>
            <w:tcW w:w="2100" w:type="dxa"/>
            <w:tcBorders>
              <w:top w:val="single" w:sz="6" w:space="0" w:color="000000"/>
              <w:left w:val="single" w:sz="6" w:space="0" w:color="000000"/>
              <w:bottom w:val="single" w:sz="6" w:space="0" w:color="000000"/>
              <w:right w:val="single" w:sz="6" w:space="0" w:color="000000"/>
            </w:tcBorders>
            <w:shd w:val="clear" w:color="auto" w:fill="FF9900"/>
            <w:vAlign w:val="center"/>
          </w:tcPr>
          <w:p w14:paraId="4633ABA4" w14:textId="77777777" w:rsidR="00CE1B63" w:rsidRDefault="00BC4666">
            <w:pPr>
              <w:pBdr>
                <w:top w:val="nil"/>
                <w:left w:val="nil"/>
                <w:bottom w:val="nil"/>
                <w:right w:val="nil"/>
                <w:between w:val="nil"/>
              </w:pBdr>
              <w:spacing w:before="60" w:after="60" w:line="240" w:lineRule="auto"/>
              <w:jc w:val="center"/>
              <w:rPr>
                <w:b/>
                <w:color w:val="000000"/>
                <w:sz w:val="20"/>
                <w:szCs w:val="20"/>
              </w:rPr>
            </w:pPr>
            <w:r>
              <w:rPr>
                <w:b/>
                <w:color w:val="000000"/>
                <w:sz w:val="20"/>
                <w:szCs w:val="20"/>
              </w:rPr>
              <w:t>Likely</w:t>
            </w:r>
          </w:p>
        </w:tc>
      </w:tr>
      <w:tr w:rsidR="00CE1B63" w14:paraId="21C7EE9B" w14:textId="77777777">
        <w:trPr>
          <w:trHeight w:val="1224"/>
        </w:trPr>
        <w:tc>
          <w:tcPr>
            <w:tcW w:w="1395" w:type="dxa"/>
            <w:vMerge/>
            <w:tcBorders>
              <w:top w:val="single" w:sz="6" w:space="0" w:color="000000"/>
              <w:left w:val="single" w:sz="6" w:space="0" w:color="000000"/>
              <w:right w:val="single" w:sz="6" w:space="0" w:color="000000"/>
            </w:tcBorders>
            <w:shd w:val="clear" w:color="auto" w:fill="B8CCE4"/>
            <w:vAlign w:val="center"/>
          </w:tcPr>
          <w:p w14:paraId="5E23FD02" w14:textId="77777777" w:rsidR="00CE1B63" w:rsidRDefault="00CE1B63">
            <w:pPr>
              <w:widowControl w:val="0"/>
              <w:pBdr>
                <w:top w:val="nil"/>
                <w:left w:val="nil"/>
                <w:bottom w:val="nil"/>
                <w:right w:val="nil"/>
                <w:between w:val="nil"/>
              </w:pBdr>
              <w:spacing w:after="0" w:line="276" w:lineRule="auto"/>
              <w:rPr>
                <w:b/>
                <w:color w:val="000000"/>
                <w:sz w:val="21"/>
                <w:szCs w:val="21"/>
              </w:rPr>
            </w:pPr>
          </w:p>
        </w:tc>
        <w:tc>
          <w:tcPr>
            <w:tcW w:w="6660"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25AE1D5B" w14:textId="77777777" w:rsidR="00CE1B63" w:rsidRDefault="00BC4666">
            <w:pPr>
              <w:pBdr>
                <w:top w:val="nil"/>
                <w:left w:val="nil"/>
                <w:bottom w:val="nil"/>
                <w:right w:val="nil"/>
                <w:between w:val="nil"/>
              </w:pBdr>
              <w:spacing w:before="60" w:after="60" w:line="240" w:lineRule="auto"/>
              <w:rPr>
                <w:color w:val="000000"/>
                <w:sz w:val="20"/>
                <w:szCs w:val="20"/>
              </w:rPr>
            </w:pPr>
            <w:r>
              <w:rPr>
                <w:color w:val="000000"/>
                <w:sz w:val="20"/>
                <w:szCs w:val="20"/>
              </w:rPr>
              <w:t>Has occurred at least once in the history of the organisation or is considered to have a 5% chance of occurring in the current planning cycle or term of the project.</w:t>
            </w:r>
          </w:p>
        </w:tc>
        <w:tc>
          <w:tcPr>
            <w:tcW w:w="2100" w:type="dxa"/>
            <w:tcBorders>
              <w:top w:val="single" w:sz="6" w:space="0" w:color="000000"/>
              <w:left w:val="single" w:sz="6" w:space="0" w:color="000000"/>
              <w:bottom w:val="single" w:sz="6" w:space="0" w:color="000000"/>
              <w:right w:val="single" w:sz="6" w:space="0" w:color="000000"/>
            </w:tcBorders>
            <w:shd w:val="clear" w:color="auto" w:fill="FFFF00"/>
            <w:vAlign w:val="center"/>
          </w:tcPr>
          <w:p w14:paraId="23A8E78E" w14:textId="77777777" w:rsidR="00CE1B63" w:rsidRDefault="00BC4666">
            <w:pPr>
              <w:pBdr>
                <w:top w:val="nil"/>
                <w:left w:val="nil"/>
                <w:bottom w:val="nil"/>
                <w:right w:val="nil"/>
                <w:between w:val="nil"/>
              </w:pBdr>
              <w:spacing w:before="60" w:after="60" w:line="240" w:lineRule="auto"/>
              <w:jc w:val="center"/>
              <w:rPr>
                <w:b/>
                <w:color w:val="000000"/>
                <w:sz w:val="20"/>
                <w:szCs w:val="20"/>
              </w:rPr>
            </w:pPr>
            <w:r>
              <w:rPr>
                <w:b/>
                <w:color w:val="000000"/>
                <w:sz w:val="20"/>
                <w:szCs w:val="20"/>
              </w:rPr>
              <w:t>Possible</w:t>
            </w:r>
          </w:p>
        </w:tc>
      </w:tr>
      <w:tr w:rsidR="00CE1B63" w14:paraId="5FB779D4" w14:textId="77777777">
        <w:trPr>
          <w:trHeight w:val="1224"/>
        </w:trPr>
        <w:tc>
          <w:tcPr>
            <w:tcW w:w="1395" w:type="dxa"/>
            <w:vMerge/>
            <w:tcBorders>
              <w:top w:val="single" w:sz="6" w:space="0" w:color="000000"/>
              <w:left w:val="single" w:sz="6" w:space="0" w:color="000000"/>
              <w:right w:val="single" w:sz="6" w:space="0" w:color="000000"/>
            </w:tcBorders>
            <w:shd w:val="clear" w:color="auto" w:fill="B8CCE4"/>
            <w:vAlign w:val="center"/>
          </w:tcPr>
          <w:p w14:paraId="0E1976BF" w14:textId="77777777" w:rsidR="00CE1B63" w:rsidRDefault="00CE1B63">
            <w:pPr>
              <w:widowControl w:val="0"/>
              <w:pBdr>
                <w:top w:val="nil"/>
                <w:left w:val="nil"/>
                <w:bottom w:val="nil"/>
                <w:right w:val="nil"/>
                <w:between w:val="nil"/>
              </w:pBdr>
              <w:spacing w:after="0" w:line="276" w:lineRule="auto"/>
              <w:rPr>
                <w:b/>
                <w:color w:val="000000"/>
                <w:sz w:val="21"/>
                <w:szCs w:val="21"/>
              </w:rPr>
            </w:pPr>
          </w:p>
        </w:tc>
        <w:tc>
          <w:tcPr>
            <w:tcW w:w="6660"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01ED26FA" w14:textId="77777777" w:rsidR="00CE1B63" w:rsidRDefault="00BC4666">
            <w:pPr>
              <w:pBdr>
                <w:top w:val="nil"/>
                <w:left w:val="nil"/>
                <w:bottom w:val="nil"/>
                <w:right w:val="nil"/>
                <w:between w:val="nil"/>
              </w:pBdr>
              <w:spacing w:before="60" w:after="60" w:line="240" w:lineRule="auto"/>
              <w:rPr>
                <w:color w:val="000000"/>
                <w:sz w:val="20"/>
                <w:szCs w:val="20"/>
              </w:rPr>
            </w:pPr>
            <w:r>
              <w:rPr>
                <w:color w:val="000000"/>
                <w:sz w:val="20"/>
                <w:szCs w:val="20"/>
              </w:rPr>
              <w:t>Has never occurred in the organisation but has occurred infrequently in other similar organisations or is considered to have around a 1% chance of occurring in the current planning cycle or term of the project.</w:t>
            </w:r>
          </w:p>
        </w:tc>
        <w:tc>
          <w:tcPr>
            <w:tcW w:w="2100" w:type="dxa"/>
            <w:tcBorders>
              <w:top w:val="single" w:sz="6" w:space="0" w:color="000000"/>
              <w:left w:val="single" w:sz="6" w:space="0" w:color="000000"/>
              <w:bottom w:val="single" w:sz="6" w:space="0" w:color="000000"/>
              <w:right w:val="single" w:sz="6" w:space="0" w:color="000000"/>
            </w:tcBorders>
            <w:shd w:val="clear" w:color="auto" w:fill="93C47D"/>
            <w:vAlign w:val="center"/>
          </w:tcPr>
          <w:p w14:paraId="01FCF108" w14:textId="77777777" w:rsidR="00CE1B63" w:rsidRDefault="00BC4666">
            <w:pPr>
              <w:pBdr>
                <w:top w:val="nil"/>
                <w:left w:val="nil"/>
                <w:bottom w:val="nil"/>
                <w:right w:val="nil"/>
                <w:between w:val="nil"/>
              </w:pBdr>
              <w:spacing w:before="60" w:after="60" w:line="240" w:lineRule="auto"/>
              <w:jc w:val="center"/>
              <w:rPr>
                <w:b/>
                <w:color w:val="000000"/>
                <w:sz w:val="20"/>
                <w:szCs w:val="20"/>
              </w:rPr>
            </w:pPr>
            <w:r>
              <w:rPr>
                <w:b/>
                <w:color w:val="000000"/>
                <w:sz w:val="20"/>
                <w:szCs w:val="20"/>
              </w:rPr>
              <w:t>Unlikely</w:t>
            </w:r>
          </w:p>
        </w:tc>
      </w:tr>
      <w:tr w:rsidR="00CE1B63" w14:paraId="13707EE6" w14:textId="77777777">
        <w:trPr>
          <w:trHeight w:val="1224"/>
        </w:trPr>
        <w:tc>
          <w:tcPr>
            <w:tcW w:w="1395" w:type="dxa"/>
            <w:vMerge/>
            <w:tcBorders>
              <w:top w:val="single" w:sz="6" w:space="0" w:color="000000"/>
              <w:left w:val="single" w:sz="6" w:space="0" w:color="000000"/>
              <w:bottom w:val="single" w:sz="4" w:space="0" w:color="000000"/>
              <w:right w:val="single" w:sz="6" w:space="0" w:color="000000"/>
            </w:tcBorders>
            <w:shd w:val="clear" w:color="auto" w:fill="B8CCE4"/>
            <w:vAlign w:val="center"/>
          </w:tcPr>
          <w:p w14:paraId="1CC99427" w14:textId="77777777" w:rsidR="00CE1B63" w:rsidRDefault="00CE1B63">
            <w:pPr>
              <w:widowControl w:val="0"/>
              <w:pBdr>
                <w:top w:val="nil"/>
                <w:left w:val="nil"/>
                <w:bottom w:val="nil"/>
                <w:right w:val="nil"/>
                <w:between w:val="nil"/>
              </w:pBdr>
              <w:spacing w:after="0" w:line="276" w:lineRule="auto"/>
              <w:rPr>
                <w:b/>
                <w:color w:val="000000"/>
                <w:sz w:val="21"/>
                <w:szCs w:val="21"/>
              </w:rPr>
            </w:pPr>
          </w:p>
        </w:tc>
        <w:tc>
          <w:tcPr>
            <w:tcW w:w="6660" w:type="dxa"/>
            <w:tcBorders>
              <w:top w:val="single" w:sz="6" w:space="0" w:color="000000"/>
              <w:left w:val="single" w:sz="6" w:space="0" w:color="000000"/>
              <w:bottom w:val="single" w:sz="6" w:space="0" w:color="000000"/>
              <w:right w:val="single" w:sz="6" w:space="0" w:color="000000"/>
            </w:tcBorders>
            <w:shd w:val="clear" w:color="auto" w:fill="DBE5F1"/>
            <w:vAlign w:val="center"/>
          </w:tcPr>
          <w:p w14:paraId="7C455BB4" w14:textId="77777777" w:rsidR="00CE1B63" w:rsidRDefault="00BC4666">
            <w:pPr>
              <w:pBdr>
                <w:top w:val="nil"/>
                <w:left w:val="nil"/>
                <w:bottom w:val="nil"/>
                <w:right w:val="nil"/>
                <w:between w:val="nil"/>
              </w:pBdr>
              <w:spacing w:before="60" w:after="60" w:line="240" w:lineRule="auto"/>
              <w:rPr>
                <w:color w:val="000000"/>
                <w:sz w:val="20"/>
                <w:szCs w:val="20"/>
              </w:rPr>
            </w:pPr>
            <w:r>
              <w:rPr>
                <w:color w:val="000000"/>
                <w:sz w:val="20"/>
                <w:szCs w:val="20"/>
              </w:rPr>
              <w:t>Exceptional circumstances only. Is possible but has not occurred to date in any similar organisation and is considered to have very much less than a 1% chance of occurring in the current planning cycle or term of the project.</w:t>
            </w:r>
          </w:p>
        </w:tc>
        <w:tc>
          <w:tcPr>
            <w:tcW w:w="2100" w:type="dxa"/>
            <w:tcBorders>
              <w:top w:val="single" w:sz="6" w:space="0" w:color="000000"/>
              <w:left w:val="single" w:sz="6" w:space="0" w:color="000000"/>
              <w:bottom w:val="single" w:sz="6" w:space="0" w:color="000000"/>
              <w:right w:val="single" w:sz="6" w:space="0" w:color="000000"/>
            </w:tcBorders>
            <w:shd w:val="clear" w:color="auto" w:fill="38761D"/>
            <w:vAlign w:val="center"/>
          </w:tcPr>
          <w:p w14:paraId="0BDC09CC" w14:textId="77777777" w:rsidR="00CE1B63" w:rsidRDefault="00BC4666">
            <w:pPr>
              <w:pBdr>
                <w:top w:val="nil"/>
                <w:left w:val="nil"/>
                <w:bottom w:val="nil"/>
                <w:right w:val="nil"/>
                <w:between w:val="nil"/>
              </w:pBdr>
              <w:spacing w:before="60" w:after="60" w:line="240" w:lineRule="auto"/>
              <w:jc w:val="center"/>
              <w:rPr>
                <w:b/>
                <w:color w:val="000000"/>
                <w:sz w:val="20"/>
                <w:szCs w:val="20"/>
              </w:rPr>
            </w:pPr>
            <w:r>
              <w:rPr>
                <w:b/>
                <w:color w:val="000000"/>
                <w:sz w:val="20"/>
                <w:szCs w:val="20"/>
              </w:rPr>
              <w:t>Rare</w:t>
            </w:r>
          </w:p>
        </w:tc>
      </w:tr>
    </w:tbl>
    <w:p w14:paraId="5DC10256" w14:textId="77777777" w:rsidR="00CE1B63" w:rsidRDefault="00CE1B63">
      <w:pPr>
        <w:spacing w:after="0"/>
        <w:ind w:left="-566" w:right="-607"/>
        <w:rPr>
          <w:b/>
          <w:color w:val="8EAADB"/>
          <w:sz w:val="20"/>
          <w:szCs w:val="20"/>
        </w:rPr>
      </w:pPr>
    </w:p>
    <w:sectPr w:rsidR="00CE1B63">
      <w:footerReference w:type="default" r:id="rId8"/>
      <w:pgSz w:w="11906" w:h="16838"/>
      <w:pgMar w:top="566" w:right="1138" w:bottom="549" w:left="1275"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E4767" w14:textId="77777777" w:rsidR="00000000" w:rsidRDefault="00BC4666">
      <w:pPr>
        <w:spacing w:after="0" w:line="240" w:lineRule="auto"/>
      </w:pPr>
      <w:r>
        <w:separator/>
      </w:r>
    </w:p>
  </w:endnote>
  <w:endnote w:type="continuationSeparator" w:id="0">
    <w:p w14:paraId="62B1C1AA" w14:textId="77777777" w:rsidR="00000000" w:rsidRDefault="00BC4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9C451" w14:textId="77777777" w:rsidR="00CE1B63" w:rsidRDefault="00CE1B63">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358CD" w14:textId="77777777" w:rsidR="00000000" w:rsidRDefault="00BC4666">
      <w:pPr>
        <w:spacing w:after="0" w:line="240" w:lineRule="auto"/>
      </w:pPr>
      <w:r>
        <w:separator/>
      </w:r>
    </w:p>
  </w:footnote>
  <w:footnote w:type="continuationSeparator" w:id="0">
    <w:p w14:paraId="1C4A744D" w14:textId="77777777" w:rsidR="00000000" w:rsidRDefault="00BC46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D44AF"/>
    <w:multiLevelType w:val="multilevel"/>
    <w:tmpl w:val="6E16C7AE"/>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C060D5"/>
    <w:multiLevelType w:val="multilevel"/>
    <w:tmpl w:val="3AB80A3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CC40DDB"/>
    <w:multiLevelType w:val="multilevel"/>
    <w:tmpl w:val="6C3C98A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DC63D48"/>
    <w:multiLevelType w:val="multilevel"/>
    <w:tmpl w:val="61CAE760"/>
    <w:lvl w:ilvl="0">
      <w:start w:val="1"/>
      <w:numFmt w:val="bullet"/>
      <w:lvlText w:val="●"/>
      <w:lvlJc w:val="left"/>
      <w:pPr>
        <w:ind w:left="294" w:hanging="360"/>
      </w:pPr>
      <w:rPr>
        <w:rFonts w:ascii="Noto Sans Symbols" w:eastAsia="Noto Sans Symbols" w:hAnsi="Noto Sans Symbols" w:cs="Noto Sans Symbols"/>
      </w:rPr>
    </w:lvl>
    <w:lvl w:ilvl="1">
      <w:start w:val="1"/>
      <w:numFmt w:val="bullet"/>
      <w:lvlText w:val="o"/>
      <w:lvlJc w:val="left"/>
      <w:pPr>
        <w:ind w:left="1014" w:hanging="360"/>
      </w:pPr>
      <w:rPr>
        <w:rFonts w:ascii="Courier New" w:eastAsia="Courier New" w:hAnsi="Courier New" w:cs="Courier New"/>
      </w:rPr>
    </w:lvl>
    <w:lvl w:ilvl="2">
      <w:start w:val="1"/>
      <w:numFmt w:val="bullet"/>
      <w:lvlText w:val="▪"/>
      <w:lvlJc w:val="left"/>
      <w:pPr>
        <w:ind w:left="1734" w:hanging="360"/>
      </w:pPr>
      <w:rPr>
        <w:rFonts w:ascii="Noto Sans Symbols" w:eastAsia="Noto Sans Symbols" w:hAnsi="Noto Sans Symbols" w:cs="Noto Sans Symbols"/>
      </w:rPr>
    </w:lvl>
    <w:lvl w:ilvl="3">
      <w:start w:val="1"/>
      <w:numFmt w:val="bullet"/>
      <w:lvlText w:val="●"/>
      <w:lvlJc w:val="left"/>
      <w:pPr>
        <w:ind w:left="2454" w:hanging="360"/>
      </w:pPr>
      <w:rPr>
        <w:rFonts w:ascii="Noto Sans Symbols" w:eastAsia="Noto Sans Symbols" w:hAnsi="Noto Sans Symbols" w:cs="Noto Sans Symbols"/>
      </w:rPr>
    </w:lvl>
    <w:lvl w:ilvl="4">
      <w:start w:val="1"/>
      <w:numFmt w:val="bullet"/>
      <w:lvlText w:val="o"/>
      <w:lvlJc w:val="left"/>
      <w:pPr>
        <w:ind w:left="3174" w:hanging="360"/>
      </w:pPr>
      <w:rPr>
        <w:rFonts w:ascii="Courier New" w:eastAsia="Courier New" w:hAnsi="Courier New" w:cs="Courier New"/>
      </w:rPr>
    </w:lvl>
    <w:lvl w:ilvl="5">
      <w:start w:val="1"/>
      <w:numFmt w:val="bullet"/>
      <w:lvlText w:val="▪"/>
      <w:lvlJc w:val="left"/>
      <w:pPr>
        <w:ind w:left="3894" w:hanging="360"/>
      </w:pPr>
      <w:rPr>
        <w:rFonts w:ascii="Noto Sans Symbols" w:eastAsia="Noto Sans Symbols" w:hAnsi="Noto Sans Symbols" w:cs="Noto Sans Symbols"/>
      </w:rPr>
    </w:lvl>
    <w:lvl w:ilvl="6">
      <w:start w:val="1"/>
      <w:numFmt w:val="bullet"/>
      <w:lvlText w:val="●"/>
      <w:lvlJc w:val="left"/>
      <w:pPr>
        <w:ind w:left="4614" w:hanging="360"/>
      </w:pPr>
      <w:rPr>
        <w:rFonts w:ascii="Noto Sans Symbols" w:eastAsia="Noto Sans Symbols" w:hAnsi="Noto Sans Symbols" w:cs="Noto Sans Symbols"/>
      </w:rPr>
    </w:lvl>
    <w:lvl w:ilvl="7">
      <w:start w:val="1"/>
      <w:numFmt w:val="bullet"/>
      <w:lvlText w:val="o"/>
      <w:lvlJc w:val="left"/>
      <w:pPr>
        <w:ind w:left="5334" w:hanging="360"/>
      </w:pPr>
      <w:rPr>
        <w:rFonts w:ascii="Courier New" w:eastAsia="Courier New" w:hAnsi="Courier New" w:cs="Courier New"/>
      </w:rPr>
    </w:lvl>
    <w:lvl w:ilvl="8">
      <w:start w:val="1"/>
      <w:numFmt w:val="bullet"/>
      <w:lvlText w:val="▪"/>
      <w:lvlJc w:val="left"/>
      <w:pPr>
        <w:ind w:left="6054" w:hanging="360"/>
      </w:pPr>
      <w:rPr>
        <w:rFonts w:ascii="Noto Sans Symbols" w:eastAsia="Noto Sans Symbols" w:hAnsi="Noto Sans Symbols" w:cs="Noto Sans Symbols"/>
      </w:rPr>
    </w:lvl>
  </w:abstractNum>
  <w:abstractNum w:abstractNumId="4" w15:restartNumberingAfterBreak="0">
    <w:nsid w:val="418419CD"/>
    <w:multiLevelType w:val="multilevel"/>
    <w:tmpl w:val="F30E1C6A"/>
    <w:lvl w:ilvl="0">
      <w:start w:val="1"/>
      <w:numFmt w:val="bullet"/>
      <w:lvlText w:val="●"/>
      <w:lvlJc w:val="left"/>
      <w:pPr>
        <w:ind w:left="294" w:hanging="360"/>
      </w:pPr>
      <w:rPr>
        <w:rFonts w:ascii="Noto Sans Symbols" w:eastAsia="Noto Sans Symbols" w:hAnsi="Noto Sans Symbols" w:cs="Noto Sans Symbols"/>
      </w:rPr>
    </w:lvl>
    <w:lvl w:ilvl="1">
      <w:start w:val="1"/>
      <w:numFmt w:val="bullet"/>
      <w:lvlText w:val="o"/>
      <w:lvlJc w:val="left"/>
      <w:pPr>
        <w:ind w:left="1014" w:hanging="360"/>
      </w:pPr>
      <w:rPr>
        <w:rFonts w:ascii="Courier New" w:eastAsia="Courier New" w:hAnsi="Courier New" w:cs="Courier New"/>
      </w:rPr>
    </w:lvl>
    <w:lvl w:ilvl="2">
      <w:start w:val="1"/>
      <w:numFmt w:val="bullet"/>
      <w:lvlText w:val="▪"/>
      <w:lvlJc w:val="left"/>
      <w:pPr>
        <w:ind w:left="1734" w:hanging="360"/>
      </w:pPr>
      <w:rPr>
        <w:rFonts w:ascii="Noto Sans Symbols" w:eastAsia="Noto Sans Symbols" w:hAnsi="Noto Sans Symbols" w:cs="Noto Sans Symbols"/>
      </w:rPr>
    </w:lvl>
    <w:lvl w:ilvl="3">
      <w:start w:val="1"/>
      <w:numFmt w:val="bullet"/>
      <w:lvlText w:val="●"/>
      <w:lvlJc w:val="left"/>
      <w:pPr>
        <w:ind w:left="2454" w:hanging="360"/>
      </w:pPr>
      <w:rPr>
        <w:rFonts w:ascii="Noto Sans Symbols" w:eastAsia="Noto Sans Symbols" w:hAnsi="Noto Sans Symbols" w:cs="Noto Sans Symbols"/>
      </w:rPr>
    </w:lvl>
    <w:lvl w:ilvl="4">
      <w:start w:val="1"/>
      <w:numFmt w:val="bullet"/>
      <w:lvlText w:val="o"/>
      <w:lvlJc w:val="left"/>
      <w:pPr>
        <w:ind w:left="3174" w:hanging="360"/>
      </w:pPr>
      <w:rPr>
        <w:rFonts w:ascii="Courier New" w:eastAsia="Courier New" w:hAnsi="Courier New" w:cs="Courier New"/>
      </w:rPr>
    </w:lvl>
    <w:lvl w:ilvl="5">
      <w:start w:val="1"/>
      <w:numFmt w:val="bullet"/>
      <w:lvlText w:val="▪"/>
      <w:lvlJc w:val="left"/>
      <w:pPr>
        <w:ind w:left="3894" w:hanging="360"/>
      </w:pPr>
      <w:rPr>
        <w:rFonts w:ascii="Noto Sans Symbols" w:eastAsia="Noto Sans Symbols" w:hAnsi="Noto Sans Symbols" w:cs="Noto Sans Symbols"/>
      </w:rPr>
    </w:lvl>
    <w:lvl w:ilvl="6">
      <w:start w:val="1"/>
      <w:numFmt w:val="bullet"/>
      <w:lvlText w:val="●"/>
      <w:lvlJc w:val="left"/>
      <w:pPr>
        <w:ind w:left="4614" w:hanging="360"/>
      </w:pPr>
      <w:rPr>
        <w:rFonts w:ascii="Noto Sans Symbols" w:eastAsia="Noto Sans Symbols" w:hAnsi="Noto Sans Symbols" w:cs="Noto Sans Symbols"/>
      </w:rPr>
    </w:lvl>
    <w:lvl w:ilvl="7">
      <w:start w:val="1"/>
      <w:numFmt w:val="bullet"/>
      <w:lvlText w:val="o"/>
      <w:lvlJc w:val="left"/>
      <w:pPr>
        <w:ind w:left="5334" w:hanging="360"/>
      </w:pPr>
      <w:rPr>
        <w:rFonts w:ascii="Courier New" w:eastAsia="Courier New" w:hAnsi="Courier New" w:cs="Courier New"/>
      </w:rPr>
    </w:lvl>
    <w:lvl w:ilvl="8">
      <w:start w:val="1"/>
      <w:numFmt w:val="bullet"/>
      <w:lvlText w:val="▪"/>
      <w:lvlJc w:val="left"/>
      <w:pPr>
        <w:ind w:left="6054" w:hanging="360"/>
      </w:pPr>
      <w:rPr>
        <w:rFonts w:ascii="Noto Sans Symbols" w:eastAsia="Noto Sans Symbols" w:hAnsi="Noto Sans Symbols" w:cs="Noto Sans Symbols"/>
      </w:rPr>
    </w:lvl>
  </w:abstractNum>
  <w:abstractNum w:abstractNumId="5" w15:restartNumberingAfterBreak="0">
    <w:nsid w:val="48314FC0"/>
    <w:multiLevelType w:val="multilevel"/>
    <w:tmpl w:val="65920E5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D2E12AA"/>
    <w:multiLevelType w:val="multilevel"/>
    <w:tmpl w:val="843C53F4"/>
    <w:lvl w:ilvl="0">
      <w:start w:val="1"/>
      <w:numFmt w:val="bullet"/>
      <w:lvlText w:val="●"/>
      <w:lvlJc w:val="left"/>
      <w:pPr>
        <w:ind w:left="294" w:hanging="360"/>
      </w:pPr>
      <w:rPr>
        <w:rFonts w:ascii="Noto Sans Symbols" w:eastAsia="Noto Sans Symbols" w:hAnsi="Noto Sans Symbols" w:cs="Noto Sans Symbols"/>
      </w:rPr>
    </w:lvl>
    <w:lvl w:ilvl="1">
      <w:start w:val="1"/>
      <w:numFmt w:val="bullet"/>
      <w:lvlText w:val="o"/>
      <w:lvlJc w:val="left"/>
      <w:pPr>
        <w:ind w:left="1014" w:hanging="360"/>
      </w:pPr>
      <w:rPr>
        <w:rFonts w:ascii="Courier New" w:eastAsia="Courier New" w:hAnsi="Courier New" w:cs="Courier New"/>
      </w:rPr>
    </w:lvl>
    <w:lvl w:ilvl="2">
      <w:start w:val="1"/>
      <w:numFmt w:val="bullet"/>
      <w:lvlText w:val="▪"/>
      <w:lvlJc w:val="left"/>
      <w:pPr>
        <w:ind w:left="1734" w:hanging="360"/>
      </w:pPr>
      <w:rPr>
        <w:rFonts w:ascii="Noto Sans Symbols" w:eastAsia="Noto Sans Symbols" w:hAnsi="Noto Sans Symbols" w:cs="Noto Sans Symbols"/>
      </w:rPr>
    </w:lvl>
    <w:lvl w:ilvl="3">
      <w:start w:val="1"/>
      <w:numFmt w:val="bullet"/>
      <w:lvlText w:val="●"/>
      <w:lvlJc w:val="left"/>
      <w:pPr>
        <w:ind w:left="2454" w:hanging="360"/>
      </w:pPr>
      <w:rPr>
        <w:rFonts w:ascii="Noto Sans Symbols" w:eastAsia="Noto Sans Symbols" w:hAnsi="Noto Sans Symbols" w:cs="Noto Sans Symbols"/>
      </w:rPr>
    </w:lvl>
    <w:lvl w:ilvl="4">
      <w:start w:val="1"/>
      <w:numFmt w:val="bullet"/>
      <w:lvlText w:val="o"/>
      <w:lvlJc w:val="left"/>
      <w:pPr>
        <w:ind w:left="3174" w:hanging="360"/>
      </w:pPr>
      <w:rPr>
        <w:rFonts w:ascii="Courier New" w:eastAsia="Courier New" w:hAnsi="Courier New" w:cs="Courier New"/>
      </w:rPr>
    </w:lvl>
    <w:lvl w:ilvl="5">
      <w:start w:val="1"/>
      <w:numFmt w:val="bullet"/>
      <w:lvlText w:val="▪"/>
      <w:lvlJc w:val="left"/>
      <w:pPr>
        <w:ind w:left="3894" w:hanging="360"/>
      </w:pPr>
      <w:rPr>
        <w:rFonts w:ascii="Noto Sans Symbols" w:eastAsia="Noto Sans Symbols" w:hAnsi="Noto Sans Symbols" w:cs="Noto Sans Symbols"/>
      </w:rPr>
    </w:lvl>
    <w:lvl w:ilvl="6">
      <w:start w:val="1"/>
      <w:numFmt w:val="bullet"/>
      <w:lvlText w:val="●"/>
      <w:lvlJc w:val="left"/>
      <w:pPr>
        <w:ind w:left="4614" w:hanging="360"/>
      </w:pPr>
      <w:rPr>
        <w:rFonts w:ascii="Noto Sans Symbols" w:eastAsia="Noto Sans Symbols" w:hAnsi="Noto Sans Symbols" w:cs="Noto Sans Symbols"/>
      </w:rPr>
    </w:lvl>
    <w:lvl w:ilvl="7">
      <w:start w:val="1"/>
      <w:numFmt w:val="bullet"/>
      <w:lvlText w:val="o"/>
      <w:lvlJc w:val="left"/>
      <w:pPr>
        <w:ind w:left="5334" w:hanging="360"/>
      </w:pPr>
      <w:rPr>
        <w:rFonts w:ascii="Courier New" w:eastAsia="Courier New" w:hAnsi="Courier New" w:cs="Courier New"/>
      </w:rPr>
    </w:lvl>
    <w:lvl w:ilvl="8">
      <w:start w:val="1"/>
      <w:numFmt w:val="bullet"/>
      <w:lvlText w:val="▪"/>
      <w:lvlJc w:val="left"/>
      <w:pPr>
        <w:ind w:left="6054" w:hanging="360"/>
      </w:pPr>
      <w:rPr>
        <w:rFonts w:ascii="Noto Sans Symbols" w:eastAsia="Noto Sans Symbols" w:hAnsi="Noto Sans Symbols" w:cs="Noto Sans Symbols"/>
      </w:rPr>
    </w:lvl>
  </w:abstractNum>
  <w:abstractNum w:abstractNumId="7" w15:restartNumberingAfterBreak="0">
    <w:nsid w:val="57CE3B95"/>
    <w:multiLevelType w:val="multilevel"/>
    <w:tmpl w:val="FAA8B1EE"/>
    <w:lvl w:ilvl="0">
      <w:start w:val="1"/>
      <w:numFmt w:val="bullet"/>
      <w:lvlText w:val="●"/>
      <w:lvlJc w:val="left"/>
      <w:pPr>
        <w:ind w:left="294" w:hanging="360"/>
      </w:pPr>
      <w:rPr>
        <w:rFonts w:ascii="Noto Sans Symbols" w:eastAsia="Noto Sans Symbols" w:hAnsi="Noto Sans Symbols" w:cs="Noto Sans Symbols"/>
      </w:rPr>
    </w:lvl>
    <w:lvl w:ilvl="1">
      <w:start w:val="1"/>
      <w:numFmt w:val="bullet"/>
      <w:lvlText w:val="o"/>
      <w:lvlJc w:val="left"/>
      <w:pPr>
        <w:ind w:left="1014" w:hanging="360"/>
      </w:pPr>
      <w:rPr>
        <w:rFonts w:ascii="Courier New" w:eastAsia="Courier New" w:hAnsi="Courier New" w:cs="Courier New"/>
      </w:rPr>
    </w:lvl>
    <w:lvl w:ilvl="2">
      <w:start w:val="1"/>
      <w:numFmt w:val="bullet"/>
      <w:lvlText w:val="▪"/>
      <w:lvlJc w:val="left"/>
      <w:pPr>
        <w:ind w:left="1734" w:hanging="360"/>
      </w:pPr>
      <w:rPr>
        <w:rFonts w:ascii="Noto Sans Symbols" w:eastAsia="Noto Sans Symbols" w:hAnsi="Noto Sans Symbols" w:cs="Noto Sans Symbols"/>
      </w:rPr>
    </w:lvl>
    <w:lvl w:ilvl="3">
      <w:start w:val="1"/>
      <w:numFmt w:val="bullet"/>
      <w:lvlText w:val="●"/>
      <w:lvlJc w:val="left"/>
      <w:pPr>
        <w:ind w:left="2454" w:hanging="360"/>
      </w:pPr>
      <w:rPr>
        <w:rFonts w:ascii="Noto Sans Symbols" w:eastAsia="Noto Sans Symbols" w:hAnsi="Noto Sans Symbols" w:cs="Noto Sans Symbols"/>
      </w:rPr>
    </w:lvl>
    <w:lvl w:ilvl="4">
      <w:start w:val="1"/>
      <w:numFmt w:val="bullet"/>
      <w:lvlText w:val="o"/>
      <w:lvlJc w:val="left"/>
      <w:pPr>
        <w:ind w:left="3174" w:hanging="360"/>
      </w:pPr>
      <w:rPr>
        <w:rFonts w:ascii="Courier New" w:eastAsia="Courier New" w:hAnsi="Courier New" w:cs="Courier New"/>
      </w:rPr>
    </w:lvl>
    <w:lvl w:ilvl="5">
      <w:start w:val="1"/>
      <w:numFmt w:val="bullet"/>
      <w:lvlText w:val="▪"/>
      <w:lvlJc w:val="left"/>
      <w:pPr>
        <w:ind w:left="3894" w:hanging="360"/>
      </w:pPr>
      <w:rPr>
        <w:rFonts w:ascii="Noto Sans Symbols" w:eastAsia="Noto Sans Symbols" w:hAnsi="Noto Sans Symbols" w:cs="Noto Sans Symbols"/>
      </w:rPr>
    </w:lvl>
    <w:lvl w:ilvl="6">
      <w:start w:val="1"/>
      <w:numFmt w:val="bullet"/>
      <w:lvlText w:val="●"/>
      <w:lvlJc w:val="left"/>
      <w:pPr>
        <w:ind w:left="4614" w:hanging="360"/>
      </w:pPr>
      <w:rPr>
        <w:rFonts w:ascii="Noto Sans Symbols" w:eastAsia="Noto Sans Symbols" w:hAnsi="Noto Sans Symbols" w:cs="Noto Sans Symbols"/>
      </w:rPr>
    </w:lvl>
    <w:lvl w:ilvl="7">
      <w:start w:val="1"/>
      <w:numFmt w:val="bullet"/>
      <w:lvlText w:val="o"/>
      <w:lvlJc w:val="left"/>
      <w:pPr>
        <w:ind w:left="5334" w:hanging="360"/>
      </w:pPr>
      <w:rPr>
        <w:rFonts w:ascii="Courier New" w:eastAsia="Courier New" w:hAnsi="Courier New" w:cs="Courier New"/>
      </w:rPr>
    </w:lvl>
    <w:lvl w:ilvl="8">
      <w:start w:val="1"/>
      <w:numFmt w:val="bullet"/>
      <w:lvlText w:val="▪"/>
      <w:lvlJc w:val="left"/>
      <w:pPr>
        <w:ind w:left="6054" w:hanging="360"/>
      </w:pPr>
      <w:rPr>
        <w:rFonts w:ascii="Noto Sans Symbols" w:eastAsia="Noto Sans Symbols" w:hAnsi="Noto Sans Symbols" w:cs="Noto Sans Symbols"/>
      </w:rPr>
    </w:lvl>
  </w:abstractNum>
  <w:abstractNum w:abstractNumId="8" w15:restartNumberingAfterBreak="0">
    <w:nsid w:val="58F60BEF"/>
    <w:multiLevelType w:val="multilevel"/>
    <w:tmpl w:val="F53EEA9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1EA1BE8"/>
    <w:multiLevelType w:val="multilevel"/>
    <w:tmpl w:val="AEC8A6B2"/>
    <w:lvl w:ilvl="0">
      <w:start w:val="1"/>
      <w:numFmt w:val="bullet"/>
      <w:lvlText w:val="●"/>
      <w:lvlJc w:val="left"/>
      <w:pPr>
        <w:ind w:left="294" w:hanging="360"/>
      </w:pPr>
      <w:rPr>
        <w:rFonts w:ascii="Noto Sans Symbols" w:eastAsia="Noto Sans Symbols" w:hAnsi="Noto Sans Symbols" w:cs="Noto Sans Symbols"/>
      </w:rPr>
    </w:lvl>
    <w:lvl w:ilvl="1">
      <w:start w:val="1"/>
      <w:numFmt w:val="bullet"/>
      <w:lvlText w:val="o"/>
      <w:lvlJc w:val="left"/>
      <w:pPr>
        <w:ind w:left="1014" w:hanging="360"/>
      </w:pPr>
      <w:rPr>
        <w:rFonts w:ascii="Courier New" w:eastAsia="Courier New" w:hAnsi="Courier New" w:cs="Courier New"/>
      </w:rPr>
    </w:lvl>
    <w:lvl w:ilvl="2">
      <w:start w:val="1"/>
      <w:numFmt w:val="bullet"/>
      <w:lvlText w:val="▪"/>
      <w:lvlJc w:val="left"/>
      <w:pPr>
        <w:ind w:left="1734" w:hanging="360"/>
      </w:pPr>
      <w:rPr>
        <w:rFonts w:ascii="Noto Sans Symbols" w:eastAsia="Noto Sans Symbols" w:hAnsi="Noto Sans Symbols" w:cs="Noto Sans Symbols"/>
      </w:rPr>
    </w:lvl>
    <w:lvl w:ilvl="3">
      <w:start w:val="1"/>
      <w:numFmt w:val="bullet"/>
      <w:lvlText w:val="●"/>
      <w:lvlJc w:val="left"/>
      <w:pPr>
        <w:ind w:left="2454" w:hanging="360"/>
      </w:pPr>
      <w:rPr>
        <w:rFonts w:ascii="Noto Sans Symbols" w:eastAsia="Noto Sans Symbols" w:hAnsi="Noto Sans Symbols" w:cs="Noto Sans Symbols"/>
      </w:rPr>
    </w:lvl>
    <w:lvl w:ilvl="4">
      <w:start w:val="1"/>
      <w:numFmt w:val="bullet"/>
      <w:lvlText w:val="o"/>
      <w:lvlJc w:val="left"/>
      <w:pPr>
        <w:ind w:left="3174" w:hanging="360"/>
      </w:pPr>
      <w:rPr>
        <w:rFonts w:ascii="Courier New" w:eastAsia="Courier New" w:hAnsi="Courier New" w:cs="Courier New"/>
      </w:rPr>
    </w:lvl>
    <w:lvl w:ilvl="5">
      <w:start w:val="1"/>
      <w:numFmt w:val="bullet"/>
      <w:lvlText w:val="▪"/>
      <w:lvlJc w:val="left"/>
      <w:pPr>
        <w:ind w:left="3894" w:hanging="360"/>
      </w:pPr>
      <w:rPr>
        <w:rFonts w:ascii="Noto Sans Symbols" w:eastAsia="Noto Sans Symbols" w:hAnsi="Noto Sans Symbols" w:cs="Noto Sans Symbols"/>
      </w:rPr>
    </w:lvl>
    <w:lvl w:ilvl="6">
      <w:start w:val="1"/>
      <w:numFmt w:val="bullet"/>
      <w:lvlText w:val="●"/>
      <w:lvlJc w:val="left"/>
      <w:pPr>
        <w:ind w:left="4614" w:hanging="360"/>
      </w:pPr>
      <w:rPr>
        <w:rFonts w:ascii="Noto Sans Symbols" w:eastAsia="Noto Sans Symbols" w:hAnsi="Noto Sans Symbols" w:cs="Noto Sans Symbols"/>
      </w:rPr>
    </w:lvl>
    <w:lvl w:ilvl="7">
      <w:start w:val="1"/>
      <w:numFmt w:val="bullet"/>
      <w:lvlText w:val="o"/>
      <w:lvlJc w:val="left"/>
      <w:pPr>
        <w:ind w:left="5334" w:hanging="360"/>
      </w:pPr>
      <w:rPr>
        <w:rFonts w:ascii="Courier New" w:eastAsia="Courier New" w:hAnsi="Courier New" w:cs="Courier New"/>
      </w:rPr>
    </w:lvl>
    <w:lvl w:ilvl="8">
      <w:start w:val="1"/>
      <w:numFmt w:val="bullet"/>
      <w:lvlText w:val="▪"/>
      <w:lvlJc w:val="left"/>
      <w:pPr>
        <w:ind w:left="6054" w:hanging="360"/>
      </w:pPr>
      <w:rPr>
        <w:rFonts w:ascii="Noto Sans Symbols" w:eastAsia="Noto Sans Symbols" w:hAnsi="Noto Sans Symbols" w:cs="Noto Sans Symbols"/>
      </w:rPr>
    </w:lvl>
  </w:abstractNum>
  <w:abstractNum w:abstractNumId="10" w15:restartNumberingAfterBreak="0">
    <w:nsid w:val="6E935A21"/>
    <w:multiLevelType w:val="multilevel"/>
    <w:tmpl w:val="E19E240A"/>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5522BBB"/>
    <w:multiLevelType w:val="multilevel"/>
    <w:tmpl w:val="ACD60E48"/>
    <w:lvl w:ilvl="0">
      <w:start w:val="1"/>
      <w:numFmt w:val="bullet"/>
      <w:lvlText w:val="●"/>
      <w:lvlJc w:val="left"/>
      <w:pPr>
        <w:ind w:left="294" w:hanging="360"/>
      </w:pPr>
      <w:rPr>
        <w:rFonts w:ascii="Noto Sans Symbols" w:eastAsia="Noto Sans Symbols" w:hAnsi="Noto Sans Symbols" w:cs="Noto Sans Symbols"/>
      </w:rPr>
    </w:lvl>
    <w:lvl w:ilvl="1">
      <w:start w:val="1"/>
      <w:numFmt w:val="bullet"/>
      <w:lvlText w:val="o"/>
      <w:lvlJc w:val="left"/>
      <w:pPr>
        <w:ind w:left="1014" w:hanging="360"/>
      </w:pPr>
      <w:rPr>
        <w:rFonts w:ascii="Courier New" w:eastAsia="Courier New" w:hAnsi="Courier New" w:cs="Courier New"/>
      </w:rPr>
    </w:lvl>
    <w:lvl w:ilvl="2">
      <w:start w:val="1"/>
      <w:numFmt w:val="bullet"/>
      <w:lvlText w:val="▪"/>
      <w:lvlJc w:val="left"/>
      <w:pPr>
        <w:ind w:left="1734" w:hanging="360"/>
      </w:pPr>
      <w:rPr>
        <w:rFonts w:ascii="Noto Sans Symbols" w:eastAsia="Noto Sans Symbols" w:hAnsi="Noto Sans Symbols" w:cs="Noto Sans Symbols"/>
      </w:rPr>
    </w:lvl>
    <w:lvl w:ilvl="3">
      <w:start w:val="1"/>
      <w:numFmt w:val="bullet"/>
      <w:lvlText w:val="●"/>
      <w:lvlJc w:val="left"/>
      <w:pPr>
        <w:ind w:left="2454" w:hanging="360"/>
      </w:pPr>
      <w:rPr>
        <w:rFonts w:ascii="Noto Sans Symbols" w:eastAsia="Noto Sans Symbols" w:hAnsi="Noto Sans Symbols" w:cs="Noto Sans Symbols"/>
      </w:rPr>
    </w:lvl>
    <w:lvl w:ilvl="4">
      <w:start w:val="1"/>
      <w:numFmt w:val="bullet"/>
      <w:lvlText w:val="o"/>
      <w:lvlJc w:val="left"/>
      <w:pPr>
        <w:ind w:left="3174" w:hanging="360"/>
      </w:pPr>
      <w:rPr>
        <w:rFonts w:ascii="Courier New" w:eastAsia="Courier New" w:hAnsi="Courier New" w:cs="Courier New"/>
      </w:rPr>
    </w:lvl>
    <w:lvl w:ilvl="5">
      <w:start w:val="1"/>
      <w:numFmt w:val="bullet"/>
      <w:lvlText w:val="▪"/>
      <w:lvlJc w:val="left"/>
      <w:pPr>
        <w:ind w:left="3894" w:hanging="360"/>
      </w:pPr>
      <w:rPr>
        <w:rFonts w:ascii="Noto Sans Symbols" w:eastAsia="Noto Sans Symbols" w:hAnsi="Noto Sans Symbols" w:cs="Noto Sans Symbols"/>
      </w:rPr>
    </w:lvl>
    <w:lvl w:ilvl="6">
      <w:start w:val="1"/>
      <w:numFmt w:val="bullet"/>
      <w:lvlText w:val="●"/>
      <w:lvlJc w:val="left"/>
      <w:pPr>
        <w:ind w:left="4614" w:hanging="360"/>
      </w:pPr>
      <w:rPr>
        <w:rFonts w:ascii="Noto Sans Symbols" w:eastAsia="Noto Sans Symbols" w:hAnsi="Noto Sans Symbols" w:cs="Noto Sans Symbols"/>
      </w:rPr>
    </w:lvl>
    <w:lvl w:ilvl="7">
      <w:start w:val="1"/>
      <w:numFmt w:val="bullet"/>
      <w:lvlText w:val="o"/>
      <w:lvlJc w:val="left"/>
      <w:pPr>
        <w:ind w:left="5334" w:hanging="360"/>
      </w:pPr>
      <w:rPr>
        <w:rFonts w:ascii="Courier New" w:eastAsia="Courier New" w:hAnsi="Courier New" w:cs="Courier New"/>
      </w:rPr>
    </w:lvl>
    <w:lvl w:ilvl="8">
      <w:start w:val="1"/>
      <w:numFmt w:val="bullet"/>
      <w:lvlText w:val="▪"/>
      <w:lvlJc w:val="left"/>
      <w:pPr>
        <w:ind w:left="6054" w:hanging="360"/>
      </w:pPr>
      <w:rPr>
        <w:rFonts w:ascii="Noto Sans Symbols" w:eastAsia="Noto Sans Symbols" w:hAnsi="Noto Sans Symbols" w:cs="Noto Sans Symbols"/>
      </w:rPr>
    </w:lvl>
  </w:abstractNum>
  <w:num w:numId="1" w16cid:durableId="1939411579">
    <w:abstractNumId w:val="3"/>
  </w:num>
  <w:num w:numId="2" w16cid:durableId="1402218748">
    <w:abstractNumId w:val="6"/>
  </w:num>
  <w:num w:numId="3" w16cid:durableId="2111585015">
    <w:abstractNumId w:val="11"/>
  </w:num>
  <w:num w:numId="4" w16cid:durableId="1730030019">
    <w:abstractNumId w:val="5"/>
  </w:num>
  <w:num w:numId="5" w16cid:durableId="565267806">
    <w:abstractNumId w:val="2"/>
  </w:num>
  <w:num w:numId="6" w16cid:durableId="149904455">
    <w:abstractNumId w:val="8"/>
  </w:num>
  <w:num w:numId="7" w16cid:durableId="486632492">
    <w:abstractNumId w:val="1"/>
  </w:num>
  <w:num w:numId="8" w16cid:durableId="2144959326">
    <w:abstractNumId w:val="10"/>
  </w:num>
  <w:num w:numId="9" w16cid:durableId="1649241119">
    <w:abstractNumId w:val="0"/>
  </w:num>
  <w:num w:numId="10" w16cid:durableId="1540165583">
    <w:abstractNumId w:val="7"/>
  </w:num>
  <w:num w:numId="11" w16cid:durableId="95951186">
    <w:abstractNumId w:val="4"/>
  </w:num>
  <w:num w:numId="12" w16cid:durableId="16562962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B63"/>
    <w:rsid w:val="00163EF0"/>
    <w:rsid w:val="00BC4666"/>
    <w:rsid w:val="00CE1B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45397"/>
  <w15:docId w15:val="{E2BE5A58-113C-4653-9165-F8CE9BA67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51" w:after="0" w:line="240" w:lineRule="auto"/>
      <w:ind w:left="2271"/>
      <w:outlineLvl w:val="0"/>
    </w:pPr>
    <w:rPr>
      <w:rFonts w:ascii="Arial" w:eastAsia="Arial" w:hAnsi="Arial" w:cs="Arial"/>
      <w:b/>
      <w:sz w:val="40"/>
      <w:szCs w:val="4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a">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e">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0">
    <w:basedOn w:val="TableNormal"/>
    <w:pPr>
      <w:spacing w:after="0" w:line="240" w:lineRule="auto"/>
    </w:pPr>
    <w:rPr>
      <w:rFonts w:ascii="Cambria" w:eastAsia="Cambria" w:hAnsi="Cambria" w:cs="Cambria"/>
    </w:rPr>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85" w:type="dxa"/>
        <w:left w:w="115" w:type="dxa"/>
        <w:bottom w:w="8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4751</Words>
  <Characters>27083</Characters>
  <Application>Microsoft Office Word</Application>
  <DocSecurity>0</DocSecurity>
  <Lines>225</Lines>
  <Paragraphs>63</Paragraphs>
  <ScaleCrop>false</ScaleCrop>
  <Company/>
  <LinksUpToDate>false</LinksUpToDate>
  <CharactersWithSpaces>31771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Giuseppe Raciti</cp:lastModifiedBy>
  <cp:revision>2</cp:revision>
  <dcterms:created xsi:type="dcterms:W3CDTF">2023-06-22T14:42:00Z</dcterms:created>
  <dcterms:modified xsi:type="dcterms:W3CDTF">2023-06-22T14:42:00Z</dcterms:modified>
</cp:coreProperties>
</file>