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1290"/>
        <w:gridCol w:w="1454"/>
        <w:gridCol w:w="1586"/>
        <w:gridCol w:w="3342"/>
      </w:tblGrid>
      <w:tr w14:paraId="18C1A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5"/>
          </w:tcPr>
          <w:p w14:paraId="1BF896C4">
            <w:pPr>
              <w:keepNext w:val="0"/>
              <w:keepLines w:val="0"/>
              <w:suppressLineNumbers w:val="0"/>
              <w:tabs>
                <w:tab w:val="left" w:pos="4244"/>
              </w:tabs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行未来教育集团</w:t>
            </w:r>
            <w:r>
              <w:rPr>
                <w:rFonts w:hint="default"/>
                <w:b/>
                <w:bCs/>
                <w:sz w:val="28"/>
                <w:szCs w:val="28"/>
              </w:rPr>
              <w:t>个性化试卷分析模板</w:t>
            </w:r>
          </w:p>
        </w:tc>
      </w:tr>
      <w:tr w14:paraId="1DB49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3FD7C3C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学生姓名</w:t>
            </w:r>
          </w:p>
        </w:tc>
        <w:tc>
          <w:tcPr>
            <w:tcW w:w="2744" w:type="dxa"/>
            <w:gridSpan w:val="2"/>
          </w:tcPr>
          <w:p w14:paraId="1AF5160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2308B20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学校年级</w:t>
            </w:r>
          </w:p>
        </w:tc>
        <w:tc>
          <w:tcPr>
            <w:tcW w:w="3342" w:type="dxa"/>
          </w:tcPr>
          <w:p w14:paraId="166A91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天津高三</w:t>
            </w:r>
          </w:p>
        </w:tc>
      </w:tr>
      <w:tr w14:paraId="52701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575BB4F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教师姓名</w:t>
            </w:r>
          </w:p>
        </w:tc>
        <w:tc>
          <w:tcPr>
            <w:tcW w:w="2744" w:type="dxa"/>
            <w:gridSpan w:val="2"/>
          </w:tcPr>
          <w:p w14:paraId="724D1FB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5E1FBB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任教学科</w:t>
            </w:r>
          </w:p>
        </w:tc>
        <w:tc>
          <w:tcPr>
            <w:tcW w:w="3342" w:type="dxa"/>
          </w:tcPr>
          <w:p w14:paraId="5C591E3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语文</w:t>
            </w:r>
          </w:p>
        </w:tc>
      </w:tr>
      <w:tr w14:paraId="4D6CE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523D443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已学课时/单科总课时</w:t>
            </w:r>
          </w:p>
        </w:tc>
        <w:tc>
          <w:tcPr>
            <w:tcW w:w="2744" w:type="dxa"/>
            <w:gridSpan w:val="2"/>
          </w:tcPr>
          <w:p w14:paraId="11D132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10小时/40小时</w:t>
            </w:r>
          </w:p>
        </w:tc>
        <w:tc>
          <w:tcPr>
            <w:tcW w:w="1586" w:type="dxa"/>
          </w:tcPr>
          <w:p w14:paraId="64F4639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考试类型</w:t>
            </w:r>
          </w:p>
        </w:tc>
        <w:tc>
          <w:tcPr>
            <w:tcW w:w="3342" w:type="dxa"/>
          </w:tcPr>
          <w:p w14:paraId="11644AE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校考（月考、期中、期末）/</w:t>
            </w:r>
            <w:r>
              <w:rPr>
                <w:rFonts w:hint="eastAsia"/>
                <w:lang w:val="en-US" w:eastAsia="zh-CN"/>
              </w:rPr>
              <w:t>内部</w:t>
            </w:r>
            <w:r>
              <w:rPr>
                <w:rFonts w:hint="default"/>
              </w:rPr>
              <w:t>考</w:t>
            </w:r>
          </w:p>
        </w:tc>
      </w:tr>
      <w:tr w14:paraId="4FF9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53B70F2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入学成绩/排名</w:t>
            </w:r>
          </w:p>
        </w:tc>
        <w:tc>
          <w:tcPr>
            <w:tcW w:w="2744" w:type="dxa"/>
            <w:gridSpan w:val="2"/>
          </w:tcPr>
          <w:p w14:paraId="5C17A55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90分/500名</w:t>
            </w:r>
          </w:p>
        </w:tc>
        <w:tc>
          <w:tcPr>
            <w:tcW w:w="1586" w:type="dxa"/>
          </w:tcPr>
          <w:p w14:paraId="09611871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本次成绩/排名</w:t>
            </w:r>
          </w:p>
        </w:tc>
        <w:tc>
          <w:tcPr>
            <w:tcW w:w="3342" w:type="dxa"/>
          </w:tcPr>
          <w:p w14:paraId="2ED626E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85分/550分</w:t>
            </w:r>
          </w:p>
        </w:tc>
      </w:tr>
      <w:tr w14:paraId="2E2EB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restart"/>
            <w:vAlign w:val="center"/>
          </w:tcPr>
          <w:p w14:paraId="5C6B116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成绩变化原因分析</w:t>
            </w:r>
          </w:p>
        </w:tc>
        <w:tc>
          <w:tcPr>
            <w:tcW w:w="1290" w:type="dxa"/>
            <w:vAlign w:val="center"/>
          </w:tcPr>
          <w:p w14:paraId="37CE3EC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学生角度</w:t>
            </w:r>
          </w:p>
        </w:tc>
        <w:tc>
          <w:tcPr>
            <w:tcW w:w="6382" w:type="dxa"/>
            <w:gridSpan w:val="3"/>
          </w:tcPr>
          <w:p w14:paraId="020D5F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.记忆与理解方面：文言文阅读实词和虚词均出现错误，主要是基础知识积累较少，语法知识掌握不扎实；文学类文本阅读中有关文段理解的试题得分较低，一直以来，孩子在理解力方面都存在问题，之前家长会也有沟通这个问题。</w:t>
            </w:r>
          </w:p>
          <w:p w14:paraId="719C551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2.方法与技能掌握：基础知识部分语病的辨析与修改，主要是凭借语感，缺少语法知识与快速判断的技巧的支撑，孩子本身也不会进行规律性的总结，又觉得这些总结起来太麻烦，惰性使然。</w:t>
            </w:r>
          </w:p>
          <w:p w14:paraId="5FDF9AF2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3.审题意识与方法：作文审题很关键，也一直是孩子的薄弱点，但由于我们补习的时间不长，该方面的内容还没有讲解到。</w:t>
            </w:r>
          </w:p>
          <w:p w14:paraId="1E8C6C44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4.时间分配：由于孩子薄弱点较多，在做题时，反复琢磨，造成时间不够用，每次作文都是草草了事。</w:t>
            </w:r>
          </w:p>
          <w:p w14:paraId="74614153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5.主观性试题及作文字迹问题：缺少分点答题的意识，一直跟孩子强调，但还是没有改正，意识还是薄弱。</w:t>
            </w:r>
          </w:p>
          <w:p w14:paraId="49C977C7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6.学习兴趣与动机：这个也是影响学习效果的关键性因素，主观能动性不强，势必影响学习积极性，效果自然会打折扣。</w:t>
            </w:r>
          </w:p>
        </w:tc>
      </w:tr>
      <w:tr w14:paraId="19EA9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continue"/>
          </w:tcPr>
          <w:p w14:paraId="435343E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31ACAF3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教师角度</w:t>
            </w:r>
          </w:p>
        </w:tc>
        <w:tc>
          <w:tcPr>
            <w:tcW w:w="6382" w:type="dxa"/>
            <w:gridSpan w:val="3"/>
          </w:tcPr>
          <w:p w14:paraId="3217E01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如：考试范围与补习内容匹配度，教法与学生学习能力匹配度</w:t>
            </w:r>
          </w:p>
          <w:p w14:paraId="5C7067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.复习范围：先从语文最基础的知识入手进行讲解，这样做的目的是夯实基础，做好积累，然后才能实现能力的提升，目前我们讲解了词语辨析、语言表达、语病辨析与修改、图文转换等专题模块，除了语病这次错误外，其它试题均没有失分。</w:t>
            </w:r>
          </w:p>
          <w:p w14:paraId="34FF5A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2.教法：孩子缺少学好语文的动力，在这方面虽有引导，但还不够，课上还应多增加趣味性的内容，至少让孩子先不厌倦，这样才能深入进去。</w:t>
            </w:r>
          </w:p>
        </w:tc>
      </w:tr>
      <w:tr w14:paraId="1548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continue"/>
          </w:tcPr>
          <w:p w14:paraId="20C7A68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3748A08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其它原因</w:t>
            </w:r>
          </w:p>
        </w:tc>
        <w:tc>
          <w:tcPr>
            <w:tcW w:w="6382" w:type="dxa"/>
            <w:gridSpan w:val="3"/>
          </w:tcPr>
          <w:p w14:paraId="462DA63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还有这次是综合性考试，考查的知识点非常全面，且部分试题接近高考难度，孩子之前缺少这方面的训练，从心理上还是有恐惧心理。</w:t>
            </w:r>
          </w:p>
        </w:tc>
      </w:tr>
      <w:tr w14:paraId="2649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restart"/>
            <w:vAlign w:val="center"/>
          </w:tcPr>
          <w:p w14:paraId="50DA33AF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方案调整及应对措施</w:t>
            </w:r>
          </w:p>
        </w:tc>
        <w:tc>
          <w:tcPr>
            <w:tcW w:w="1290" w:type="dxa"/>
            <w:vAlign w:val="center"/>
          </w:tcPr>
          <w:p w14:paraId="4A4D487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教师教学</w:t>
            </w:r>
          </w:p>
        </w:tc>
        <w:tc>
          <w:tcPr>
            <w:tcW w:w="6382" w:type="dxa"/>
            <w:gridSpan w:val="3"/>
          </w:tcPr>
          <w:p w14:paraId="01C41B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1.基础知识部分：继续进行夯实，增加习题的训练，拓展知识面</w:t>
            </w:r>
          </w:p>
          <w:p w14:paraId="3402925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文言文专题部分：讲解古代汉语语法知识，抓住该专题的本质，虽然学习来会困难，也会枯燥，但这是破解该专题的关键；同时注重知识的迁移训练，并进行词句的积累，增加词汇量；第三，帮助孩子解决畏难心理，这也是学好文言文的前提。</w:t>
            </w:r>
          </w:p>
          <w:p w14:paraId="3D51B4AD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3.古代诗歌鉴赏部分：如果读懂一首诗是必备功课，也是做好题的关键，注重有关文学知识的积累；另外按照题型进行讲解，每一种题型都有对应的理论和答题技巧。</w:t>
            </w:r>
          </w:p>
          <w:p w14:paraId="74EB12CC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4.文学类文本阅读部分：散文的知识体系搭建和题型的应对策略是该专题主要解决的问题，另外得加强习题的迁移训练，必要的时候也会总结中国近现代文学知识，拓展孩子的视野，增强孩子的理解能力。</w:t>
            </w:r>
          </w:p>
        </w:tc>
      </w:tr>
      <w:tr w14:paraId="1276A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continue"/>
          </w:tcPr>
          <w:p w14:paraId="3AD7CBA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14C8966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学生配合</w:t>
            </w:r>
          </w:p>
        </w:tc>
        <w:tc>
          <w:tcPr>
            <w:tcW w:w="6382" w:type="dxa"/>
            <w:gridSpan w:val="3"/>
          </w:tcPr>
          <w:p w14:paraId="050100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1.按时按量按质完成作业，特别是需要背诵和记忆的作业，这些虽然会枯燥乏味，但确是盖好高楼的基础，其实，学习并非全是快乐的，得要认识到这一点。</w:t>
            </w:r>
          </w:p>
          <w:p w14:paraId="248EAE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2.课上一定要多思考，多提问，只有这样才能提高思维力，光靠听讲是无法消化和吸收知识的。</w:t>
            </w:r>
          </w:p>
          <w:p w14:paraId="26CA455D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3.遇到困难，可以向老师寻求帮助，减轻心理负担，也能提高学习效率和学习效果。</w:t>
            </w:r>
          </w:p>
        </w:tc>
      </w:tr>
      <w:tr w14:paraId="475B5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  <w:vMerge w:val="continue"/>
          </w:tcPr>
          <w:p w14:paraId="6957F00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0" w:type="dxa"/>
            <w:vAlign w:val="center"/>
          </w:tcPr>
          <w:p w14:paraId="429CF0E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家长配合</w:t>
            </w:r>
          </w:p>
        </w:tc>
        <w:tc>
          <w:tcPr>
            <w:tcW w:w="6382" w:type="dxa"/>
            <w:gridSpan w:val="3"/>
            <w:tcBorders>
              <w:bottom w:val="nil"/>
            </w:tcBorders>
          </w:tcPr>
          <w:p w14:paraId="1A4B70A4">
            <w:pPr>
              <w:pStyle w:val="2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textAlignment w:val="auto"/>
              <w:rPr>
                <w:rFonts w:hint="default" w:ascii="Times New Roman" w:hAnsi="Times New Roman" w:eastAsia="宋体" w:cs="Times New Roman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lang w:val="en-US"/>
              </w:rPr>
              <w:t>1.及时提醒孩子完成作业</w:t>
            </w:r>
          </w:p>
          <w:p w14:paraId="026D2BE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2.适时根据孩子的状态，进行具体沟通，确保孩子有明确的学习目标，增强学习的动力；不能因为是高三，怕与孩子进行冲撞而不沟通。</w:t>
            </w:r>
          </w:p>
          <w:p w14:paraId="3DF5C5D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0" w:beforeAutospacing="0" w:after="0" w:afterAutospacing="0" w:line="336" w:lineRule="auto"/>
              <w:ind w:left="0" w:right="0"/>
              <w:jc w:val="left"/>
              <w:textAlignment w:val="auto"/>
              <w:rPr>
                <w:rFonts w:hint="default"/>
              </w:rPr>
            </w:pPr>
            <w:r>
              <w:rPr>
                <w:rFonts w:hint="default"/>
              </w:rPr>
              <w:t>3.家长也要做好情绪管理，可能我们的焦虑和担忧，不自觉地流露，同样会给孩子造成一定的压力，我们也要转移一下关注点，这样孩子也会看到我们的变化，自然孩子也会管理自我情绪。</w:t>
            </w:r>
          </w:p>
        </w:tc>
      </w:tr>
      <w:tr w14:paraId="370B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28615D43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教师签字</w:t>
            </w:r>
          </w:p>
        </w:tc>
        <w:tc>
          <w:tcPr>
            <w:tcW w:w="2744" w:type="dxa"/>
            <w:gridSpan w:val="2"/>
          </w:tcPr>
          <w:p w14:paraId="764D545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107BA7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学管师签字</w:t>
            </w:r>
          </w:p>
        </w:tc>
        <w:tc>
          <w:tcPr>
            <w:tcW w:w="3342" w:type="dxa"/>
          </w:tcPr>
          <w:p w14:paraId="23B90385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</w:tr>
      <w:tr w14:paraId="1BA2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2" w:type="dxa"/>
          </w:tcPr>
          <w:p w14:paraId="6E3C2EE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教管主任签字</w:t>
            </w:r>
          </w:p>
        </w:tc>
        <w:tc>
          <w:tcPr>
            <w:tcW w:w="2744" w:type="dxa"/>
            <w:gridSpan w:val="2"/>
          </w:tcPr>
          <w:p w14:paraId="3A767C9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  <w:tc>
          <w:tcPr>
            <w:tcW w:w="1586" w:type="dxa"/>
          </w:tcPr>
          <w:p w14:paraId="2FDB273D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家长签字</w:t>
            </w:r>
          </w:p>
        </w:tc>
        <w:tc>
          <w:tcPr>
            <w:tcW w:w="3342" w:type="dxa"/>
          </w:tcPr>
          <w:p w14:paraId="10560E36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XXX</w:t>
            </w:r>
          </w:p>
        </w:tc>
      </w:tr>
    </w:tbl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A5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微软雅黑" w:hAnsi="微软雅黑" w:eastAsia="微软雅黑" w:cs="微软雅黑"/>
      <w:szCs w:val="21"/>
      <w:lang w:val="zh-CN" w:bidi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2026-08-27T03:51:47Z</dcterms:created>
  <dc:creator>wangdonghui</dc:creator>
  <cp:lastModifiedBy>IUH</cp:lastModifiedBy>
  <dcterms:modified xsi:type="dcterms:W3CDTF">2026-08-27T03:52:38Z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eyJoZGlkIjoiNmNjZTM1MDFjMzExNDU2NzczODQ3N2YzYWY2MmYxMWEiLCJ1c2VySWQiOiIyNTk3NjM4NDMifQ==</vt:lpwstr>
  </property>
  <property fmtid="{D5CDD505-2E9C-101B-9397-08002B2CF9AE}" pid="4" name="ICV">
    <vt:lpwstr>EFDF4D13D52A4848B03829C10E6E6A43_12</vt:lpwstr>
  </property>
</Properties>
</file>