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1030"/>
        <w:gridCol w:w="1290"/>
        <w:gridCol w:w="1454"/>
        <w:gridCol w:w="1586"/>
        <w:gridCol w:w="877"/>
        <w:gridCol w:w="2465"/>
      </w:tblGrid>
      <w:tr w14:paraId="660F3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7"/>
          </w:tcPr>
          <w:p w14:paraId="71A17FCF">
            <w:pPr>
              <w:keepNext w:val="0"/>
              <w:keepLines w:val="0"/>
              <w:suppressLineNumbers w:val="0"/>
              <w:tabs>
                <w:tab w:val="left" w:pos="4244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行未来教育集团</w:t>
            </w:r>
            <w:r>
              <w:rPr>
                <w:rFonts w:hint="default"/>
                <w:b/>
                <w:bCs/>
                <w:sz w:val="28"/>
                <w:szCs w:val="28"/>
              </w:rPr>
              <w:t>个性化试卷分析模板</w:t>
            </w:r>
          </w:p>
        </w:tc>
      </w:tr>
      <w:tr w14:paraId="040F1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  <w:gridSpan w:val="2"/>
          </w:tcPr>
          <w:p w14:paraId="31A7531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学生姓名</w:t>
            </w:r>
          </w:p>
        </w:tc>
        <w:tc>
          <w:tcPr>
            <w:tcW w:w="2744" w:type="dxa"/>
            <w:gridSpan w:val="2"/>
          </w:tcPr>
          <w:p w14:paraId="2FFA6E0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XXX</w:t>
            </w:r>
          </w:p>
        </w:tc>
        <w:tc>
          <w:tcPr>
            <w:tcW w:w="1586" w:type="dxa"/>
          </w:tcPr>
          <w:p w14:paraId="1502725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学校年级</w:t>
            </w:r>
          </w:p>
        </w:tc>
        <w:tc>
          <w:tcPr>
            <w:tcW w:w="3342" w:type="dxa"/>
            <w:gridSpan w:val="2"/>
          </w:tcPr>
          <w:p w14:paraId="51A358E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天津高三</w:t>
            </w:r>
          </w:p>
        </w:tc>
      </w:tr>
      <w:tr w14:paraId="6FBD3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  <w:gridSpan w:val="2"/>
          </w:tcPr>
          <w:p w14:paraId="22F5D48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教师姓名</w:t>
            </w:r>
          </w:p>
        </w:tc>
        <w:tc>
          <w:tcPr>
            <w:tcW w:w="2744" w:type="dxa"/>
            <w:gridSpan w:val="2"/>
          </w:tcPr>
          <w:p w14:paraId="7B52015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XXX</w:t>
            </w:r>
          </w:p>
        </w:tc>
        <w:tc>
          <w:tcPr>
            <w:tcW w:w="1586" w:type="dxa"/>
          </w:tcPr>
          <w:p w14:paraId="0BB2607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任教学科</w:t>
            </w:r>
          </w:p>
        </w:tc>
        <w:tc>
          <w:tcPr>
            <w:tcW w:w="3342" w:type="dxa"/>
            <w:gridSpan w:val="2"/>
          </w:tcPr>
          <w:p w14:paraId="767EA48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  <w:tr w14:paraId="446FE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  <w:gridSpan w:val="2"/>
          </w:tcPr>
          <w:p w14:paraId="6EE8DFD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已学课时/单科总课时</w:t>
            </w:r>
          </w:p>
        </w:tc>
        <w:tc>
          <w:tcPr>
            <w:tcW w:w="2744" w:type="dxa"/>
            <w:gridSpan w:val="2"/>
          </w:tcPr>
          <w:p w14:paraId="2EFC8DC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10小时/40小时</w:t>
            </w:r>
          </w:p>
        </w:tc>
        <w:tc>
          <w:tcPr>
            <w:tcW w:w="1586" w:type="dxa"/>
          </w:tcPr>
          <w:p w14:paraId="5C98225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考试类型</w:t>
            </w:r>
          </w:p>
        </w:tc>
        <w:tc>
          <w:tcPr>
            <w:tcW w:w="3342" w:type="dxa"/>
            <w:gridSpan w:val="2"/>
          </w:tcPr>
          <w:p w14:paraId="0733CAD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校考（月考、期中、期末）/</w:t>
            </w:r>
            <w:r>
              <w:rPr>
                <w:rFonts w:hint="eastAsia"/>
                <w:lang w:val="en-US" w:eastAsia="zh-CN"/>
              </w:rPr>
              <w:t>内部</w:t>
            </w:r>
            <w:r>
              <w:rPr>
                <w:rFonts w:hint="default"/>
              </w:rPr>
              <w:t>考</w:t>
            </w:r>
          </w:p>
        </w:tc>
      </w:tr>
      <w:tr w14:paraId="3EBCD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  <w:gridSpan w:val="2"/>
          </w:tcPr>
          <w:p w14:paraId="277A9A0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入学成绩/排名</w:t>
            </w:r>
          </w:p>
        </w:tc>
        <w:tc>
          <w:tcPr>
            <w:tcW w:w="2744" w:type="dxa"/>
            <w:gridSpan w:val="2"/>
          </w:tcPr>
          <w:p w14:paraId="3D4BA0E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90分/500名</w:t>
            </w:r>
          </w:p>
        </w:tc>
        <w:tc>
          <w:tcPr>
            <w:tcW w:w="1586" w:type="dxa"/>
          </w:tcPr>
          <w:p w14:paraId="05AFCEE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本次成绩/排名</w:t>
            </w:r>
          </w:p>
        </w:tc>
        <w:tc>
          <w:tcPr>
            <w:tcW w:w="3342" w:type="dxa"/>
            <w:gridSpan w:val="2"/>
          </w:tcPr>
          <w:p w14:paraId="5B9DA56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85分/550分</w:t>
            </w:r>
          </w:p>
        </w:tc>
      </w:tr>
      <w:tr w14:paraId="58139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152" w:type="dxa"/>
            <w:vMerge w:val="restart"/>
            <w:vAlign w:val="center"/>
          </w:tcPr>
          <w:p w14:paraId="0CDDE85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错题分析</w:t>
            </w:r>
          </w:p>
        </w:tc>
        <w:tc>
          <w:tcPr>
            <w:tcW w:w="1030" w:type="dxa"/>
            <w:vAlign w:val="center"/>
          </w:tcPr>
          <w:p w14:paraId="0841479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题号</w:t>
            </w:r>
          </w:p>
        </w:tc>
        <w:tc>
          <w:tcPr>
            <w:tcW w:w="2744" w:type="dxa"/>
            <w:gridSpan w:val="2"/>
            <w:vAlign w:val="center"/>
          </w:tcPr>
          <w:p w14:paraId="59AB2EA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题目</w:t>
            </w:r>
          </w:p>
        </w:tc>
        <w:tc>
          <w:tcPr>
            <w:tcW w:w="2463" w:type="dxa"/>
            <w:gridSpan w:val="2"/>
            <w:vAlign w:val="center"/>
          </w:tcPr>
          <w:p w14:paraId="46B51E3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考点</w:t>
            </w:r>
          </w:p>
        </w:tc>
        <w:tc>
          <w:tcPr>
            <w:tcW w:w="2465" w:type="dxa"/>
            <w:vAlign w:val="center"/>
          </w:tcPr>
          <w:p w14:paraId="39A15F3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错因</w:t>
            </w:r>
          </w:p>
        </w:tc>
      </w:tr>
      <w:tr w14:paraId="07B5E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152" w:type="dxa"/>
            <w:vMerge w:val="continue"/>
            <w:vAlign w:val="center"/>
          </w:tcPr>
          <w:p w14:paraId="05BE06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</w:p>
        </w:tc>
        <w:tc>
          <w:tcPr>
            <w:tcW w:w="1030" w:type="dxa"/>
            <w:vAlign w:val="center"/>
          </w:tcPr>
          <w:p w14:paraId="6DFB903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2744" w:type="dxa"/>
            <w:gridSpan w:val="2"/>
            <w:vAlign w:val="center"/>
          </w:tcPr>
          <w:p w14:paraId="14EDDED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语病的辨析与修改</w:t>
            </w:r>
          </w:p>
        </w:tc>
        <w:tc>
          <w:tcPr>
            <w:tcW w:w="2463" w:type="dxa"/>
            <w:gridSpan w:val="2"/>
            <w:vAlign w:val="center"/>
          </w:tcPr>
          <w:p w14:paraId="352BC23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成分残缺、搭配不当</w:t>
            </w:r>
          </w:p>
        </w:tc>
        <w:tc>
          <w:tcPr>
            <w:tcW w:w="2465" w:type="dxa"/>
            <w:vAlign w:val="center"/>
          </w:tcPr>
          <w:p w14:paraId="4031C70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不会划分语法成分</w:t>
            </w:r>
          </w:p>
        </w:tc>
      </w:tr>
      <w:tr w14:paraId="3248F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152" w:type="dxa"/>
            <w:vMerge w:val="continue"/>
            <w:vAlign w:val="center"/>
          </w:tcPr>
          <w:p w14:paraId="181EC05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</w:p>
        </w:tc>
        <w:tc>
          <w:tcPr>
            <w:tcW w:w="1030" w:type="dxa"/>
            <w:vAlign w:val="center"/>
          </w:tcPr>
          <w:p w14:paraId="1C4AC9F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W w:w="2744" w:type="dxa"/>
            <w:gridSpan w:val="2"/>
            <w:vAlign w:val="center"/>
          </w:tcPr>
          <w:p w14:paraId="6BBF399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实词推断</w:t>
            </w:r>
          </w:p>
        </w:tc>
        <w:tc>
          <w:tcPr>
            <w:tcW w:w="2463" w:type="dxa"/>
            <w:gridSpan w:val="2"/>
            <w:vAlign w:val="center"/>
          </w:tcPr>
          <w:p w14:paraId="0D84A84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词类活用</w:t>
            </w:r>
          </w:p>
        </w:tc>
        <w:tc>
          <w:tcPr>
            <w:tcW w:w="2465" w:type="dxa"/>
            <w:vAlign w:val="center"/>
          </w:tcPr>
          <w:p w14:paraId="2EEC5D9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没有看出来有词类活用</w:t>
            </w:r>
          </w:p>
        </w:tc>
      </w:tr>
      <w:tr w14:paraId="57E82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152" w:type="dxa"/>
            <w:vMerge w:val="continue"/>
            <w:vAlign w:val="center"/>
          </w:tcPr>
          <w:p w14:paraId="7B46858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</w:p>
        </w:tc>
        <w:tc>
          <w:tcPr>
            <w:tcW w:w="1030" w:type="dxa"/>
            <w:vAlign w:val="center"/>
          </w:tcPr>
          <w:p w14:paraId="586A1A6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W w:w="2744" w:type="dxa"/>
            <w:gridSpan w:val="2"/>
            <w:vAlign w:val="center"/>
          </w:tcPr>
          <w:p w14:paraId="6883872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虚词</w:t>
            </w:r>
          </w:p>
        </w:tc>
        <w:tc>
          <w:tcPr>
            <w:tcW w:w="2463" w:type="dxa"/>
            <w:gridSpan w:val="2"/>
            <w:vAlign w:val="center"/>
          </w:tcPr>
          <w:p w14:paraId="2FB0107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“以”“为”意义和用法辨析</w:t>
            </w:r>
          </w:p>
        </w:tc>
        <w:tc>
          <w:tcPr>
            <w:tcW w:w="2465" w:type="dxa"/>
            <w:vAlign w:val="center"/>
          </w:tcPr>
          <w:p w14:paraId="4EC3522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无法区域“以”“为”的词性，更不能区分含义</w:t>
            </w:r>
          </w:p>
        </w:tc>
      </w:tr>
      <w:tr w14:paraId="0291E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1152" w:type="dxa"/>
            <w:vMerge w:val="continue"/>
            <w:vAlign w:val="center"/>
          </w:tcPr>
          <w:p w14:paraId="0BCB2FA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</w:p>
        </w:tc>
        <w:tc>
          <w:tcPr>
            <w:tcW w:w="1030" w:type="dxa"/>
            <w:vAlign w:val="center"/>
          </w:tcPr>
          <w:p w14:paraId="7CC233F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W w:w="2744" w:type="dxa"/>
            <w:gridSpan w:val="2"/>
            <w:vAlign w:val="center"/>
          </w:tcPr>
          <w:p w14:paraId="1283C1D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文言文翻译</w:t>
            </w:r>
          </w:p>
        </w:tc>
        <w:tc>
          <w:tcPr>
            <w:tcW w:w="2463" w:type="dxa"/>
            <w:gridSpan w:val="2"/>
            <w:vAlign w:val="center"/>
          </w:tcPr>
          <w:p w14:paraId="582A4F0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重点实词、虚词和宾语前置、被动句等</w:t>
            </w:r>
          </w:p>
        </w:tc>
        <w:tc>
          <w:tcPr>
            <w:tcW w:w="2465" w:type="dxa"/>
            <w:vAlign w:val="center"/>
          </w:tcPr>
          <w:p w14:paraId="0FACDF7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实词词类活用翻译不出来，宾语前置没有看出来</w:t>
            </w:r>
          </w:p>
        </w:tc>
      </w:tr>
      <w:tr w14:paraId="37DAD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1152" w:type="dxa"/>
            <w:vMerge w:val="continue"/>
            <w:vAlign w:val="center"/>
          </w:tcPr>
          <w:p w14:paraId="1EA3EDB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</w:p>
        </w:tc>
        <w:tc>
          <w:tcPr>
            <w:tcW w:w="1030" w:type="dxa"/>
            <w:vAlign w:val="center"/>
          </w:tcPr>
          <w:p w14:paraId="0C27A8B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14（3）</w:t>
            </w:r>
          </w:p>
        </w:tc>
        <w:tc>
          <w:tcPr>
            <w:tcW w:w="2744" w:type="dxa"/>
            <w:gridSpan w:val="2"/>
            <w:vAlign w:val="center"/>
          </w:tcPr>
          <w:p w14:paraId="73F76E6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古代诗歌作者思想感情</w:t>
            </w:r>
          </w:p>
        </w:tc>
        <w:tc>
          <w:tcPr>
            <w:tcW w:w="2463" w:type="dxa"/>
            <w:gridSpan w:val="2"/>
            <w:vAlign w:val="center"/>
          </w:tcPr>
          <w:p w14:paraId="6FB6E58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山水田园类诗歌蕴含的情感</w:t>
            </w:r>
          </w:p>
        </w:tc>
        <w:tc>
          <w:tcPr>
            <w:tcW w:w="2465" w:type="dxa"/>
            <w:vAlign w:val="center"/>
          </w:tcPr>
          <w:p w14:paraId="343F077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要点不全面</w:t>
            </w:r>
          </w:p>
        </w:tc>
      </w:tr>
      <w:tr w14:paraId="3066D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1152" w:type="dxa"/>
            <w:vMerge w:val="continue"/>
            <w:vAlign w:val="center"/>
          </w:tcPr>
          <w:p w14:paraId="51C3E33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</w:p>
        </w:tc>
        <w:tc>
          <w:tcPr>
            <w:tcW w:w="1030" w:type="dxa"/>
            <w:vAlign w:val="center"/>
          </w:tcPr>
          <w:p w14:paraId="31D2BA4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W w:w="2744" w:type="dxa"/>
            <w:gridSpan w:val="2"/>
            <w:vAlign w:val="center"/>
          </w:tcPr>
          <w:p w14:paraId="42CA356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句子含义的理解</w:t>
            </w:r>
          </w:p>
        </w:tc>
        <w:tc>
          <w:tcPr>
            <w:tcW w:w="2463" w:type="dxa"/>
            <w:gridSpan w:val="2"/>
            <w:vAlign w:val="center"/>
          </w:tcPr>
          <w:p w14:paraId="1C7D303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结合语境理解句子含义</w:t>
            </w:r>
          </w:p>
        </w:tc>
        <w:tc>
          <w:tcPr>
            <w:tcW w:w="2465" w:type="dxa"/>
            <w:vAlign w:val="center"/>
          </w:tcPr>
          <w:p w14:paraId="0934FE7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理解力较弱，不能读懂文章</w:t>
            </w:r>
          </w:p>
        </w:tc>
      </w:tr>
      <w:tr w14:paraId="65D14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1152" w:type="dxa"/>
            <w:vMerge w:val="continue"/>
            <w:vAlign w:val="center"/>
          </w:tcPr>
          <w:p w14:paraId="16A3E5F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</w:p>
        </w:tc>
        <w:tc>
          <w:tcPr>
            <w:tcW w:w="1030" w:type="dxa"/>
            <w:vAlign w:val="center"/>
          </w:tcPr>
          <w:p w14:paraId="2CA6232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W w:w="2744" w:type="dxa"/>
            <w:gridSpan w:val="2"/>
            <w:vAlign w:val="center"/>
          </w:tcPr>
          <w:p w14:paraId="68BC14E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段落的作用</w:t>
            </w:r>
          </w:p>
        </w:tc>
        <w:tc>
          <w:tcPr>
            <w:tcW w:w="2463" w:type="dxa"/>
            <w:gridSpan w:val="2"/>
            <w:vAlign w:val="center"/>
          </w:tcPr>
          <w:p w14:paraId="52D28F6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开头段的作用</w:t>
            </w:r>
          </w:p>
        </w:tc>
        <w:tc>
          <w:tcPr>
            <w:tcW w:w="2465" w:type="dxa"/>
            <w:vAlign w:val="center"/>
          </w:tcPr>
          <w:p w14:paraId="797D1B6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要点不全，答题模板记忆的不准确</w:t>
            </w:r>
          </w:p>
        </w:tc>
      </w:tr>
      <w:tr w14:paraId="5368E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1152" w:type="dxa"/>
            <w:vMerge w:val="continue"/>
            <w:vAlign w:val="center"/>
          </w:tcPr>
          <w:p w14:paraId="29FA05B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</w:p>
        </w:tc>
        <w:tc>
          <w:tcPr>
            <w:tcW w:w="1030" w:type="dxa"/>
            <w:vAlign w:val="center"/>
          </w:tcPr>
          <w:p w14:paraId="3E9177D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W w:w="2744" w:type="dxa"/>
            <w:gridSpan w:val="2"/>
            <w:vAlign w:val="center"/>
          </w:tcPr>
          <w:p w14:paraId="6B070ED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名著阅读</w:t>
            </w:r>
          </w:p>
        </w:tc>
        <w:tc>
          <w:tcPr>
            <w:tcW w:w="2463" w:type="dxa"/>
            <w:gridSpan w:val="2"/>
            <w:vAlign w:val="center"/>
          </w:tcPr>
          <w:p w14:paraId="44963AC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红楼梦</w:t>
            </w:r>
          </w:p>
        </w:tc>
        <w:tc>
          <w:tcPr>
            <w:tcW w:w="2465" w:type="dxa"/>
            <w:vAlign w:val="center"/>
          </w:tcPr>
          <w:p w14:paraId="1F085F5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没有读过，完全没有思路</w:t>
            </w:r>
          </w:p>
        </w:tc>
      </w:tr>
      <w:tr w14:paraId="6C976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  <w:gridSpan w:val="2"/>
            <w:vMerge w:val="restart"/>
            <w:vAlign w:val="center"/>
          </w:tcPr>
          <w:p w14:paraId="5676B2C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方案调整及应对措施</w:t>
            </w:r>
          </w:p>
        </w:tc>
        <w:tc>
          <w:tcPr>
            <w:tcW w:w="1290" w:type="dxa"/>
            <w:vAlign w:val="center"/>
          </w:tcPr>
          <w:p w14:paraId="304FDFD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教师教学</w:t>
            </w:r>
          </w:p>
        </w:tc>
        <w:tc>
          <w:tcPr>
            <w:tcW w:w="6382" w:type="dxa"/>
            <w:gridSpan w:val="4"/>
          </w:tcPr>
          <w:p w14:paraId="33F0C7C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1.基础知识部分：继续进行夯实，增加习题的训练，拓展知识面</w:t>
            </w:r>
          </w:p>
          <w:p w14:paraId="73FA604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2.文言文专题部分：讲解古代汉语语法知识，抓住该专题的本质，虽然学习来会困难，也会枯燥，但这是破解该专题的关键；同时注重知识的迁移训练，并进行词句的积累，增加词汇量；第三，帮助孩子解决畏难心理，这也是学好文言文的前提。</w:t>
            </w:r>
          </w:p>
          <w:p w14:paraId="5FBAA3A3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Times New Roman" w:hAnsi="Times New Roman" w:eastAsia="宋体" w:cs="Times New Roman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lang w:val="en-US"/>
              </w:rPr>
              <w:t>3.古代诗歌鉴赏部分：如果读懂一首诗是必备功课，也是做好题的关键，注重有关文学知识的积累；另外按照题型进行讲解，每一种题型都有对应的理论和答题技巧。</w:t>
            </w:r>
          </w:p>
          <w:p w14:paraId="5650F46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4.文学类文本阅读部分：散文的知识体系搭建和题型的应对策略是该专题主要解决的问题，另外得加强习题的迁移训练，必要的时候也会总结中国近现代文学知识，拓展孩子的视野，增强孩子的理解能力。</w:t>
            </w:r>
          </w:p>
        </w:tc>
      </w:tr>
      <w:tr w14:paraId="1C705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  <w:gridSpan w:val="2"/>
            <w:vMerge w:val="continue"/>
          </w:tcPr>
          <w:p w14:paraId="4A22224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290" w:type="dxa"/>
            <w:vAlign w:val="center"/>
          </w:tcPr>
          <w:p w14:paraId="044538E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学生配合</w:t>
            </w:r>
          </w:p>
        </w:tc>
        <w:tc>
          <w:tcPr>
            <w:tcW w:w="6382" w:type="dxa"/>
            <w:gridSpan w:val="4"/>
          </w:tcPr>
          <w:p w14:paraId="08022F2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1.按时按量按质完成作业，特别是需要背诵和记忆的作业，这些虽然会枯燥乏味，但确是盖好高楼的基础，其实，学习并非全是快乐的，得要认识到这一点。</w:t>
            </w:r>
          </w:p>
          <w:p w14:paraId="5645A17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2.课上一定要多思考，多提问，只有这样才能提高思维力，光靠听讲是无法消化和吸收知识的。</w:t>
            </w:r>
          </w:p>
          <w:p w14:paraId="35A3115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3.遇到困难，可以向老师寻求帮助，减轻心理负担，也能提高学习效率和学习效果。</w:t>
            </w:r>
          </w:p>
        </w:tc>
      </w:tr>
      <w:tr w14:paraId="1538C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  <w:gridSpan w:val="2"/>
            <w:vMerge w:val="continue"/>
          </w:tcPr>
          <w:p w14:paraId="26D4E02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290" w:type="dxa"/>
            <w:vAlign w:val="center"/>
          </w:tcPr>
          <w:p w14:paraId="37F541D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家长配合</w:t>
            </w:r>
          </w:p>
        </w:tc>
        <w:tc>
          <w:tcPr>
            <w:tcW w:w="6382" w:type="dxa"/>
            <w:gridSpan w:val="4"/>
          </w:tcPr>
          <w:p w14:paraId="344BAB6B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Times New Roman" w:hAnsi="Times New Roman" w:eastAsia="宋体" w:cs="Times New Roman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lang w:val="en-US"/>
              </w:rPr>
              <w:t>1.及时提醒孩子完成作业</w:t>
            </w:r>
          </w:p>
          <w:p w14:paraId="7E802D1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2.适时根据孩子的状态，进行具体沟通，确保孩子有明确的学习目标，增强学习的动力；不能因为是高三，怕与孩子进行冲撞而不沟通。</w:t>
            </w:r>
          </w:p>
          <w:p w14:paraId="258537E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3.家长也要做好情绪管理，可能我们的焦虑和担忧，不自觉地流露，同样会给孩子造成一定的压力，我们也要转移一下关注点，这样孩子也会看到我们的变化，自然孩子也会管理自我情绪。</w:t>
            </w:r>
          </w:p>
        </w:tc>
      </w:tr>
      <w:tr w14:paraId="5C2A3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  <w:gridSpan w:val="2"/>
          </w:tcPr>
          <w:p w14:paraId="63F6AFF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教师签字</w:t>
            </w:r>
          </w:p>
        </w:tc>
        <w:tc>
          <w:tcPr>
            <w:tcW w:w="2744" w:type="dxa"/>
            <w:gridSpan w:val="2"/>
          </w:tcPr>
          <w:p w14:paraId="2E075C9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XXX</w:t>
            </w:r>
          </w:p>
        </w:tc>
        <w:tc>
          <w:tcPr>
            <w:tcW w:w="1586" w:type="dxa"/>
          </w:tcPr>
          <w:p w14:paraId="1B0C416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学管师签字</w:t>
            </w:r>
          </w:p>
        </w:tc>
        <w:tc>
          <w:tcPr>
            <w:tcW w:w="3342" w:type="dxa"/>
            <w:gridSpan w:val="2"/>
          </w:tcPr>
          <w:p w14:paraId="1972AEF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XXX</w:t>
            </w:r>
          </w:p>
        </w:tc>
      </w:tr>
      <w:tr w14:paraId="53BE7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  <w:gridSpan w:val="2"/>
          </w:tcPr>
          <w:p w14:paraId="7717671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教管主任签字</w:t>
            </w:r>
          </w:p>
        </w:tc>
        <w:tc>
          <w:tcPr>
            <w:tcW w:w="2744" w:type="dxa"/>
            <w:gridSpan w:val="2"/>
          </w:tcPr>
          <w:p w14:paraId="674F36D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XXX</w:t>
            </w:r>
          </w:p>
        </w:tc>
        <w:tc>
          <w:tcPr>
            <w:tcW w:w="1586" w:type="dxa"/>
          </w:tcPr>
          <w:p w14:paraId="1264EF2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家长签字</w:t>
            </w:r>
          </w:p>
        </w:tc>
        <w:tc>
          <w:tcPr>
            <w:tcW w:w="3342" w:type="dxa"/>
            <w:gridSpan w:val="2"/>
          </w:tcPr>
          <w:p w14:paraId="0DC9CE7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XXX</w:t>
            </w:r>
          </w:p>
        </w:tc>
      </w:tr>
    </w:tbl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A5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微软雅黑" w:hAnsi="微软雅黑" w:eastAsia="微软雅黑" w:cs="微软雅黑"/>
      <w:szCs w:val="21"/>
      <w:lang w:val="zh-CN" w:bidi="zh-CN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2026-08-27T03:51:47Z</dcterms:created>
  <dc:creator>wangdonghui</dc:creator>
  <cp:lastModifiedBy>IUH</cp:lastModifiedBy>
  <dcterms:modified xsi:type="dcterms:W3CDTF">2026-08-27T03:52:38Z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eyJoZGlkIjoiNmNjZTM1MDFjMzExNDU2NzczODQ3N2YzYWY2MmYxMWEiLCJ1c2VySWQiOiIyNTk3NjM4NDMifQ==</vt:lpwstr>
  </property>
  <property fmtid="{D5CDD505-2E9C-101B-9397-08002B2CF9AE}" pid="4" name="ICV">
    <vt:lpwstr>EFDF4D13D52A4848B03829C10E6E6A43_12</vt:lpwstr>
  </property>
</Properties>
</file>