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Quarterly service review</w:t>
      </w:r>
    </w:p>
    <w:p>
      <w:r>
        <w:t xml:space="preserve">Prepared for the operations handoff. Numbers cover April through June and come from the weekly duty roster, not the ticket system, so a shift that opened no tickets still counts.</w:t>
      </w:r>
    </w:p>
    <w:p>
      <w:pPr>
        <w:pStyle w:val="Heading1"/>
      </w:pPr>
      <w:r>
        <w:t xml:space="preserve">Coverage by region</w:t>
      </w:r>
    </w:p>
    <w:tbl>
      <w:tblPr>
        <w:tblW w:w="9360" w:type="dxa"/>
        <w:tblBorders>
          <w:top w:val="single" w:sz="6" w:space="0" w:color="B4BFCF"/>
          <w:left w:val="single" w:sz="6" w:space="0" w:color="B4BFCF"/>
          <w:bottom w:val="single" w:sz="6" w:space="0" w:color="B4BFCF"/>
          <w:right w:val="single" w:sz="6" w:space="0" w:color="B4BFCF"/>
          <w:insideH w:val="single" w:sz="6" w:space="0" w:color="B4BFCF"/>
          <w:insideV w:val="single" w:sz="6" w:space="0" w:color="B4BFCF"/>
        </w:tblBorders>
      </w:tblPr>
      <w:tr>
        <w:tc>
          <w:tcPr>
            <w:tcW w:w="2340" w:type="dxa"/>
          </w:tcPr>
          <w:p>
            <w:r>
              <w:rPr>
                <w:b/>
              </w:rPr>
              <w:t>Region</w:t>
            </w:r>
          </w:p>
        </w:tc>
        <w:tc>
          <w:tcPr>
            <w:tcW w:w="2340" w:type="dxa"/>
          </w:tcPr>
          <w:p>
            <w:r>
              <w:rPr>
                <w:b/>
              </w:rPr>
              <w:t>Shifts covered</w:t>
            </w:r>
          </w:p>
        </w:tc>
        <w:tc>
          <w:tcPr>
            <w:tcW w:w="2340" w:type="dxa"/>
          </w:tcPr>
          <w:p>
            <w:r>
              <w:rPr>
                <w:b/>
              </w:rPr>
              <w:t>Escalations</w:t>
            </w:r>
          </w:p>
        </w:tc>
        <w:tc>
          <w:tcPr>
            <w:tcW w:w="2340" w:type="dxa"/>
          </w:tcPr>
          <w:p>
            <w:r>
              <w:rPr>
                <w:b/>
              </w:rPr>
              <w:t>Median response</w:t>
            </w:r>
          </w:p>
        </w:tc>
      </w:tr>
      <w:tr>
        <w:tc>
          <w:tcPr>
            <w:tcW w:w="2340" w:type="dxa"/>
          </w:tcPr>
          <w:p>
            <w:r>
              <w:t>North</w:t>
            </w:r>
          </w:p>
        </w:tc>
        <w:tc>
          <w:tcPr>
            <w:tcW w:w="2340" w:type="dxa"/>
          </w:tcPr>
          <w:p>
            <w:r>
              <w:t>91</w:t>
            </w:r>
          </w:p>
        </w:tc>
        <w:tc>
          <w:tcPr>
            <w:tcW w:w="2340" w:type="dxa"/>
          </w:tcPr>
          <w:p>
            <w:r>
              <w:t>4</w:t>
            </w:r>
          </w:p>
        </w:tc>
        <w:tc>
          <w:tcPr>
            <w:tcW w:w="2340" w:type="dxa"/>
          </w:tcPr>
          <w:p>
            <w:r>
              <w:t>12 min</w:t>
            </w:r>
          </w:p>
        </w:tc>
      </w:tr>
      <w:tr>
        <w:tc>
          <w:tcPr>
            <w:tcW w:w="2340" w:type="dxa"/>
          </w:tcPr>
          <w:p>
            <w:r>
              <w:t>South</w:t>
            </w:r>
          </w:p>
        </w:tc>
        <w:tc>
          <w:tcPr>
            <w:tcW w:w="2340" w:type="dxa"/>
          </w:tcPr>
          <w:p>
            <w:r>
              <w:t>88</w:t>
            </w:r>
          </w:p>
        </w:tc>
        <w:tc>
          <w:tcPr>
            <w:tcW w:w="2340" w:type="dxa"/>
          </w:tcPr>
          <w:p>
            <w:r>
              <w:t>9</w:t>
            </w:r>
          </w:p>
        </w:tc>
        <w:tc>
          <w:tcPr>
            <w:tcW w:w="2340" w:type="dxa"/>
          </w:tcPr>
          <w:p>
            <w:r>
              <w:t>21 min</w:t>
            </w:r>
          </w:p>
        </w:tc>
      </w:tr>
      <w:tr>
        <w:tc>
          <w:tcPr>
            <w:tcW w:w="2340" w:type="dxa"/>
          </w:tcPr>
          <w:p>
            <w:r>
              <w:t>West</w:t>
            </w:r>
          </w:p>
        </w:tc>
        <w:tc>
          <w:tcPr>
            <w:tcW w:w="2340" w:type="dxa"/>
          </w:tcPr>
          <w:p>
            <w:r>
              <w:t>93</w:t>
            </w:r>
          </w:p>
        </w:tc>
        <w:tc>
          <w:tcPr>
            <w:tcW w:w="2340" w:type="dxa"/>
          </w:tcPr>
          <w:p>
            <w:r>
              <w:t>2</w:t>
            </w:r>
          </w:p>
        </w:tc>
        <w:tc>
          <w:tcPr>
            <w:tcW w:w="2340" w:type="dxa"/>
          </w:tcPr>
          <w:p>
            <w:r>
              <w:t>9 min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Escalations by month</w:t>
      </w:r>
    </w:p>
    <w:p>
      <w:r>
        <w:drawing>
          <wp:inline xmlns:wp="http://schemas.openxmlformats.org/drawingml/2006/wordprocessingDrawing" distT="0" distB="0" distL="0" distR="0">
            <wp:extent cx="1714500" cy="914400"/>
            <wp:effectExtent l="0" t="0" r="0" b="0"/>
            <wp:docPr id="1" name="Chart" descr="Bar chart of escalations for April, May, June, and Ju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Escalations by month, April through July.</w:t>
      </w:r>
    </w:p>
    <w:p>
      <w:pPr>
        <w:pStyle w:val="Heading2"/>
      </w:pPr>
      <w:r>
        <w:t xml:space="preserve">Follow-ups</w:t>
      </w:r>
    </w:p>
    <w:p>
      <w:pPr>
        <w:pStyle w:val="ListParagraph"/>
        <w:numPr>
          <w:ilvl w:val="0"/>
          <w:numId w:val="1"/>
        </w:numPr>
      </w:pPr>
      <w:r>
        <w:t xml:space="preserve">Rebalance the South roster before the next quarter starts.</w:t>
      </w:r>
    </w:p>
    <w:p>
      <w:pPr>
        <w:pStyle w:val="ListParagraph"/>
        <w:numPr>
          <w:ilvl w:val="0"/>
          <w:numId w:val="1"/>
        </w:numPr>
      </w:pPr>
      <w:r>
        <w:t xml:space="preserve">Publish the escalation ladder where the on-call person can find it at 2 a.m.</w:t>
      </w:r>
    </w:p>
    <w:p>
      <w:pPr>
        <w:pStyle w:val="ListParagraph"/>
        <w:numPr>
          <w:ilvl w:val="0"/>
          <w:numId w:val="1"/>
        </w:numPr>
      </w:pPr>
      <w:r>
        <w:t xml:space="preserve">Retire the paper handoff sheet; two regions already stopped filling it in.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pPr>
      <w:spacing w:before="240" w:after="120"/>
      <w:outlineLvl w:val="0"/>
    </w:pPr>
    <w:rPr>
      <w:b/>
      <w:sz w:val="56"/>
    </w:rPr>
  </w:style>
  <w:style w:type="paragraph" w:styleId="Heading1">
    <w:name w:val="heading 1"/>
    <w:pPr>
      <w:spacing w:before="240" w:after="120"/>
      <w:outlineLvl w:val="0"/>
    </w:pPr>
    <w:rPr>
      <w:b/>
      <w:sz w:val="40"/>
    </w:rPr>
  </w:style>
  <w:style w:type="paragraph" w:styleId="Heading2">
    <w:name w:val="heading 2"/>
    <w:pPr>
      <w:spacing w:before="240" w:after="120"/>
      <w:outlineLvl w:val="1"/>
    </w:pPr>
    <w:rPr>
      <w:b/>
      <w:sz w:val="30"/>
    </w:rPr>
  </w:style>
  <w:style w:type="paragraph" w:styleId="ListParagraph">
    <w:name w:val="List Paragraph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image" Target="media/chart.png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service review</dc:title>
  <dc:description>Koda test fixture: a DOCX with headings, a table, a list, and an embedded image.</dc:description>
  <dc:creator>Koda fixtures</dc:creator>
  <cp:lastModifiedBy>Koda fixtures</cp:lastModifiedBy>
  <dcterms:created xsi:type="dcterms:W3CDTF">2026-08-20T00:00:00Z</dcterms:created>
  <dcterms:modified xsi:type="dcterms:W3CDTF">2026-08-20T00:00:00Z</dcterms:modified>
</cp:coreProperties>
</file>