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云端事故复盘能力实验说明文档</w:t>
      </w:r>
    </w:p>
    <w:p>
      <w:pPr>
        <w:jc w:val="center"/>
      </w:pPr>
      <w:r>
        <w:rPr>
          <w:rFonts w:ascii="宋体" w:hAnsi="宋体" w:eastAsia="宋体"/>
          <w:color w:val="505A64"/>
          <w:sz w:val="22"/>
        </w:rPr>
        <w:t>适用于“溯安行：面向智能汽车事故溯源追责的区块链可信存证系统”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 实验名称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基于关键证据保持与责任一致性的云端事故复盘能力评估实验。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 实验目的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本实验用于评估系统中云端事故复盘模块的有效性，重点考察其在接收事故结构化数据后，能否稳定生成内容完整、事实一致且便于理解的事故复盘结果。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云端 AI 是否能够覆盖事故中的关键证据点；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云端 AI 生成的主要责任因素是否与人工标注结果一致；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云端 AI 是否会出现与输入数据不符的事实错误；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结构化输入是否能够提升事故复盘质量；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本系统方法是否优于模板生成和通用提示生成方式。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 实验对象与对比方案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被测对象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被测对象为本项目云端事故复盘模块。该模块接收事故事件、责任分析结果、风险因子、环境信息、决策链和遥测摘要等结构化输入，并调用大语言模型生成事故摘要、根因分析、证据点和改进建议。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对比方案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组别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5329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A 组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模板生成</w:t>
            </w:r>
          </w:p>
        </w:tc>
        <w:tc>
          <w:tcPr>
            <w:tcW w:type="dxa" w:w="53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根据固定规则拼接事故摘要、责任说明和建议。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B 组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通用大模型生成</w:t>
            </w:r>
          </w:p>
        </w:tc>
        <w:tc>
          <w:tcPr>
            <w:tcW w:type="dxa" w:w="53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仅输入简要事故描述和基础状态，不提供结构化分析结果。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C 组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本项目方法</w:t>
            </w:r>
          </w:p>
        </w:tc>
        <w:tc>
          <w:tcPr>
            <w:tcW w:type="dxa" w:w="532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输入结构化事故数据，并使用项目内提示模板生成复盘。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4 实验数据设计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样本数量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建议至少准备 30 个事故样本；若时间允许，推荐扩展至 50 个样本，以提升结果稳定性。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样本类型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896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事故类型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建议数量</w:t>
            </w:r>
          </w:p>
        </w:tc>
      </w:tr>
      <w:tr>
        <w:tc>
          <w:tcPr>
            <w:tcW w:type="dxa" w:w="58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驾驶员反应不足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</w:tr>
      <w:tr>
        <w:tc>
          <w:tcPr>
            <w:tcW w:type="dxa" w:w="58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AEB 触发延迟或未触发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</w:tr>
      <w:tr>
        <w:tc>
          <w:tcPr>
            <w:tcW w:type="dxa" w:w="58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TTC 过低导致碰撞风险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</w:tr>
      <w:tr>
        <w:tc>
          <w:tcPr>
            <w:tcW w:type="dxa" w:w="58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驾驶员接管不足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</w:tr>
      <w:tr>
        <w:tc>
          <w:tcPr>
            <w:tcW w:type="dxa" w:w="58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环境因素干扰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</w:tr>
      <w:tr>
        <w:tc>
          <w:tcPr>
            <w:tcW w:type="dxa" w:w="58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多因素共同作用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4.3 单个样本字段要求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事故编号、事故类型；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车辆速度、制动状态、转向状态、TTC、AEB 状态、驾驶员接管情况；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环境信息、风险预判结果、严重度预测结果；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责任分析结果、决策链摘要、遥测摘要；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人工标注的关键证据点、主要责任因素和标准复盘文本。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 人工标注规范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标注人员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建议至少由 3 名人员独立标注。推荐配置为：1 名项目成员、1 名具备车辆或交通背景的成员、1 名未深度参与系统开发的成员，以降低单一主观偏差。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标注内容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标注项</w:t>
            </w:r>
          </w:p>
        </w:tc>
        <w:tc>
          <w:tcPr>
            <w:tcW w:type="dxa" w:w="6180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关键证据点</w:t>
            </w:r>
          </w:p>
        </w:tc>
        <w:tc>
          <w:tcPr>
            <w:tcW w:type="dxa" w:w="618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标注对事故复盘和责任判断具有直接价值的事实，如 TTC 过低、AEB 未触发、驾驶员未及时制动等。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主要责任因素</w:t>
            </w:r>
          </w:p>
        </w:tc>
        <w:tc>
          <w:tcPr>
            <w:tcW w:type="dxa" w:w="618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从驾驶员因素、系统因素、环境因素、多因素共同作用中选择。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标准复盘文本</w:t>
            </w:r>
          </w:p>
        </w:tc>
        <w:tc>
          <w:tcPr>
            <w:tcW w:type="dxa" w:w="618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使用 80 至 150 字描述事故经过、关键原因和结论，作为人工参考答案。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5.3 一致性处理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若 3 名标注人员对同一样本存在分歧，应进行集中复核并形成统一版本，将该版本作为最终标准答案。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 实验步骤</w:t>
      </w:r>
    </w:p>
    <w:p>
      <w:pPr>
        <w:spacing w:line="324" w:lineRule="auto"/>
      </w:pPr>
      <w:r>
        <w:rPr>
          <w:rFonts w:ascii="黑体" w:hAnsi="黑体" w:eastAsia="黑体"/>
          <w:b/>
          <w:sz w:val="22"/>
        </w:rPr>
        <w:t xml:space="preserve">步骤 1：样本整理 </w:t>
      </w:r>
      <w:r>
        <w:rPr>
          <w:rFonts w:ascii="宋体" w:hAnsi="宋体" w:eastAsia="宋体"/>
          <w:sz w:val="22"/>
        </w:rPr>
        <w:t>从项目已有事故场景中选取样本，按统一字段格式整理原始数据。</w:t>
      </w:r>
    </w:p>
    <w:p>
      <w:pPr>
        <w:spacing w:line="324" w:lineRule="auto"/>
      </w:pPr>
      <w:r>
        <w:rPr>
          <w:rFonts w:ascii="黑体" w:hAnsi="黑体" w:eastAsia="黑体"/>
          <w:b/>
          <w:sz w:val="22"/>
        </w:rPr>
        <w:t xml:space="preserve">步骤 2：人工标注 </w:t>
      </w:r>
      <w:r>
        <w:rPr>
          <w:rFonts w:ascii="宋体" w:hAnsi="宋体" w:eastAsia="宋体"/>
          <w:sz w:val="22"/>
        </w:rPr>
        <w:t>由标注人员完成关键证据点、主要责任因素和标准复盘文本标注。</w:t>
      </w:r>
    </w:p>
    <w:p>
      <w:pPr>
        <w:spacing w:line="324" w:lineRule="auto"/>
      </w:pPr>
      <w:r>
        <w:rPr>
          <w:rFonts w:ascii="黑体" w:hAnsi="黑体" w:eastAsia="黑体"/>
          <w:b/>
          <w:sz w:val="22"/>
        </w:rPr>
        <w:t xml:space="preserve">步骤 3：三组生成 </w:t>
      </w:r>
      <w:r>
        <w:rPr>
          <w:rFonts w:ascii="宋体" w:hAnsi="宋体" w:eastAsia="宋体"/>
          <w:sz w:val="22"/>
        </w:rPr>
        <w:t>针对每个样本分别运行 A 组、B 组和 C 组方法，保留原始输出结果。</w:t>
      </w:r>
    </w:p>
    <w:p>
      <w:pPr>
        <w:spacing w:line="324" w:lineRule="auto"/>
      </w:pPr>
      <w:r>
        <w:rPr>
          <w:rFonts w:ascii="黑体" w:hAnsi="黑体" w:eastAsia="黑体"/>
          <w:b/>
          <w:sz w:val="22"/>
        </w:rPr>
        <w:t xml:space="preserve">步骤 4：结果匿名化 </w:t>
      </w:r>
      <w:r>
        <w:rPr>
          <w:rFonts w:ascii="宋体" w:hAnsi="宋体" w:eastAsia="宋体"/>
          <w:sz w:val="22"/>
        </w:rPr>
        <w:t>打乱三组结果顺序，隐藏来源信息，形成盲评材料。</w:t>
      </w:r>
    </w:p>
    <w:p>
      <w:pPr>
        <w:spacing w:line="324" w:lineRule="auto"/>
      </w:pPr>
      <w:r>
        <w:rPr>
          <w:rFonts w:ascii="黑体" w:hAnsi="黑体" w:eastAsia="黑体"/>
          <w:b/>
          <w:sz w:val="22"/>
        </w:rPr>
        <w:t xml:space="preserve">步骤 5：人工评分 </w:t>
      </w:r>
      <w:r>
        <w:rPr>
          <w:rFonts w:ascii="宋体" w:hAnsi="宋体" w:eastAsia="宋体"/>
          <w:sz w:val="22"/>
        </w:rPr>
        <w:t>由评审依据统一规则完成关键证据命中、责任一致性、事实错误和可读性评分。</w:t>
      </w:r>
    </w:p>
    <w:p>
      <w:pPr>
        <w:spacing w:line="324" w:lineRule="auto"/>
      </w:pPr>
      <w:r>
        <w:rPr>
          <w:rFonts w:ascii="黑体" w:hAnsi="黑体" w:eastAsia="黑体"/>
          <w:b/>
          <w:sz w:val="22"/>
        </w:rPr>
        <w:t xml:space="preserve">步骤 6：结果统计 </w:t>
      </w:r>
      <w:r>
        <w:rPr>
          <w:rFonts w:ascii="宋体" w:hAnsi="宋体" w:eastAsia="宋体"/>
          <w:sz w:val="22"/>
        </w:rPr>
        <w:t>汇总各组指标均值，计算不同方法之间的差异。</w:t>
      </w:r>
    </w:p>
    <w:p>
      <w:pPr>
        <w:spacing w:line="324" w:lineRule="auto"/>
      </w:pPr>
      <w:r>
        <w:rPr>
          <w:rFonts w:ascii="黑体" w:hAnsi="黑体" w:eastAsia="黑体"/>
          <w:b/>
          <w:sz w:val="22"/>
        </w:rPr>
        <w:t xml:space="preserve">步骤 7：结果复核 </w:t>
      </w:r>
      <w:r>
        <w:rPr>
          <w:rFonts w:ascii="宋体" w:hAnsi="宋体" w:eastAsia="宋体"/>
          <w:sz w:val="22"/>
        </w:rPr>
        <w:t>检查异常样本和分歧样本，确认统计过程无遗漏。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 评价指标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关键证据召回率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用于衡量生成文本是否覆盖人工标注的关键证据点。</w:t>
      </w:r>
    </w:p>
    <w:p>
      <w:pPr>
        <w:jc w:val="center"/>
      </w:pPr>
      <w:r>
        <w:rPr>
          <w:rFonts w:ascii="Cambria Math" w:hAnsi="Cambria Math"/>
          <w:sz w:val="24"/>
        </w:rPr>
        <w:t>R_e = N_hit / N_gold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其中，N_hit 表示生成文本中正确命中的关键证据点数量，N_gold 表示人工标注的关键证据点总数。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7.2 责任因子一致率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用于衡量模型输出的主要责任因素是否与人工标注一致。</w:t>
      </w:r>
    </w:p>
    <w:p>
      <w:pPr>
        <w:jc w:val="center"/>
      </w:pPr>
      <w:r>
        <w:rPr>
          <w:rFonts w:ascii="Cambria Math" w:hAnsi="Cambria Math"/>
          <w:sz w:val="24"/>
        </w:rPr>
        <w:t>A_r = N_correct / N_total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其中，N_correct 表示责任判断与人工标注一致的样本数，N_total 表示样本总数。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7.3 事实错误率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用于统计生成文本中与输入数据不一致的描述比例。</w:t>
      </w:r>
    </w:p>
    <w:p>
      <w:pPr>
        <w:jc w:val="center"/>
      </w:pPr>
      <w:r>
        <w:rPr>
          <w:rFonts w:ascii="Cambria Math" w:hAnsi="Cambria Math"/>
          <w:sz w:val="24"/>
        </w:rPr>
        <w:t>E_f = N_wrong / N_claim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2"/>
        </w:rPr>
        <w:t>其中，N_wrong 表示错误事实条数，N_claim 表示生成文本中的事实陈述总数。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7.4 可读性评分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评分维度</w:t>
            </w:r>
          </w:p>
        </w:tc>
        <w:tc>
          <w:tcPr>
            <w:tcW w:type="dxa" w:w="5896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表达清晰度</w:t>
            </w:r>
          </w:p>
        </w:tc>
        <w:tc>
          <w:tcPr>
            <w:tcW w:type="dxa" w:w="58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语言是否容易理解。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结构完整性</w:t>
            </w:r>
          </w:p>
        </w:tc>
        <w:tc>
          <w:tcPr>
            <w:tcW w:type="dxa" w:w="58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是否包含事故经过、原因和结论。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用户友好性</w:t>
            </w:r>
          </w:p>
        </w:tc>
        <w:tc>
          <w:tcPr>
            <w:tcW w:type="dxa" w:w="58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普通用户是否能够快速理解。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追责适用性</w:t>
            </w:r>
          </w:p>
        </w:tc>
        <w:tc>
          <w:tcPr>
            <w:tcW w:type="dxa" w:w="5896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是否适合作为事故说明材料。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8 结果记录模板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360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样本编号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1927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关键证据召回率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责任因子是否一致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事实错误数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可读性评分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S01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A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0.60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否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3.0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S01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B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0.80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4.0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S01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C</w:t>
            </w:r>
          </w:p>
        </w:tc>
        <w:tc>
          <w:tcPr>
            <w:tcW w:type="dxa" w:w="1927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1.00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是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21"/>
              </w:rPr>
              <w:t>4.7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9 消融实验设计</w:t>
      </w:r>
    </w:p>
    <w:p>
      <w:r>
        <w:rPr>
          <w:rFonts w:ascii="宋体" w:hAnsi="宋体" w:eastAsia="宋体"/>
          <w:b w:val="0"/>
          <w:sz w:val="22"/>
        </w:rPr>
        <w:t>为进一步验证端侧结构化分析结果对云端事故复盘的实际贡献，可在主实验基础上设置消融实验。该实验保持事故样本、模型版本和评价标准不变，仅逐项移除输入中的关键字段，观察复盘质量变化。若相关指标出现明显下降，则说明前序分析模块并非独立存在，而是在持续为云端复盘提供有效支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vAlign w:val="center"/>
            <w:shd w:fill="D9EAF7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/>
                <w:sz w:val="21"/>
              </w:rPr>
              <w:t>消融方案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/>
                <w:sz w:val="21"/>
              </w:rPr>
              <w:t>移除内容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/>
                <w:sz w:val="21"/>
              </w:rPr>
              <w:t>重点观察指标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/>
                <w:sz w:val="21"/>
              </w:rPr>
              <w:t>验证目的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D1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去掉责任分析结果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责任因子一致率、可读性评分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检验结构化责任分析是否提升复盘判断质量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D2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去掉环境信息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根因解释质量、事实错误率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检验环境上下文是否有助于形成更完整的事故解释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D3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去掉决策链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关键证据召回率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检验系统内部决策过程是否能增强证据覆盖能力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D4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取消结构化提示词，仅保留普通描述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事实错误率、关键证据召回率</w:t>
            </w:r>
          </w:p>
        </w:tc>
        <w:tc>
          <w:tcPr>
            <w:tcW w:type="dxa" w:w="237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sz w:val="21"/>
              </w:rPr>
              <w:t>检验结构化提示设计是否能抑制幻觉并提升复盘稳定性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消融实验应分别与完整输入条件下的 C 组结果进行比较。若去掉责任分析结果后责任因子一致率下降，去掉环境信息后根因解释变弱，去掉决策链后关键证据召回率降低，或取消结构化提示词后事实错误率升高，则可说明端侧分析、上下文补充和提示组织共同参与了云端复盘能力的形成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10 结果分析要求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比较三组方法在关键证据召回率上的差异；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判断结构化输入是否提高责任因子一致率；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分析本项目方法是否降低事实错误率；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比较不同方法的可读性评分；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归纳哪些事故类型最容易出现误判；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说明云端 AI 更适合作为辅助解释工具，而非最终责任裁定依据。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11 注意事项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不得将模型输出直接表述为最终司法责任结论；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所有输入数据必须来源明确，避免样本内部自相矛盾；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盲评时必须隐藏方法来源；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若模型存在明显幻觉，应保留原始输出，不得人工修饰后再计分；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若不同评审意见差异过大，应记录分歧并重新核对评分标准；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样本应覆盖简单场景和复杂场景，不能只选择容易生成的案例。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12 建议归档材料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实验样本数据表；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人工标注规范表；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三组提示词模板；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原始生成结果；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评分表；</w:t>
      </w:r>
    </w:p>
    <w:p>
      <w:pPr>
        <w:pStyle w:val="ListBullet"/>
        <w:spacing w:line="312" w:lineRule="auto"/>
      </w:pPr>
      <w:r>
        <w:rPr>
          <w:rFonts w:ascii="宋体" w:hAnsi="宋体" w:eastAsia="宋体"/>
          <w:sz w:val="22"/>
        </w:rPr>
        <w:t>统计结果汇总表。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