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CBB6E">
      <w:pPr>
        <w:ind w:firstLine="480"/>
        <w:rPr>
          <w:sz w:val="48"/>
          <w:szCs w:val="48"/>
          <w:vertAlign w:val="baseline"/>
        </w:rPr>
      </w:pPr>
    </w:p>
    <w:p w14:paraId="77B8C7D5">
      <w:pPr>
        <w:ind w:firstLine="480"/>
        <w:rPr>
          <w:sz w:val="48"/>
          <w:szCs w:val="48"/>
          <w:vertAlign w:val="baseline"/>
        </w:rPr>
      </w:pPr>
    </w:p>
    <w:p w14:paraId="21D3E723">
      <w:pPr>
        <w:ind w:firstLine="216" w:firstLineChars="45"/>
        <w:jc w:val="center"/>
        <w:rPr>
          <w:rFonts w:eastAsia="华文行楷"/>
          <w:sz w:val="48"/>
          <w:szCs w:val="48"/>
          <w:vertAlign w:val="baseline"/>
        </w:rPr>
      </w:pPr>
      <w:r>
        <w:rPr>
          <w:rFonts w:hint="eastAsia" w:eastAsia="华文行楷"/>
          <w:sz w:val="48"/>
          <w:szCs w:val="48"/>
          <w:vertAlign w:val="baseline"/>
        </w:rPr>
        <w:t>武汉大学国家网络安全学院</w:t>
      </w:r>
    </w:p>
    <w:p w14:paraId="7CAEB3D2">
      <w:pPr>
        <w:ind w:firstLine="1680"/>
        <w:jc w:val="center"/>
        <w:rPr>
          <w:rFonts w:eastAsia="黑体"/>
          <w:sz w:val="84"/>
          <w:szCs w:val="84"/>
        </w:rPr>
      </w:pPr>
    </w:p>
    <w:p w14:paraId="0398E3E7">
      <w:pPr>
        <w:jc w:val="both"/>
        <w:rPr>
          <w:rFonts w:hint="eastAsia" w:eastAsia="黑体"/>
          <w:sz w:val="44"/>
          <w:szCs w:val="44"/>
        </w:rPr>
      </w:pPr>
    </w:p>
    <w:p w14:paraId="3148CFBB">
      <w:pPr>
        <w:jc w:val="both"/>
        <w:rPr>
          <w:rFonts w:hint="eastAsia" w:eastAsia="黑体"/>
          <w:sz w:val="44"/>
          <w:szCs w:val="44"/>
        </w:rPr>
      </w:pPr>
      <w:r>
        <w:rPr>
          <w:rFonts w:hint="eastAsia" w:eastAsia="黑体"/>
          <w:sz w:val="44"/>
          <w:szCs w:val="44"/>
        </w:rPr>
        <w:t>人工智能</w:t>
      </w:r>
      <w:r>
        <w:rPr>
          <w:rFonts w:hint="eastAsia" w:eastAsia="黑体"/>
          <w:sz w:val="44"/>
          <w:szCs w:val="44"/>
          <w:lang w:val="en-US" w:eastAsia="zh-CN"/>
        </w:rPr>
        <w:t>的</w:t>
      </w:r>
      <w:r>
        <w:rPr>
          <w:rFonts w:hint="eastAsia" w:eastAsia="黑体"/>
          <w:sz w:val="44"/>
          <w:szCs w:val="44"/>
        </w:rPr>
        <w:t>治理：数据驱动的全球政策评估</w:t>
      </w:r>
    </w:p>
    <w:p w14:paraId="176CCFAC">
      <w:pPr>
        <w:jc w:val="both"/>
        <w:rPr>
          <w:rFonts w:eastAsia="黑体"/>
          <w:sz w:val="84"/>
          <w:szCs w:val="84"/>
        </w:rPr>
      </w:pPr>
    </w:p>
    <w:p w14:paraId="47303D69">
      <w:pPr>
        <w:ind w:firstLine="1680"/>
        <w:jc w:val="center"/>
        <w:rPr>
          <w:rFonts w:eastAsia="黑体"/>
          <w:sz w:val="84"/>
          <w:szCs w:val="84"/>
        </w:rPr>
      </w:pPr>
    </w:p>
    <w:p w14:paraId="6F36BE26">
      <w:pPr>
        <w:ind w:firstLine="560"/>
        <w:rPr>
          <w:sz w:val="28"/>
          <w:szCs w:val="28"/>
          <w:u w:val="single"/>
        </w:rPr>
      </w:pPr>
      <w:r>
        <w:rPr>
          <w:rFonts w:hint="eastAsia"/>
          <w:sz w:val="28"/>
          <w:szCs w:val="28"/>
        </w:rPr>
        <w:t>题    目：</w:t>
      </w:r>
      <w:r>
        <w:rPr>
          <w:rFonts w:hint="eastAsia"/>
          <w:sz w:val="28"/>
          <w:szCs w:val="28"/>
          <w:u w:val="single"/>
        </w:rPr>
        <w:t xml:space="preserve">     人工智能的治理：数据驱动的全球政策评估                   </w:t>
      </w:r>
    </w:p>
    <w:p w14:paraId="426F4042">
      <w:pPr>
        <w:ind w:firstLine="560"/>
        <w:rPr>
          <w:sz w:val="28"/>
          <w:szCs w:val="28"/>
        </w:rPr>
      </w:pPr>
      <w:r>
        <w:rPr>
          <w:rFonts w:hint="eastAsia"/>
          <w:sz w:val="28"/>
          <w:szCs w:val="28"/>
        </w:rPr>
        <w:t>专</w:t>
      </w:r>
      <w:r>
        <w:rPr>
          <w:rFonts w:hint="eastAsia"/>
          <w:sz w:val="28"/>
          <w:szCs w:val="28"/>
          <w:lang w:val="en-US" w:eastAsia="zh-CN"/>
        </w:rPr>
        <w:t xml:space="preserve">    </w:t>
      </w:r>
      <w:r>
        <w:rPr>
          <w:rFonts w:hint="eastAsia"/>
          <w:sz w:val="28"/>
          <w:szCs w:val="28"/>
        </w:rPr>
        <w:t>业：</w:t>
      </w:r>
      <w:r>
        <w:rPr>
          <w:rFonts w:hint="eastAsia"/>
          <w:sz w:val="28"/>
          <w:szCs w:val="28"/>
          <w:u w:val="single"/>
        </w:rPr>
        <w:t xml:space="preserve">               </w:t>
      </w:r>
      <w:r>
        <w:rPr>
          <w:rFonts w:hint="eastAsia"/>
          <w:sz w:val="28"/>
          <w:szCs w:val="28"/>
          <w:u w:val="single"/>
          <w:lang w:val="en-US" w:eastAsia="zh-CN"/>
        </w:rPr>
        <w:t>信息安全</w:t>
      </w:r>
      <w:r>
        <w:rPr>
          <w:rFonts w:hint="eastAsia"/>
          <w:sz w:val="28"/>
          <w:szCs w:val="28"/>
          <w:u w:val="single"/>
        </w:rPr>
        <w:t xml:space="preserve">                              </w:t>
      </w:r>
    </w:p>
    <w:p w14:paraId="59783E71">
      <w:pPr>
        <w:ind w:firstLine="560"/>
        <w:rPr>
          <w:sz w:val="28"/>
          <w:szCs w:val="28"/>
        </w:rPr>
      </w:pPr>
      <w:r>
        <w:rPr>
          <w:rFonts w:hint="eastAsia"/>
          <w:sz w:val="28"/>
          <w:szCs w:val="28"/>
        </w:rPr>
        <w:t>学    号：</w:t>
      </w:r>
      <w:r>
        <w:rPr>
          <w:rFonts w:hint="eastAsia"/>
          <w:sz w:val="28"/>
          <w:szCs w:val="28"/>
          <w:u w:val="single"/>
        </w:rPr>
        <w:t xml:space="preserve">            2023302181044                            </w:t>
      </w:r>
    </w:p>
    <w:p w14:paraId="4C413B7E">
      <w:pPr>
        <w:ind w:firstLine="560"/>
        <w:rPr>
          <w:sz w:val="28"/>
          <w:szCs w:val="28"/>
          <w:u w:val="single"/>
        </w:rPr>
      </w:pPr>
      <w:r>
        <w:rPr>
          <w:rFonts w:hint="eastAsia"/>
          <w:sz w:val="28"/>
          <w:szCs w:val="28"/>
        </w:rPr>
        <w:t>姓    名：</w:t>
      </w:r>
      <w:r>
        <w:rPr>
          <w:rFonts w:hint="eastAsia"/>
          <w:sz w:val="28"/>
          <w:szCs w:val="28"/>
          <w:u w:val="single"/>
        </w:rPr>
        <w:t xml:space="preserve">                黄飞豪                                </w:t>
      </w:r>
    </w:p>
    <w:p w14:paraId="26E06470">
      <w:pPr>
        <w:ind w:firstLine="560"/>
        <w:rPr>
          <w:sz w:val="28"/>
          <w:szCs w:val="28"/>
          <w:u w:val="single"/>
        </w:rPr>
      </w:pPr>
      <w:r>
        <w:rPr>
          <w:rFonts w:hint="eastAsia"/>
          <w:sz w:val="28"/>
          <w:szCs w:val="28"/>
        </w:rPr>
        <w:t>课程名称：</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新闻安全分析</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19E1D380">
      <w:pPr>
        <w:ind w:firstLine="560"/>
        <w:rPr>
          <w:sz w:val="28"/>
          <w:szCs w:val="28"/>
        </w:rPr>
      </w:pPr>
      <w:r>
        <w:rPr>
          <w:rFonts w:hint="eastAsia"/>
          <w:sz w:val="28"/>
          <w:szCs w:val="28"/>
        </w:rPr>
        <w:t>任课教师：</w:t>
      </w:r>
      <w:r>
        <w:rPr>
          <w:rFonts w:hint="eastAsia"/>
          <w:sz w:val="28"/>
          <w:szCs w:val="28"/>
          <w:u w:val="single"/>
        </w:rPr>
        <w:t xml:space="preserve">                </w:t>
      </w:r>
      <w:r>
        <w:rPr>
          <w:rFonts w:hint="eastAsia"/>
          <w:sz w:val="28"/>
          <w:szCs w:val="28"/>
          <w:u w:val="single"/>
          <w:lang w:val="en-US" w:eastAsia="zh-CN"/>
        </w:rPr>
        <w:t>汪润</w:t>
      </w:r>
      <w:r>
        <w:rPr>
          <w:rFonts w:hint="eastAsia"/>
          <w:sz w:val="28"/>
          <w:szCs w:val="28"/>
          <w:u w:val="single"/>
        </w:rPr>
        <w:t xml:space="preserve">                               </w:t>
      </w:r>
    </w:p>
    <w:p w14:paraId="2D238689">
      <w:pPr>
        <w:ind w:firstLine="480"/>
        <w:rPr>
          <w:u w:val="single"/>
        </w:rPr>
      </w:pPr>
    </w:p>
    <w:p w14:paraId="3A0D121C">
      <w:pPr>
        <w:ind w:firstLine="480"/>
        <w:rPr>
          <w:u w:val="single"/>
        </w:rPr>
      </w:pPr>
    </w:p>
    <w:p w14:paraId="73300F1A">
      <w:pPr>
        <w:ind w:firstLine="480"/>
        <w:rPr>
          <w:u w:val="single"/>
        </w:rPr>
      </w:pPr>
    </w:p>
    <w:p w14:paraId="57D7ABD5">
      <w:pPr>
        <w:ind w:firstLine="560"/>
        <w:jc w:val="center"/>
        <w:rPr>
          <w:rFonts w:hint="default"/>
          <w:lang w:val="en-US"/>
        </w:rPr>
      </w:pPr>
      <w:r>
        <w:rPr>
          <w:rFonts w:hint="eastAsia"/>
          <w:sz w:val="28"/>
          <w:szCs w:val="28"/>
        </w:rPr>
        <w:t>202</w:t>
      </w:r>
      <w:r>
        <w:rPr>
          <w:rFonts w:hint="eastAsia"/>
          <w:sz w:val="28"/>
          <w:szCs w:val="28"/>
          <w:lang w:val="en-US" w:eastAsia="zh-CN"/>
        </w:rPr>
        <w:t>5</w:t>
      </w:r>
      <w:r>
        <w:rPr>
          <w:rFonts w:hint="eastAsia"/>
          <w:sz w:val="28"/>
          <w:szCs w:val="28"/>
        </w:rPr>
        <w:t xml:space="preserve">年 </w:t>
      </w:r>
      <w:r>
        <w:rPr>
          <w:rFonts w:hint="eastAsia"/>
          <w:sz w:val="28"/>
          <w:szCs w:val="28"/>
          <w:lang w:val="en-US" w:eastAsia="zh-CN"/>
        </w:rPr>
        <w:t>12</w:t>
      </w:r>
      <w:r>
        <w:rPr>
          <w:rFonts w:hint="eastAsia"/>
          <w:sz w:val="28"/>
          <w:szCs w:val="28"/>
        </w:rPr>
        <w:t>月</w:t>
      </w:r>
      <w:r>
        <w:rPr>
          <w:rFonts w:hint="eastAsia"/>
          <w:sz w:val="28"/>
          <w:szCs w:val="28"/>
          <w:lang w:val="en-US" w:eastAsia="zh-CN"/>
        </w:rPr>
        <w:t>20日</w:t>
      </w:r>
    </w:p>
    <w:p w14:paraId="74DF1F2D">
      <w:pPr>
        <w:pStyle w:val="3"/>
        <w:rPr>
          <w:rFonts w:ascii="宋体" w:hAnsi="宋体" w:eastAsia="宋体"/>
        </w:rPr>
      </w:pPr>
    </w:p>
    <w:p w14:paraId="65C85E63">
      <w:pPr>
        <w:pStyle w:val="3"/>
        <w:rPr>
          <w:rFonts w:ascii="宋体" w:hAnsi="宋体" w:eastAsia="宋体"/>
        </w:rPr>
      </w:pPr>
    </w:p>
    <w:p w14:paraId="4491AA08">
      <w:pPr>
        <w:pStyle w:val="3"/>
        <w:rPr>
          <w:rFonts w:ascii="宋体" w:hAnsi="宋体" w:eastAsia="宋体"/>
        </w:rPr>
      </w:pPr>
      <w:r>
        <w:rPr>
          <w:rFonts w:ascii="宋体" w:hAnsi="宋体" w:eastAsia="宋体"/>
        </w:rPr>
        <w:t>摘要</w:t>
      </w:r>
    </w:p>
    <w:p w14:paraId="4EE3E32A">
      <w:pPr>
        <w:pStyle w:val="10"/>
        <w:spacing w:line="360" w:lineRule="auto"/>
        <w:ind w:firstLine="420" w:firstLineChars="0"/>
        <w:rPr>
          <w:rFonts w:hint="eastAsia" w:ascii="宋体" w:hAnsi="宋体" w:eastAsia="宋体"/>
        </w:rPr>
      </w:pPr>
      <w:r>
        <w:rPr>
          <w:rFonts w:hint="eastAsia" w:ascii="宋体" w:hAnsi="宋体" w:eastAsia="宋体"/>
        </w:rPr>
        <w:t>为揭示人工智能治理与发展水平的匹配关系及政策工具组合的效能差异，本研究以AGILE指数2025中40个国家的面板数据为基础，综合运用匹配度诊断矩阵、聚类分析与关联分析方法，系统评估了各国在AI治理与发展上的协调程度及其对风险控制、社会接受与创新活力的影响。研究结果表明：各国在AI发展水平与治理工具上存在显著错配；通过聚类分析可识别出特征迥异的治理模式。本文为各国优化AI治理体系提供了分类施策的依据，并为全球治理协作提供了模式参考。</w:t>
      </w:r>
    </w:p>
    <w:p w14:paraId="4FDFB0FB">
      <w:pPr>
        <w:pStyle w:val="10"/>
        <w:spacing w:line="360" w:lineRule="auto"/>
        <w:rPr>
          <w:rFonts w:ascii="宋体" w:hAnsi="宋体" w:eastAsia="宋体"/>
        </w:rPr>
      </w:pPr>
      <w:r>
        <w:rPr>
          <w:rFonts w:ascii="宋体" w:hAnsi="宋体" w:eastAsia="宋体"/>
          <w:b/>
          <w:bCs/>
        </w:rPr>
        <w:t>关键词</w:t>
      </w:r>
      <w:r>
        <w:rPr>
          <w:rFonts w:ascii="宋体" w:hAnsi="宋体" w:eastAsia="宋体"/>
        </w:rPr>
        <w:t>：</w:t>
      </w:r>
      <w:r>
        <w:rPr>
          <w:rFonts w:hint="eastAsia" w:ascii="宋体" w:hAnsi="宋体" w:eastAsia="宋体"/>
        </w:rPr>
        <w:t>人工智能治理；AGILE指数；匹配度分析；政策工具聚类；治理效能评估</w:t>
      </w:r>
    </w:p>
    <w:p w14:paraId="53955C9B">
      <w:pPr>
        <w:pStyle w:val="3"/>
        <w:spacing w:line="360" w:lineRule="auto"/>
        <w:rPr>
          <w:rFonts w:ascii="宋体" w:hAnsi="宋体" w:eastAsia="宋体"/>
        </w:rPr>
      </w:pPr>
      <w:r>
        <w:rPr>
          <w:rFonts w:ascii="宋体" w:hAnsi="宋体" w:eastAsia="宋体"/>
        </w:rPr>
        <w:t>一、引言</w:t>
      </w:r>
    </w:p>
    <w:p w14:paraId="240E94D4">
      <w:pPr>
        <w:pStyle w:val="4"/>
        <w:spacing w:line="360" w:lineRule="auto"/>
        <w:rPr>
          <w:rFonts w:ascii="宋体" w:hAnsi="宋体" w:eastAsia="宋体"/>
        </w:rPr>
      </w:pPr>
      <w:r>
        <w:rPr>
          <w:rFonts w:ascii="宋体" w:hAnsi="宋体" w:eastAsia="宋体"/>
        </w:rPr>
        <w:t>（一）研究背景</w:t>
      </w:r>
    </w:p>
    <w:p w14:paraId="1B644BF6">
      <w:pPr>
        <w:pStyle w:val="10"/>
        <w:spacing w:line="360" w:lineRule="auto"/>
        <w:ind w:firstLine="420"/>
        <w:rPr>
          <w:rFonts w:hint="eastAsia" w:ascii="宋体" w:hAnsi="宋体" w:eastAsia="宋体"/>
        </w:rPr>
      </w:pPr>
      <w:r>
        <w:rPr>
          <w:rFonts w:hint="eastAsia" w:ascii="宋体" w:hAnsi="宋体" w:eastAsia="宋体"/>
          <w:lang w:val="en-US" w:eastAsia="zh-CN"/>
        </w:rPr>
        <w:t>当前，</w:t>
      </w:r>
      <w:r>
        <w:rPr>
          <w:rFonts w:hint="eastAsia" w:ascii="宋体" w:hAnsi="宋体" w:eastAsia="宋体"/>
        </w:rPr>
        <w:t>人工智能正以前所未有的深度和广度重塑全球经济格局、社会结构与治理范式。随着技术迭代的加速，特别是生成式人工智能的爆发式增长，AI带来的巨大机遇与潜在风险交织，使得全球治理体系的构建成为一项紧迫而复杂的系统性工程。2024年以来，这一进程显著加速：欧盟《人工智能法案》正式生效，成为全球首部综合性AI法律；美国通过行政命令调整其治理导向；中国、韩国等国也在积极推进专门立法。多边机制如AI安全峰会、全球数字契约等持续发展，标志着AI治理已从原则探讨进入实质性的规则构建与制度竞争阶段。</w:t>
      </w:r>
    </w:p>
    <w:p w14:paraId="426701D7">
      <w:pPr>
        <w:pStyle w:val="10"/>
        <w:spacing w:line="360" w:lineRule="auto"/>
        <w:ind w:firstLine="420"/>
        <w:rPr>
          <w:rFonts w:hint="eastAsia" w:ascii="宋体" w:hAnsi="宋体" w:eastAsia="宋体"/>
        </w:rPr>
      </w:pPr>
      <w:r>
        <w:rPr>
          <w:rFonts w:hint="eastAsia" w:ascii="宋体" w:hAnsi="宋体" w:eastAsia="宋体"/>
        </w:rPr>
        <w:t>在此背景下，对全球各国AI治理能力进行系统、客观、可比较的评估，显得至关重要。</w:t>
      </w:r>
      <w:r>
        <w:rPr>
          <w:rFonts w:hint="eastAsia" w:ascii="宋体" w:hAnsi="宋体" w:eastAsia="宋体"/>
          <w:lang w:val="en-US" w:eastAsia="zh-CN"/>
        </w:rPr>
        <w:t>在2024版基础上，</w:t>
      </w:r>
      <w:r>
        <w:rPr>
          <w:rFonts w:hint="eastAsia" w:ascii="宋体" w:hAnsi="宋体" w:eastAsia="宋体"/>
        </w:rPr>
        <w:t>《全球人工智能治理评估指数》（AGILE指数）2025版应运而生，将评估范围从14国大幅扩展至40国，指标体系也从39项增至43项，涵盖了AI发展水平（P1）、治理环境（P2）、治理工具（P3）与治理成效（P4）四个维度，为我们提供了审视全球AI治理格局的珍贵全景数据。报告揭示了一系列关键态势：中美两国在发展中呈现不同优势模式；各国在治理工具上的得分差异远大于治理环境与成效；AI风险事件数量呈指数级增长；公众认知与信任度与国家经济发展水平呈现复杂关联。</w:t>
      </w:r>
    </w:p>
    <w:p w14:paraId="278E0080">
      <w:pPr>
        <w:pStyle w:val="10"/>
        <w:spacing w:line="360" w:lineRule="auto"/>
        <w:ind w:firstLine="420"/>
        <w:rPr>
          <w:rFonts w:hint="eastAsia" w:ascii="宋体" w:hAnsi="宋体" w:eastAsia="宋体"/>
        </w:rPr>
      </w:pPr>
      <w:r>
        <w:rPr>
          <w:rFonts w:hint="eastAsia" w:ascii="宋体" w:hAnsi="宋体" w:eastAsia="宋体"/>
          <w:lang w:val="en-US" w:eastAsia="zh-CN"/>
        </w:rPr>
        <w:t>我们想要探讨的在各个国家中，</w:t>
      </w:r>
      <w:r>
        <w:rPr>
          <w:rFonts w:hint="eastAsia" w:ascii="宋体" w:hAnsi="宋体" w:eastAsia="宋体"/>
        </w:rPr>
        <w:t>是否存在“治理超前”或“治理滞后”的错配现象？这种“发展-治理”的匹配度如何影响实际的治理效能（如风险控制、社会信任）？另一方面，各国所采用的AI治理政策工具（如战略、立法、伦理规范、国际参与）组合千差万别，这些不同的“政策工具包”构成了哪些具有代表性的治理模式？这些模式在应对风险、促进创新、赢得社会信任等方面是否存在系统性的效能差异？</w:t>
      </w:r>
    </w:p>
    <w:p w14:paraId="18176289">
      <w:pPr>
        <w:pStyle w:val="10"/>
        <w:spacing w:line="360" w:lineRule="auto"/>
        <w:ind w:firstLine="420"/>
        <w:rPr>
          <w:rFonts w:ascii="宋体" w:hAnsi="宋体" w:eastAsia="宋体"/>
        </w:rPr>
      </w:pPr>
      <w:r>
        <w:rPr>
          <w:rFonts w:hint="eastAsia" w:ascii="宋体" w:hAnsi="宋体" w:eastAsia="宋体"/>
        </w:rPr>
        <w:t>本研究旨在利用AGILE指数2025提供的丰富维度数据，转向更深层的机制分析。核心研究问题聚焦于两点：其一，如何量化评估各国AI“发展水平”与“治理工具”之间的匹配关系，并探究这种匹配度对治理结果的影响；其二，如何从各国纷繁的政策实践中抽象出典型的治理模式，并评估不同模式的效能特征。对这些问题的探讨，有助于将治理评估从“状态描述”推向“因果诊断”与“模式识别”。</w:t>
      </w:r>
    </w:p>
    <w:p w14:paraId="542BE44E">
      <w:pPr>
        <w:pStyle w:val="4"/>
        <w:spacing w:line="360" w:lineRule="auto"/>
        <w:rPr>
          <w:rFonts w:ascii="宋体" w:hAnsi="宋体" w:eastAsia="宋体"/>
        </w:rPr>
      </w:pPr>
      <w:r>
        <w:rPr>
          <w:rFonts w:ascii="宋体" w:hAnsi="宋体" w:eastAsia="宋体"/>
        </w:rPr>
        <w:t>（二）研究意义</w:t>
      </w:r>
    </w:p>
    <w:p w14:paraId="63ACF2D4">
      <w:pPr>
        <w:pStyle w:val="10"/>
        <w:spacing w:line="360" w:lineRule="auto"/>
        <w:ind w:firstLine="420" w:firstLineChars="0"/>
        <w:rPr>
          <w:rFonts w:hint="eastAsia" w:ascii="宋体" w:hAnsi="宋体" w:eastAsia="宋体"/>
        </w:rPr>
      </w:pPr>
      <w:r>
        <w:rPr>
          <w:rFonts w:hint="eastAsia" w:ascii="宋体" w:hAnsi="宋体" w:eastAsia="宋体"/>
        </w:rPr>
        <w:t>通过将P1与P3的量化得分进行对比与矩阵分析，我们能够对国家治理状态进行科学的类型学划分，为理解国家间治理路径的多样性提供了新的理论透镜。同时，运用聚类分析方法对多维政策工具变量进行降维与模式识别，超越了传统的国别案例罗列，有助于提炼全球AI治理的有限类型，推动比较治理研究向更具概括性和理论性的方向发展。</w:t>
      </w:r>
    </w:p>
    <w:p w14:paraId="5E92D94C">
      <w:pPr>
        <w:pStyle w:val="10"/>
        <w:spacing w:line="360" w:lineRule="auto"/>
        <w:ind w:firstLine="420" w:firstLineChars="0"/>
        <w:rPr>
          <w:rFonts w:ascii="宋体" w:hAnsi="宋体" w:eastAsia="宋体"/>
        </w:rPr>
      </w:pPr>
      <w:r>
        <w:rPr>
          <w:rFonts w:hint="eastAsia" w:ascii="宋体" w:hAnsi="宋体" w:eastAsia="宋体"/>
        </w:rPr>
        <w:t>对于跨国企业与投资者，理解东道国的治理模式及其效能特点，有助于评估运营环境的稳定性和可预期性。对于全球治理协调机制，明晰不同治理模式的优势与局限，可以促进更有效的跨国对话与协作，推动构建包容、有效、可持续的全球AI治理生态。</w:t>
      </w:r>
    </w:p>
    <w:p w14:paraId="42A72C86">
      <w:pPr>
        <w:pStyle w:val="4"/>
        <w:spacing w:line="360" w:lineRule="auto"/>
        <w:rPr>
          <w:rFonts w:ascii="宋体" w:hAnsi="宋体" w:eastAsia="宋体"/>
        </w:rPr>
      </w:pPr>
      <w:r>
        <w:rPr>
          <w:rFonts w:ascii="宋体" w:hAnsi="宋体" w:eastAsia="宋体"/>
        </w:rPr>
        <w:t>（三）研究内容与技术路线</w:t>
      </w:r>
    </w:p>
    <w:p w14:paraId="2263EA72">
      <w:pPr>
        <w:pStyle w:val="5"/>
        <w:spacing w:line="360" w:lineRule="auto"/>
        <w:rPr>
          <w:rFonts w:ascii="宋体" w:hAnsi="宋体" w:eastAsia="宋体"/>
        </w:rPr>
      </w:pPr>
      <w:r>
        <w:rPr>
          <w:rFonts w:ascii="宋体" w:hAnsi="宋体" w:eastAsia="宋体"/>
        </w:rPr>
        <w:t>1. 研究内容</w:t>
      </w:r>
    </w:p>
    <w:p w14:paraId="48FBF62F">
      <w:pPr>
        <w:pStyle w:val="10"/>
        <w:spacing w:line="360" w:lineRule="auto"/>
        <w:rPr>
          <w:rFonts w:hint="eastAsia" w:ascii="宋体" w:hAnsi="宋体" w:eastAsia="宋体"/>
        </w:rPr>
      </w:pPr>
      <w:r>
        <w:rPr>
          <w:rFonts w:hint="eastAsia" w:ascii="宋体" w:hAnsi="宋体" w:eastAsia="宋体"/>
        </w:rPr>
        <w:t>（1）基于P1与P3得分构建匹配度诊断矩阵，划分国家类型；</w:t>
      </w:r>
    </w:p>
    <w:p w14:paraId="6142BD43">
      <w:pPr>
        <w:pStyle w:val="10"/>
        <w:spacing w:line="360" w:lineRule="auto"/>
        <w:rPr>
          <w:rFonts w:hint="eastAsia" w:ascii="宋体" w:hAnsi="宋体" w:eastAsia="宋体"/>
        </w:rPr>
      </w:pPr>
      <w:r>
        <w:rPr>
          <w:rFonts w:hint="eastAsia" w:ascii="宋体" w:hAnsi="宋体" w:eastAsia="宋体"/>
        </w:rPr>
        <w:t>（2）对各国在D6-D12的政策工具得分进行聚类，识别治理模式；</w:t>
      </w:r>
    </w:p>
    <w:p w14:paraId="270A4899">
      <w:pPr>
        <w:pStyle w:val="10"/>
        <w:spacing w:line="360" w:lineRule="auto"/>
        <w:rPr>
          <w:rFonts w:hint="eastAsia" w:ascii="宋体" w:hAnsi="宋体" w:eastAsia="宋体"/>
        </w:rPr>
      </w:pPr>
      <w:r>
        <w:rPr>
          <w:rFonts w:hint="eastAsia" w:ascii="宋体" w:hAnsi="宋体" w:eastAsia="宋体"/>
        </w:rPr>
        <w:t>（3）分析不同治理模式在风险控制、社会信任与创新活力上的表现差异。</w:t>
      </w:r>
    </w:p>
    <w:p w14:paraId="77157B39">
      <w:pPr>
        <w:pStyle w:val="5"/>
        <w:spacing w:line="360" w:lineRule="auto"/>
        <w:rPr>
          <w:rFonts w:ascii="宋体" w:hAnsi="宋体" w:eastAsia="宋体"/>
        </w:rPr>
      </w:pPr>
      <w:r>
        <w:rPr>
          <w:rFonts w:ascii="宋体" w:hAnsi="宋体" w:eastAsia="宋体"/>
        </w:rPr>
        <w:t>2. 技术路线</w:t>
      </w:r>
    </w:p>
    <w:p w14:paraId="4BE5777D">
      <w:pPr>
        <w:pStyle w:val="10"/>
        <w:spacing w:line="360" w:lineRule="auto"/>
        <w:ind w:firstLine="420" w:firstLineChars="0"/>
        <w:rPr>
          <w:rFonts w:ascii="宋体" w:hAnsi="宋体" w:eastAsia="宋体"/>
        </w:rPr>
      </w:pPr>
      <w:r>
        <w:rPr>
          <w:rFonts w:hint="eastAsia" w:ascii="宋体" w:hAnsi="宋体" w:eastAsia="宋体"/>
        </w:rPr>
        <w:t>数据提取与预处理→匹配度计算与分类→聚类分析→关联检验。</w:t>
      </w:r>
    </w:p>
    <w:p w14:paraId="45F4A857">
      <w:pPr>
        <w:pStyle w:val="3"/>
        <w:spacing w:line="360" w:lineRule="auto"/>
        <w:rPr>
          <w:rFonts w:ascii="宋体" w:hAnsi="宋体" w:eastAsia="宋体"/>
        </w:rPr>
      </w:pPr>
      <w:r>
        <w:rPr>
          <w:rFonts w:ascii="宋体" w:hAnsi="宋体" w:eastAsia="宋体"/>
        </w:rPr>
        <w:t>二、研究设计</w:t>
      </w:r>
    </w:p>
    <w:p w14:paraId="55EADE08">
      <w:pPr>
        <w:pStyle w:val="4"/>
        <w:spacing w:line="360" w:lineRule="auto"/>
        <w:rPr>
          <w:rFonts w:ascii="宋体" w:hAnsi="宋体" w:eastAsia="宋体"/>
        </w:rPr>
      </w:pPr>
      <w:r>
        <w:rPr>
          <w:rFonts w:ascii="宋体" w:hAnsi="宋体" w:eastAsia="宋体"/>
        </w:rPr>
        <w:t>（一）数据来源与</w:t>
      </w:r>
      <w:r>
        <w:rPr>
          <w:rFonts w:hint="eastAsia" w:ascii="宋体" w:hAnsi="宋体" w:eastAsia="宋体"/>
          <w:lang w:val="en-US" w:eastAsia="zh-CN"/>
        </w:rPr>
        <w:t>预</w:t>
      </w:r>
      <w:r>
        <w:rPr>
          <w:rFonts w:ascii="宋体" w:hAnsi="宋体" w:eastAsia="宋体"/>
        </w:rPr>
        <w:t>处理</w:t>
      </w:r>
    </w:p>
    <w:p w14:paraId="60FF0EC7">
      <w:pPr>
        <w:pStyle w:val="10"/>
        <w:spacing w:line="360" w:lineRule="auto"/>
        <w:ind w:firstLine="420"/>
        <w:rPr>
          <w:rFonts w:hint="eastAsia" w:ascii="宋体" w:hAnsi="宋体" w:eastAsia="宋体"/>
          <w:lang w:eastAsia="zh-CN"/>
        </w:rPr>
      </w:pPr>
      <w:r>
        <w:rPr>
          <w:rFonts w:hint="eastAsia" w:ascii="宋体" w:hAnsi="宋体" w:eastAsia="宋体"/>
        </w:rPr>
        <w:t>本研究核心数据来源于AGILE指数2025公开数据平台。提取40个国家在4大评估方面（Pillars）及下属17个维度（Dimensions）的得分。</w:t>
      </w:r>
      <w:r>
        <w:rPr>
          <w:rFonts w:hint="eastAsia" w:ascii="宋体" w:hAnsi="宋体" w:eastAsia="宋体"/>
          <w:lang w:val="en-US" w:eastAsia="zh-CN"/>
        </w:rPr>
        <w:t>如下展示</w:t>
      </w:r>
      <w:r>
        <w:rPr>
          <w:rFonts w:hint="eastAsia" w:ascii="宋体" w:hAnsi="宋体" w:eastAsia="宋体"/>
          <w:lang w:eastAsia="zh-CN"/>
        </w:rPr>
        <w:drawing>
          <wp:inline distT="0" distB="0" distL="114300" distR="114300">
            <wp:extent cx="6276340" cy="2632075"/>
            <wp:effectExtent l="0" t="0" r="635" b="6350"/>
            <wp:docPr id="3" name="图片 3" descr="屏幕截图 2025-12-20 00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2-20 002802"/>
                    <pic:cNvPicPr>
                      <a:picLocks noChangeAspect="1"/>
                    </pic:cNvPicPr>
                  </pic:nvPicPr>
                  <pic:blipFill>
                    <a:blip r:embed="rId4"/>
                    <a:stretch>
                      <a:fillRect/>
                    </a:stretch>
                  </pic:blipFill>
                  <pic:spPr>
                    <a:xfrm>
                      <a:off x="0" y="0"/>
                      <a:ext cx="6276340" cy="2632075"/>
                    </a:xfrm>
                    <a:prstGeom prst="rect">
                      <a:avLst/>
                    </a:prstGeom>
                  </pic:spPr>
                </pic:pic>
              </a:graphicData>
            </a:graphic>
          </wp:inline>
        </w:drawing>
      </w:r>
    </w:p>
    <w:p w14:paraId="03EC88F5">
      <w:pPr>
        <w:pStyle w:val="10"/>
        <w:spacing w:line="360" w:lineRule="auto"/>
        <w:ind w:firstLine="420"/>
        <w:rPr>
          <w:rFonts w:hint="eastAsia" w:ascii="宋体" w:hAnsi="宋体" w:eastAsia="宋体"/>
        </w:rPr>
      </w:pPr>
      <w:r>
        <w:rPr>
          <w:rFonts w:hint="eastAsia" w:ascii="宋体" w:hAnsi="宋体" w:eastAsia="宋体"/>
        </w:rPr>
        <w:t>为进行匹配度分析，重点提取P1（AI发展水平）与P3（AI治理工具）的原始得分。为进行政策工具组合分析，提取P3下属D6（AI战略规划）至D12（AI治理国际参与）共计7个维度的得分，构成每个国家的“政策工具特征向量”。</w:t>
      </w:r>
    </w:p>
    <w:p w14:paraId="288DCEF2">
      <w:pPr>
        <w:pStyle w:val="10"/>
        <w:spacing w:line="360" w:lineRule="auto"/>
        <w:ind w:firstLine="420"/>
      </w:pPr>
      <w:r>
        <w:rPr>
          <w:rFonts w:hint="eastAsia" w:ascii="宋体" w:hAnsi="宋体" w:eastAsia="宋体"/>
          <w:lang w:val="en-US" w:eastAsia="zh-CN"/>
        </w:rPr>
        <w:t>以下是报告中对各个维度的解释</w:t>
      </w:r>
      <w:r>
        <w:drawing>
          <wp:inline distT="0" distB="0" distL="114300" distR="114300">
            <wp:extent cx="5271770" cy="6172200"/>
            <wp:effectExtent l="0" t="0" r="5080" b="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5"/>
                    <a:stretch>
                      <a:fillRect/>
                    </a:stretch>
                  </pic:blipFill>
                  <pic:spPr>
                    <a:xfrm>
                      <a:off x="0" y="0"/>
                      <a:ext cx="5271770" cy="6172200"/>
                    </a:xfrm>
                    <a:prstGeom prst="rect">
                      <a:avLst/>
                    </a:prstGeom>
                    <a:noFill/>
                    <a:ln>
                      <a:noFill/>
                    </a:ln>
                  </pic:spPr>
                </pic:pic>
              </a:graphicData>
            </a:graphic>
          </wp:inline>
        </w:drawing>
      </w:r>
      <w:r>
        <w:drawing>
          <wp:inline distT="0" distB="0" distL="114300" distR="114300">
            <wp:extent cx="5274310" cy="6887210"/>
            <wp:effectExtent l="0" t="0" r="2540" b="889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6"/>
                    <a:stretch>
                      <a:fillRect/>
                    </a:stretch>
                  </pic:blipFill>
                  <pic:spPr>
                    <a:xfrm>
                      <a:off x="0" y="0"/>
                      <a:ext cx="5274310" cy="6887210"/>
                    </a:xfrm>
                    <a:prstGeom prst="rect">
                      <a:avLst/>
                    </a:prstGeom>
                    <a:noFill/>
                    <a:ln>
                      <a:noFill/>
                    </a:ln>
                  </pic:spPr>
                </pic:pic>
              </a:graphicData>
            </a:graphic>
          </wp:inline>
        </w:drawing>
      </w:r>
    </w:p>
    <w:p w14:paraId="6FA1E58A">
      <w:pPr>
        <w:pStyle w:val="10"/>
        <w:spacing w:line="360" w:lineRule="auto"/>
        <w:ind w:firstLine="420"/>
      </w:pPr>
    </w:p>
    <w:p w14:paraId="1DCF6A50">
      <w:pPr>
        <w:pStyle w:val="10"/>
        <w:spacing w:line="360" w:lineRule="auto"/>
        <w:ind w:firstLine="420"/>
      </w:pPr>
    </w:p>
    <w:p w14:paraId="65AB7488">
      <w:pPr>
        <w:pStyle w:val="10"/>
        <w:spacing w:line="360" w:lineRule="auto"/>
        <w:ind w:firstLine="420"/>
      </w:pPr>
    </w:p>
    <w:p w14:paraId="11F453D8">
      <w:pPr>
        <w:pStyle w:val="10"/>
        <w:spacing w:line="360" w:lineRule="auto"/>
        <w:ind w:firstLine="420"/>
      </w:pPr>
    </w:p>
    <w:p w14:paraId="3F17163C">
      <w:pPr>
        <w:pStyle w:val="10"/>
        <w:spacing w:line="360" w:lineRule="auto"/>
        <w:ind w:firstLine="420"/>
        <w:rPr>
          <w:rFonts w:hint="default"/>
          <w:lang w:val="en-US" w:eastAsia="zh-CN"/>
        </w:rPr>
      </w:pPr>
    </w:p>
    <w:p w14:paraId="46A19140">
      <w:pPr>
        <w:pStyle w:val="4"/>
        <w:numPr>
          <w:ilvl w:val="0"/>
          <w:numId w:val="1"/>
        </w:numPr>
        <w:spacing w:line="360" w:lineRule="auto"/>
        <w:rPr>
          <w:rFonts w:hint="eastAsia" w:ascii="宋体" w:hAnsi="宋体" w:eastAsia="宋体"/>
          <w:lang w:val="en-US" w:eastAsia="zh-CN"/>
        </w:rPr>
      </w:pPr>
      <w:r>
        <w:rPr>
          <w:rFonts w:hint="eastAsia" w:ascii="宋体" w:hAnsi="宋体" w:eastAsia="宋体"/>
          <w:lang w:val="en-US" w:eastAsia="zh-CN"/>
        </w:rPr>
        <w:t>变量定义与研究方法</w:t>
      </w:r>
    </w:p>
    <w:p w14:paraId="18F3EBD7">
      <w:pPr>
        <w:pStyle w:val="5"/>
        <w:bidi w:val="0"/>
        <w:rPr>
          <w:rFonts w:hint="eastAsia" w:ascii="宋体" w:hAnsi="宋体" w:eastAsia="宋体"/>
        </w:rPr>
      </w:pPr>
      <w:r>
        <w:rPr>
          <w:rFonts w:hint="eastAsia" w:ascii="宋体" w:hAnsi="宋体" w:eastAsia="宋体" w:cs="宋体"/>
          <w:b/>
          <w:bCs/>
          <w:lang w:val="en-US" w:eastAsia="zh-CN"/>
        </w:rPr>
        <w:t>1</w:t>
      </w:r>
      <w:r>
        <w:rPr>
          <w:rFonts w:hint="eastAsia" w:ascii="宋体" w:hAnsi="宋体" w:eastAsia="宋体" w:cs="宋体"/>
          <w:b/>
          <w:bCs/>
        </w:rPr>
        <w:t xml:space="preserve">. </w:t>
      </w:r>
      <w:r>
        <w:rPr>
          <w:rFonts w:hint="eastAsia" w:ascii="宋体" w:hAnsi="宋体" w:eastAsia="宋体" w:cs="宋体"/>
          <w:b/>
          <w:bCs/>
          <w:lang w:val="en-US" w:eastAsia="zh-CN"/>
        </w:rPr>
        <w:t>匹配度分析框架</w:t>
      </w:r>
    </w:p>
    <w:p w14:paraId="2BD8B9E5">
      <w:pPr>
        <w:pStyle w:val="10"/>
        <w:spacing w:line="360" w:lineRule="auto"/>
        <w:ind w:firstLine="420"/>
        <w:rPr>
          <w:rFonts w:hint="eastAsia" w:ascii="宋体" w:hAnsi="宋体" w:eastAsia="宋体"/>
        </w:rPr>
      </w:pPr>
      <w:r>
        <w:rPr>
          <w:rFonts w:hint="eastAsia" w:ascii="宋体" w:hAnsi="宋体" w:eastAsia="宋体"/>
          <w:b/>
          <w:bCs/>
        </w:rPr>
        <w:t>核心变量：</w:t>
      </w:r>
      <w:r>
        <w:rPr>
          <w:rFonts w:hint="eastAsia" w:ascii="宋体" w:hAnsi="宋体" w:eastAsia="宋体"/>
        </w:rPr>
        <w:t>匹配度比值 = P3得分 / P1得分。该比值直观反映治理投入相对于发展水平的超前或滞后程度。</w:t>
      </w:r>
    </w:p>
    <w:p w14:paraId="45B5E945">
      <w:pPr>
        <w:pStyle w:val="10"/>
        <w:spacing w:line="360" w:lineRule="auto"/>
        <w:ind w:firstLine="420"/>
        <w:rPr>
          <w:rFonts w:hint="eastAsia" w:ascii="宋体" w:hAnsi="宋体" w:eastAsia="宋体"/>
        </w:rPr>
      </w:pPr>
      <w:r>
        <w:rPr>
          <w:rFonts w:hint="eastAsia" w:ascii="宋体" w:hAnsi="宋体" w:eastAsia="宋体"/>
          <w:b/>
          <w:bCs/>
        </w:rPr>
        <w:t>分类方法：</w:t>
      </w:r>
      <w:r>
        <w:rPr>
          <w:rFonts w:hint="eastAsia" w:ascii="宋体" w:hAnsi="宋体" w:eastAsia="宋体"/>
        </w:rPr>
        <w:t>以40国P1与P3得分的平均值为界，构建二维四象限矩阵，对国家进行类型学划分。</w:t>
      </w:r>
    </w:p>
    <w:p w14:paraId="0A0FFB75">
      <w:pPr>
        <w:pStyle w:val="10"/>
        <w:spacing w:line="360" w:lineRule="auto"/>
        <w:ind w:firstLine="420"/>
        <w:rPr>
          <w:rFonts w:hint="eastAsia" w:ascii="宋体" w:hAnsi="宋体" w:eastAsia="宋体"/>
        </w:rPr>
      </w:pPr>
      <w:r>
        <w:rPr>
          <w:rFonts w:hint="eastAsia" w:ascii="宋体" w:hAnsi="宋体" w:eastAsia="宋体"/>
          <w:b/>
          <w:bCs/>
        </w:rPr>
        <w:t>关联分析：</w:t>
      </w:r>
      <w:r>
        <w:rPr>
          <w:rFonts w:hint="eastAsia" w:ascii="宋体" w:hAnsi="宋体" w:eastAsia="宋体"/>
        </w:rPr>
        <w:t>将划分的类型与P2（AI治理环境）、P4（AI治理成效）下的关键维度得分（如D4风险暴露度、D14社会接受度）进行关联比较。</w:t>
      </w:r>
    </w:p>
    <w:p w14:paraId="241E3931">
      <w:pPr>
        <w:pStyle w:val="5"/>
        <w:bidi w:val="0"/>
        <w:rPr>
          <w:rFonts w:hint="eastAsia" w:ascii="宋体" w:hAnsi="宋体" w:eastAsia="宋体"/>
        </w:rPr>
      </w:pPr>
      <w:r>
        <w:rPr>
          <w:rFonts w:hint="eastAsia" w:asciiTheme="majorEastAsia" w:hAnsiTheme="majorEastAsia" w:eastAsiaTheme="majorEastAsia" w:cstheme="majorEastAsia"/>
          <w:lang w:val="en-US" w:eastAsia="zh-CN"/>
        </w:rPr>
        <w:t>2.</w:t>
      </w:r>
      <w:r>
        <w:rPr>
          <w:rFonts w:hint="eastAsia" w:asciiTheme="majorEastAsia" w:hAnsiTheme="majorEastAsia" w:eastAsiaTheme="majorEastAsia" w:cstheme="majorEastAsia"/>
        </w:rPr>
        <w:t>政策工具组合分析框架：</w:t>
      </w:r>
    </w:p>
    <w:p w14:paraId="2D814760">
      <w:pPr>
        <w:pStyle w:val="10"/>
        <w:spacing w:line="360" w:lineRule="auto"/>
        <w:ind w:firstLine="420"/>
        <w:rPr>
          <w:rFonts w:hint="eastAsia" w:ascii="宋体" w:hAnsi="宋体" w:eastAsia="宋体"/>
        </w:rPr>
      </w:pPr>
      <w:r>
        <w:rPr>
          <w:rFonts w:hint="eastAsia" w:ascii="宋体" w:hAnsi="宋体" w:eastAsia="宋体"/>
          <w:b/>
          <w:bCs/>
        </w:rPr>
        <w:t>数据预处理：</w:t>
      </w:r>
      <w:r>
        <w:rPr>
          <w:rFonts w:hint="eastAsia" w:ascii="宋体" w:hAnsi="宋体" w:eastAsia="宋体"/>
        </w:rPr>
        <w:t>对D6-D12的7维得分进行标准化处理，确保聚类分析的有效性。</w:t>
      </w:r>
    </w:p>
    <w:p w14:paraId="20A25AA6">
      <w:pPr>
        <w:pStyle w:val="10"/>
        <w:spacing w:line="360" w:lineRule="auto"/>
        <w:ind w:firstLine="420"/>
        <w:rPr>
          <w:rFonts w:hint="eastAsia" w:ascii="宋体" w:hAnsi="宋体" w:eastAsia="宋体"/>
        </w:rPr>
      </w:pPr>
      <w:r>
        <w:rPr>
          <w:rFonts w:hint="eastAsia" w:ascii="宋体" w:hAnsi="宋体" w:eastAsia="宋体"/>
          <w:b/>
          <w:bCs/>
        </w:rPr>
        <w:t>聚类方法：</w:t>
      </w:r>
      <w:r>
        <w:rPr>
          <w:rFonts w:hint="eastAsia" w:ascii="宋体" w:hAnsi="宋体" w:eastAsia="宋体"/>
        </w:rPr>
        <w:t>采用K-means聚类算法，将40个国家依据其政策工具配置的相似性划分为不同的集群（治理模式）。通过轮廓系数等方法辅助确定最佳聚类数量。</w:t>
      </w:r>
    </w:p>
    <w:p w14:paraId="16C446FE">
      <w:pPr>
        <w:pStyle w:val="10"/>
        <w:spacing w:line="360" w:lineRule="auto"/>
        <w:ind w:firstLine="420"/>
        <w:rPr>
          <w:rFonts w:hint="eastAsia" w:ascii="宋体" w:hAnsi="宋体" w:eastAsia="宋体"/>
        </w:rPr>
      </w:pPr>
      <w:r>
        <w:rPr>
          <w:rFonts w:hint="eastAsia" w:ascii="宋体" w:hAnsi="宋体" w:eastAsia="宋体"/>
          <w:b/>
          <w:bCs/>
        </w:rPr>
        <w:t>模式评估</w:t>
      </w:r>
      <w:r>
        <w:rPr>
          <w:rFonts w:hint="eastAsia" w:ascii="宋体" w:hAnsi="宋体" w:eastAsia="宋体"/>
        </w:rPr>
        <w:t>：比较不同聚类群体在“风险控制”（P2-D4）、“社会接受”（P4-D14）及“创新活力”（P1-D3）等结果指标上的平均表现差异。</w:t>
      </w:r>
    </w:p>
    <w:p w14:paraId="78E66FD2">
      <w:pPr>
        <w:pStyle w:val="4"/>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（三）分析工具</w:t>
      </w:r>
    </w:p>
    <w:p w14:paraId="48A8C2CA">
      <w:pPr>
        <w:pStyle w:val="10"/>
        <w:spacing w:line="360" w:lineRule="auto"/>
        <w:ind w:firstLine="420"/>
        <w:rPr>
          <w:rFonts w:ascii="宋体" w:hAnsi="宋体" w:eastAsia="宋体"/>
        </w:rPr>
      </w:pPr>
      <w:r>
        <w:rPr>
          <w:rFonts w:hint="eastAsia" w:ascii="宋体" w:hAnsi="宋体" w:eastAsia="宋体"/>
        </w:rPr>
        <w:t>本研究的数据处理、可视化及统计分析主要使用Python语言，辅以必要的统计检验方法（如组间均值差异比较）。</w:t>
      </w:r>
    </w:p>
    <w:p w14:paraId="4A68BFD6">
      <w:pPr>
        <w:pStyle w:val="3"/>
        <w:numPr>
          <w:ilvl w:val="0"/>
          <w:numId w:val="2"/>
        </w:numPr>
        <w:spacing w:line="360" w:lineRule="auto"/>
        <w:rPr>
          <w:rFonts w:ascii="宋体" w:hAnsi="宋体" w:eastAsia="宋体"/>
        </w:rPr>
      </w:pPr>
      <w:r>
        <w:rPr>
          <w:rFonts w:ascii="宋体" w:hAnsi="宋体" w:eastAsia="宋体"/>
        </w:rPr>
        <w:t>实证结果与分析</w:t>
      </w:r>
    </w:p>
    <w:p w14:paraId="19B70CA4">
      <w:pPr>
        <w:pStyle w:val="4"/>
        <w:numPr>
          <w:ilvl w:val="0"/>
          <w:numId w:val="3"/>
        </w:numPr>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AI发展与治理的匹配度诊断与国家分类</w:t>
      </w:r>
    </w:p>
    <w:p w14:paraId="067C0ABA">
      <w:pPr>
        <w:pStyle w:val="5"/>
        <w:bidi w:val="0"/>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1.匹配度分析</w:t>
      </w:r>
    </w:p>
    <w:p w14:paraId="6CCE9579">
      <w:pPr>
        <w:bidi w:val="0"/>
        <w:spacing w:line="360" w:lineRule="auto"/>
        <w:ind w:firstLine="420" w:firstLineChars="0"/>
        <w:rPr>
          <w:rFonts w:hint="eastAsia"/>
          <w:sz w:val="22"/>
          <w:szCs w:val="22"/>
        </w:rPr>
      </w:pPr>
      <w:r>
        <w:rPr>
          <w:rFonts w:hint="eastAsia"/>
          <w:sz w:val="22"/>
          <w:szCs w:val="22"/>
        </w:rPr>
        <w:t>基于P1与P3得分计算匹配度比值（P3/P1），其分布范围从0.45至2.31，表明各国在发展与治理的资源配置上存在巨大差异。以P1与P3的全球均值为坐标轴划分，得到四个象限，</w:t>
      </w:r>
      <w:r>
        <w:rPr>
          <w:rFonts w:hint="eastAsia"/>
          <w:sz w:val="22"/>
          <w:szCs w:val="22"/>
          <w:lang w:val="en-US" w:eastAsia="zh-CN"/>
        </w:rPr>
        <w:t>也对应</w:t>
      </w:r>
      <w:r>
        <w:rPr>
          <w:rFonts w:hint="eastAsia"/>
          <w:sz w:val="22"/>
          <w:szCs w:val="22"/>
        </w:rPr>
        <w:t>AGILE报告中所提的四种类型：</w:t>
      </w:r>
    </w:p>
    <w:p w14:paraId="0F174D86">
      <w:pPr>
        <w:bidi w:val="0"/>
        <w:spacing w:line="360" w:lineRule="auto"/>
        <w:ind w:firstLine="420" w:firstLineChars="0"/>
        <w:rPr>
          <w:rFonts w:hint="eastAsia"/>
          <w:sz w:val="22"/>
          <w:szCs w:val="22"/>
        </w:rPr>
      </w:pPr>
      <w:r>
        <w:rPr>
          <w:rFonts w:hint="eastAsia"/>
          <w:sz w:val="22"/>
          <w:szCs w:val="22"/>
        </w:rPr>
        <w:t>第一象限（全面领先型）：P1与P3得分均高于全球平均水平。此象限包含美国、中国、德国、新加坡等国，代表在技术发展与治理体系建设上均处于引领地位的国家集群。</w:t>
      </w:r>
    </w:p>
    <w:p w14:paraId="280579FD">
      <w:pPr>
        <w:bidi w:val="0"/>
        <w:spacing w:line="360" w:lineRule="auto"/>
        <w:ind w:firstLine="420" w:firstLineChars="0"/>
        <w:rPr>
          <w:rFonts w:hint="eastAsia"/>
          <w:sz w:val="22"/>
          <w:szCs w:val="22"/>
        </w:rPr>
      </w:pPr>
      <w:r>
        <w:rPr>
          <w:rFonts w:hint="eastAsia"/>
          <w:sz w:val="22"/>
          <w:szCs w:val="22"/>
        </w:rPr>
        <w:t>第二象限（治理超前型）：P1得分低于均值，但P3得分高于均值。韩国、法国、加拿大是典型代表，呈现出“制度先行、治理牵引”的特征。</w:t>
      </w:r>
    </w:p>
    <w:p w14:paraId="450243C4">
      <w:pPr>
        <w:bidi w:val="0"/>
        <w:spacing w:line="360" w:lineRule="auto"/>
        <w:ind w:firstLine="420" w:firstLineChars="0"/>
        <w:rPr>
          <w:rFonts w:hint="eastAsia"/>
          <w:sz w:val="22"/>
          <w:szCs w:val="22"/>
        </w:rPr>
      </w:pPr>
      <w:r>
        <w:rPr>
          <w:rFonts w:hint="eastAsia"/>
          <w:sz w:val="22"/>
          <w:szCs w:val="22"/>
        </w:rPr>
        <w:t>第三象限（基础建设型）：P1与P3得分均低于均值。印度、南非、阿根廷等国位于此象限，反映出在AI发展与治理基础方面均面临挑战。</w:t>
      </w:r>
    </w:p>
    <w:p w14:paraId="148C5BD0">
      <w:pPr>
        <w:bidi w:val="0"/>
        <w:spacing w:line="360" w:lineRule="auto"/>
        <w:ind w:firstLine="420" w:firstLineChars="0"/>
        <w:rPr>
          <w:rFonts w:hint="eastAsia"/>
          <w:sz w:val="22"/>
          <w:szCs w:val="22"/>
        </w:rPr>
      </w:pPr>
      <w:r>
        <w:rPr>
          <w:rFonts w:hint="eastAsia"/>
          <w:sz w:val="22"/>
          <w:szCs w:val="22"/>
        </w:rPr>
        <w:t>第四象限（治理滞后型）：P1得分高于均值，但P3得分低于均值。爱尔兰、以色列、新西兰等国属于此类，显示出技术研发与应用活跃，但配套治理工具建设相对迟缓的“发展-治理脱节”状态。</w:t>
      </w:r>
    </w:p>
    <w:p w14:paraId="37F4D86E">
      <w:pPr>
        <w:bidi w:val="0"/>
        <w:ind w:firstLine="420" w:firstLineChars="0"/>
        <w:rPr>
          <w:rFonts w:hint="eastAsia"/>
        </w:rPr>
      </w:pPr>
    </w:p>
    <w:p w14:paraId="474F2C2B">
      <w:pPr>
        <w:bidi w:val="0"/>
      </w:pPr>
      <w:r>
        <w:drawing>
          <wp:inline distT="0" distB="0" distL="114300" distR="114300">
            <wp:extent cx="3990340" cy="3089275"/>
            <wp:effectExtent l="0" t="0" r="635"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rcRect t="895"/>
                    <a:stretch>
                      <a:fillRect/>
                    </a:stretch>
                  </pic:blipFill>
                  <pic:spPr>
                    <a:xfrm>
                      <a:off x="0" y="0"/>
                      <a:ext cx="3990340" cy="3089275"/>
                    </a:xfrm>
                    <a:prstGeom prst="rect">
                      <a:avLst/>
                    </a:prstGeom>
                    <a:noFill/>
                    <a:ln>
                      <a:noFill/>
                    </a:ln>
                  </pic:spPr>
                </pic:pic>
              </a:graphicData>
            </a:graphic>
          </wp:inline>
        </w:drawing>
      </w:r>
    </w:p>
    <w:p w14:paraId="50DF0E55">
      <w:pPr>
        <w:bidi w:val="0"/>
        <w:rPr>
          <w:rFonts w:hint="eastAsia"/>
          <w:lang w:val="en-US" w:eastAsia="zh-CN"/>
        </w:rPr>
      </w:pPr>
      <w:r>
        <w:rPr>
          <w:rFonts w:hint="eastAsia"/>
          <w:lang w:val="en-US" w:eastAsia="zh-CN"/>
        </w:rPr>
        <w:t>也形成了表格</w:t>
      </w:r>
    </w:p>
    <w:p w14:paraId="2D42CC93">
      <w:pPr>
        <w:bidi w:val="0"/>
      </w:pPr>
      <w:r>
        <w:drawing>
          <wp:inline distT="0" distB="0" distL="114300" distR="114300">
            <wp:extent cx="5890895" cy="3585845"/>
            <wp:effectExtent l="0" t="0" r="5080" b="508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8"/>
                    <a:stretch>
                      <a:fillRect/>
                    </a:stretch>
                  </pic:blipFill>
                  <pic:spPr>
                    <a:xfrm>
                      <a:off x="0" y="0"/>
                      <a:ext cx="5890895" cy="3585845"/>
                    </a:xfrm>
                    <a:prstGeom prst="rect">
                      <a:avLst/>
                    </a:prstGeom>
                    <a:noFill/>
                    <a:ln>
                      <a:noFill/>
                    </a:ln>
                  </pic:spPr>
                </pic:pic>
              </a:graphicData>
            </a:graphic>
          </wp:inline>
        </w:drawing>
      </w:r>
    </w:p>
    <w:p w14:paraId="294076F9">
      <w:pPr>
        <w:bidi w:val="0"/>
        <w:rPr>
          <w:rFonts w:hint="eastAsia"/>
          <w:sz w:val="22"/>
          <w:szCs w:val="22"/>
          <w:lang w:val="en-US" w:eastAsia="zh-CN"/>
        </w:rPr>
      </w:pPr>
      <w:r>
        <w:rPr>
          <w:rFonts w:hint="eastAsia"/>
          <w:sz w:val="22"/>
          <w:szCs w:val="22"/>
          <w:lang w:val="en-US" w:eastAsia="zh-CN"/>
        </w:rPr>
        <w:t>这是概况</w:t>
      </w:r>
    </w:p>
    <w:p w14:paraId="460F1FF0">
      <w:pPr>
        <w:bidi w:val="0"/>
        <w:rPr>
          <w:rFonts w:hint="default"/>
          <w:lang w:val="en-US" w:eastAsia="zh-CN"/>
        </w:rPr>
      </w:pPr>
      <w:r>
        <w:drawing>
          <wp:inline distT="0" distB="0" distL="114300" distR="114300">
            <wp:extent cx="5262880" cy="538480"/>
            <wp:effectExtent l="0" t="0" r="4445" b="444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9"/>
                    <a:stretch>
                      <a:fillRect/>
                    </a:stretch>
                  </pic:blipFill>
                  <pic:spPr>
                    <a:xfrm>
                      <a:off x="0" y="0"/>
                      <a:ext cx="5262880" cy="538480"/>
                    </a:xfrm>
                    <a:prstGeom prst="rect">
                      <a:avLst/>
                    </a:prstGeom>
                    <a:noFill/>
                    <a:ln>
                      <a:noFill/>
                    </a:ln>
                  </pic:spPr>
                </pic:pic>
              </a:graphicData>
            </a:graphic>
          </wp:inline>
        </w:drawing>
      </w:r>
    </w:p>
    <w:p w14:paraId="29E3A606">
      <w:pPr>
        <w:bidi w:val="0"/>
        <w:rPr>
          <w:rFonts w:hint="default" w:eastAsiaTheme="minorEastAsia"/>
          <w:sz w:val="22"/>
          <w:szCs w:val="22"/>
          <w:lang w:val="en-US" w:eastAsia="zh-CN"/>
        </w:rPr>
      </w:pPr>
      <w:r>
        <w:rPr>
          <w:rFonts w:hint="eastAsia"/>
          <w:sz w:val="22"/>
          <w:szCs w:val="22"/>
          <w:lang w:val="en-US" w:eastAsia="zh-CN"/>
        </w:rPr>
        <w:t>以及相关性计算</w:t>
      </w:r>
    </w:p>
    <w:p w14:paraId="2BD6047B">
      <w:pPr>
        <w:bidi w:val="0"/>
        <w:rPr>
          <w:rFonts w:hint="default"/>
          <w:lang w:val="en-US" w:eastAsia="zh-CN"/>
        </w:rPr>
      </w:pPr>
      <w:r>
        <w:drawing>
          <wp:inline distT="0" distB="0" distL="114300" distR="114300">
            <wp:extent cx="7035800" cy="881380"/>
            <wp:effectExtent l="0" t="0" r="3175" b="444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0"/>
                    <a:stretch>
                      <a:fillRect/>
                    </a:stretch>
                  </pic:blipFill>
                  <pic:spPr>
                    <a:xfrm>
                      <a:off x="0" y="0"/>
                      <a:ext cx="7035800" cy="881380"/>
                    </a:xfrm>
                    <a:prstGeom prst="rect">
                      <a:avLst/>
                    </a:prstGeom>
                    <a:noFill/>
                    <a:ln>
                      <a:noFill/>
                    </a:ln>
                  </pic:spPr>
                </pic:pic>
              </a:graphicData>
            </a:graphic>
          </wp:inline>
        </w:drawing>
      </w:r>
    </w:p>
    <w:p w14:paraId="051D40E3">
      <w:pPr>
        <w:bidi w:val="0"/>
        <w:rPr>
          <w:rFonts w:hint="default" w:eastAsiaTheme="minorEastAsia"/>
          <w:sz w:val="22"/>
          <w:szCs w:val="22"/>
          <w:lang w:val="en-US" w:eastAsia="zh-CN"/>
        </w:rPr>
      </w:pPr>
      <w:r>
        <w:rPr>
          <w:rFonts w:hint="eastAsia"/>
          <w:sz w:val="22"/>
          <w:szCs w:val="22"/>
          <w:lang w:val="en-US" w:eastAsia="zh-CN"/>
        </w:rPr>
        <w:t>还有四种类型国家的匹配度的分布。</w:t>
      </w:r>
    </w:p>
    <w:p w14:paraId="697A79A8">
      <w:pPr>
        <w:bidi w:val="0"/>
        <w:rPr>
          <w:rFonts w:hint="eastAsia"/>
        </w:rPr>
      </w:pPr>
    </w:p>
    <w:p w14:paraId="774E688A">
      <w:pPr>
        <w:bidi w:val="0"/>
      </w:pPr>
      <w:r>
        <w:drawing>
          <wp:inline distT="0" distB="0" distL="114300" distR="114300">
            <wp:extent cx="4785995" cy="4451350"/>
            <wp:effectExtent l="0" t="0" r="508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rcRect t="1115"/>
                    <a:stretch>
                      <a:fillRect/>
                    </a:stretch>
                  </pic:blipFill>
                  <pic:spPr>
                    <a:xfrm>
                      <a:off x="0" y="0"/>
                      <a:ext cx="4785995" cy="4451350"/>
                    </a:xfrm>
                    <a:prstGeom prst="rect">
                      <a:avLst/>
                    </a:prstGeom>
                    <a:noFill/>
                    <a:ln>
                      <a:noFill/>
                    </a:ln>
                  </pic:spPr>
                </pic:pic>
              </a:graphicData>
            </a:graphic>
          </wp:inline>
        </w:drawing>
      </w:r>
    </w:p>
    <w:p w14:paraId="713C7DAA">
      <w:pPr>
        <w:bidi w:val="0"/>
      </w:pPr>
    </w:p>
    <w:p w14:paraId="5B80159C">
      <w:pPr>
        <w:pStyle w:val="5"/>
        <w:bidi w:val="0"/>
        <w:rPr>
          <w:rFonts w:hint="eastAsia" w:ascii="宋体" w:hAnsi="宋体" w:eastAsia="宋体" w:cs="宋体"/>
        </w:rPr>
      </w:pPr>
      <w:r>
        <w:rPr>
          <w:rFonts w:hint="eastAsia" w:ascii="宋体" w:hAnsi="宋体" w:eastAsia="宋体" w:cs="宋体"/>
        </w:rPr>
        <w:t>2</w:t>
      </w:r>
      <w:r>
        <w:rPr>
          <w:rFonts w:hint="eastAsia" w:ascii="宋体" w:hAnsi="宋体" w:eastAsia="宋体" w:cs="宋体"/>
          <w:lang w:eastAsia="zh-CN"/>
        </w:rPr>
        <w:t>.</w:t>
      </w:r>
      <w:r>
        <w:rPr>
          <w:rFonts w:hint="eastAsia" w:ascii="宋体" w:hAnsi="宋体" w:eastAsia="宋体" w:cs="宋体"/>
        </w:rPr>
        <w:t xml:space="preserve"> 匹配度与治理效能的初步关联</w:t>
      </w:r>
    </w:p>
    <w:p w14:paraId="4AE1CEC2">
      <w:pPr>
        <w:bidi w:val="0"/>
        <w:spacing w:line="360" w:lineRule="auto"/>
        <w:ind w:firstLine="420" w:firstLineChars="0"/>
        <w:rPr>
          <w:rFonts w:hint="eastAsia"/>
          <w:sz w:val="22"/>
          <w:szCs w:val="22"/>
        </w:rPr>
      </w:pPr>
      <w:r>
        <w:rPr>
          <w:rFonts w:hint="eastAsia"/>
          <w:sz w:val="22"/>
          <w:szCs w:val="22"/>
        </w:rPr>
        <w:t>为了探究不同匹配类型在治理效能上的差异，我们对四种类型的国家在关键效能指标上的表现进行了对比分析。</w:t>
      </w:r>
    </w:p>
    <w:p w14:paraId="6B5635D4">
      <w:pPr>
        <w:bidi w:val="0"/>
        <w:ind w:firstLine="420" w:firstLineChars="0"/>
      </w:pPr>
      <w:r>
        <w:drawing>
          <wp:inline distT="0" distB="0" distL="114300" distR="114300">
            <wp:extent cx="5243830" cy="3723005"/>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rcRect r="542"/>
                    <a:stretch>
                      <a:fillRect/>
                    </a:stretch>
                  </pic:blipFill>
                  <pic:spPr>
                    <a:xfrm>
                      <a:off x="0" y="0"/>
                      <a:ext cx="5243830" cy="3723005"/>
                    </a:xfrm>
                    <a:prstGeom prst="rect">
                      <a:avLst/>
                    </a:prstGeom>
                    <a:noFill/>
                    <a:ln>
                      <a:noFill/>
                    </a:ln>
                  </pic:spPr>
                </pic:pic>
              </a:graphicData>
            </a:graphic>
          </wp:inline>
        </w:drawing>
      </w:r>
    </w:p>
    <w:p w14:paraId="40FEC7E2">
      <w:pPr>
        <w:bidi w:val="0"/>
        <w:rPr>
          <w:rFonts w:hint="eastAsia"/>
        </w:rPr>
      </w:pPr>
    </w:p>
    <w:p w14:paraId="27A4C132">
      <w:pPr>
        <w:bidi w:val="0"/>
        <w:spacing w:line="360" w:lineRule="auto"/>
        <w:ind w:firstLine="420" w:firstLineChars="0"/>
        <w:rPr>
          <w:rFonts w:hint="eastAsia"/>
          <w:sz w:val="22"/>
          <w:szCs w:val="22"/>
        </w:rPr>
      </w:pPr>
      <w:r>
        <w:rPr>
          <w:rFonts w:hint="eastAsia"/>
          <w:sz w:val="22"/>
          <w:szCs w:val="22"/>
        </w:rPr>
        <w:t>风险暴露度（P2-D4）：治理滞后型国家在这一指标上的平均得分最低（38.2分），显著低于全面领先型（65.2分）和治理超前型（71.5分）。这表明，AI技术发展快而治理跟不上的国家，确实面临着更高的实际风险暴露。这种风险不仅来自技术本身的不确定性，也可能源于监管缺失导致的滥用和误用。</w:t>
      </w:r>
    </w:p>
    <w:p w14:paraId="429D855A">
      <w:pPr>
        <w:bidi w:val="0"/>
        <w:spacing w:line="360" w:lineRule="auto"/>
        <w:rPr>
          <w:rFonts w:hint="eastAsia"/>
          <w:sz w:val="22"/>
          <w:szCs w:val="22"/>
        </w:rPr>
      </w:pPr>
    </w:p>
    <w:p w14:paraId="0A2BE5E8">
      <w:pPr>
        <w:bidi w:val="0"/>
        <w:spacing w:line="360" w:lineRule="auto"/>
        <w:ind w:firstLine="420" w:firstLineChars="0"/>
        <w:rPr>
          <w:rFonts w:hint="eastAsia"/>
          <w:sz w:val="22"/>
          <w:szCs w:val="22"/>
        </w:rPr>
      </w:pPr>
      <w:r>
        <w:rPr>
          <w:rFonts w:hint="eastAsia"/>
          <w:sz w:val="22"/>
          <w:szCs w:val="22"/>
        </w:rPr>
        <w:t>社会接受度（P4-D14）：治理超前型国家在这一指标上表现最佳（平均68.3分），而治理滞后型国家得分最低（52.1分）。这可能意味着，通过主动构建治理框架、加强公众沟通和透明度，能够有效提升社会对AI技术的信任度和接受度。公众对新技术的社会接受度不仅与技术本身的成熟度相关，更与监管的明确性和可信度密切相关。</w:t>
      </w:r>
    </w:p>
    <w:p w14:paraId="019A4587">
      <w:pPr>
        <w:bidi w:val="0"/>
        <w:spacing w:line="360" w:lineRule="auto"/>
        <w:rPr>
          <w:rFonts w:hint="eastAsia"/>
          <w:sz w:val="22"/>
          <w:szCs w:val="22"/>
        </w:rPr>
      </w:pPr>
    </w:p>
    <w:p w14:paraId="46E6F46B">
      <w:pPr>
        <w:bidi w:val="0"/>
        <w:spacing w:line="360" w:lineRule="auto"/>
        <w:ind w:firstLine="420" w:firstLineChars="0"/>
        <w:rPr>
          <w:rFonts w:hint="eastAsia"/>
          <w:sz w:val="22"/>
          <w:szCs w:val="22"/>
        </w:rPr>
      </w:pPr>
      <w:r>
        <w:rPr>
          <w:rFonts w:hint="eastAsia"/>
          <w:sz w:val="22"/>
          <w:szCs w:val="22"/>
        </w:rPr>
        <w:t>治理成效（P4）：全面领先型国家在整体治理成效上表现最为均衡（平均64.8分），而基础建设型国家则全面落后（平均59.7分）。这一结果提示，AI发展与治理投入的"双高"配置可能是实现高水平治理成效的必要条件。</w:t>
      </w:r>
    </w:p>
    <w:p w14:paraId="2BA2A311">
      <w:pPr>
        <w:bidi w:val="0"/>
        <w:spacing w:line="360" w:lineRule="auto"/>
        <w:rPr>
          <w:rFonts w:hint="eastAsia"/>
          <w:sz w:val="22"/>
          <w:szCs w:val="22"/>
        </w:rPr>
      </w:pPr>
    </w:p>
    <w:p w14:paraId="5D33B565">
      <w:pPr>
        <w:bidi w:val="0"/>
        <w:spacing w:line="360" w:lineRule="auto"/>
        <w:ind w:firstLine="420" w:firstLineChars="0"/>
        <w:rPr>
          <w:rFonts w:hint="eastAsia"/>
          <w:sz w:val="22"/>
          <w:szCs w:val="22"/>
        </w:rPr>
      </w:pPr>
      <w:r>
        <w:rPr>
          <w:rFonts w:hint="eastAsia"/>
          <w:sz w:val="22"/>
          <w:szCs w:val="22"/>
        </w:rPr>
        <w:t>AGILE总分：全面领先型国家自然在总分上处于领先地位（平均78.5分），而基础建设型国家则明显落后（平均42.6分）。这一结果验证了我们分类框架的有效性。</w:t>
      </w:r>
    </w:p>
    <w:p w14:paraId="2B2BA1B0">
      <w:pPr>
        <w:pStyle w:val="5"/>
        <w:bidi w:val="0"/>
        <w:rPr>
          <w:rFonts w:hint="eastAsia" w:ascii="宋体" w:hAnsi="宋体" w:eastAsia="宋体" w:cs="宋体"/>
        </w:rPr>
      </w:pPr>
      <w:r>
        <w:rPr>
          <w:rFonts w:hint="eastAsia" w:ascii="宋体" w:hAnsi="宋体" w:eastAsia="宋体" w:cs="宋体"/>
        </w:rPr>
        <w:t>3</w:t>
      </w:r>
      <w:r>
        <w:rPr>
          <w:rFonts w:hint="eastAsia" w:ascii="宋体" w:hAnsi="宋体" w:eastAsia="宋体" w:cs="宋体"/>
          <w:lang w:eastAsia="zh-CN"/>
        </w:rPr>
        <w:t>.</w:t>
      </w:r>
      <w:r>
        <w:rPr>
          <w:rFonts w:hint="eastAsia" w:ascii="宋体" w:hAnsi="宋体" w:eastAsia="宋体" w:cs="宋体"/>
        </w:rPr>
        <w:t>典型案例的深度比较分析</w:t>
      </w:r>
    </w:p>
    <w:p w14:paraId="51834CB0">
      <w:pPr>
        <w:bidi w:val="0"/>
        <w:spacing w:line="360" w:lineRule="auto"/>
        <w:ind w:firstLine="420" w:firstLineChars="0"/>
        <w:rPr>
          <w:rFonts w:hint="eastAsia"/>
          <w:sz w:val="22"/>
          <w:szCs w:val="22"/>
        </w:rPr>
      </w:pPr>
      <w:r>
        <w:rPr>
          <w:rFonts w:hint="eastAsia"/>
          <w:sz w:val="22"/>
          <w:szCs w:val="22"/>
        </w:rPr>
        <w:t>为了更直观地展示不同匹配类型国家的全面特征，我们选取了四个典型国家（中国、韩国、爱尔兰、印度）绘制了多维能力对比雷达图。</w:t>
      </w:r>
    </w:p>
    <w:p w14:paraId="1EF46555">
      <w:pPr>
        <w:bidi w:val="0"/>
        <w:ind w:firstLine="420" w:firstLineChars="0"/>
        <w:rPr>
          <w:rFonts w:hint="eastAsia"/>
        </w:rPr>
      </w:pPr>
      <w:r>
        <w:drawing>
          <wp:inline distT="0" distB="0" distL="114300" distR="114300">
            <wp:extent cx="5273675" cy="4086860"/>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rcRect t="1213"/>
                    <a:stretch>
                      <a:fillRect/>
                    </a:stretch>
                  </pic:blipFill>
                  <pic:spPr>
                    <a:xfrm>
                      <a:off x="0" y="0"/>
                      <a:ext cx="5273675" cy="4086860"/>
                    </a:xfrm>
                    <a:prstGeom prst="rect">
                      <a:avLst/>
                    </a:prstGeom>
                    <a:noFill/>
                    <a:ln>
                      <a:noFill/>
                    </a:ln>
                  </pic:spPr>
                </pic:pic>
              </a:graphicData>
            </a:graphic>
          </wp:inline>
        </w:drawing>
      </w:r>
    </w:p>
    <w:p w14:paraId="54411CE4">
      <w:pPr>
        <w:bidi w:val="0"/>
        <w:ind w:firstLine="420" w:firstLineChars="0"/>
        <w:rPr>
          <w:rFonts w:hint="eastAsia"/>
          <w:sz w:val="22"/>
          <w:szCs w:val="22"/>
        </w:rPr>
      </w:pPr>
    </w:p>
    <w:p w14:paraId="079EEF47">
      <w:pPr>
        <w:bidi w:val="0"/>
        <w:spacing w:line="360" w:lineRule="auto"/>
        <w:ind w:firstLine="420" w:firstLineChars="0"/>
        <w:rPr>
          <w:rFonts w:hint="eastAsia"/>
          <w:sz w:val="22"/>
          <w:szCs w:val="22"/>
        </w:rPr>
      </w:pPr>
      <w:r>
        <w:rPr>
          <w:rFonts w:hint="eastAsia"/>
          <w:sz w:val="22"/>
          <w:szCs w:val="22"/>
        </w:rPr>
        <w:t>雷达图的对比呈现了几个值得关注的模式：</w:t>
      </w:r>
    </w:p>
    <w:p w14:paraId="4FFBC65C">
      <w:pPr>
        <w:bidi w:val="0"/>
        <w:spacing w:line="360" w:lineRule="auto"/>
        <w:ind w:firstLine="420" w:firstLineChars="0"/>
        <w:rPr>
          <w:rFonts w:hint="eastAsia"/>
          <w:sz w:val="22"/>
          <w:szCs w:val="22"/>
        </w:rPr>
      </w:pPr>
    </w:p>
    <w:p w14:paraId="67F384BF">
      <w:pPr>
        <w:bidi w:val="0"/>
        <w:spacing w:line="360" w:lineRule="auto"/>
        <w:ind w:firstLine="420" w:firstLineChars="0"/>
        <w:rPr>
          <w:rFonts w:hint="eastAsia"/>
          <w:sz w:val="22"/>
          <w:szCs w:val="22"/>
        </w:rPr>
      </w:pPr>
      <w:r>
        <w:rPr>
          <w:rFonts w:hint="eastAsia"/>
          <w:sz w:val="22"/>
          <w:szCs w:val="22"/>
        </w:rPr>
        <w:t>中国的全面性特征：在雷达图中呈现为一个相对均衡的六边形，尤其是在发展水平（P1）和治理工具（P3）两个维度上都表现出色，反映出中国试图在发展与治理之间寻求平衡的战略取向。</w:t>
      </w:r>
    </w:p>
    <w:p w14:paraId="311BC562">
      <w:pPr>
        <w:bidi w:val="0"/>
        <w:spacing w:line="360" w:lineRule="auto"/>
        <w:ind w:firstLine="420" w:firstLineChars="0"/>
        <w:rPr>
          <w:rFonts w:hint="eastAsia"/>
          <w:sz w:val="22"/>
          <w:szCs w:val="22"/>
        </w:rPr>
      </w:pPr>
    </w:p>
    <w:p w14:paraId="05D1D9C6">
      <w:pPr>
        <w:bidi w:val="0"/>
        <w:spacing w:line="360" w:lineRule="auto"/>
        <w:ind w:firstLine="420" w:firstLineChars="0"/>
        <w:rPr>
          <w:rFonts w:hint="eastAsia"/>
          <w:sz w:val="22"/>
          <w:szCs w:val="22"/>
        </w:rPr>
      </w:pPr>
      <w:r>
        <w:rPr>
          <w:rFonts w:hint="eastAsia"/>
          <w:sz w:val="22"/>
          <w:szCs w:val="22"/>
        </w:rPr>
        <w:t>韩国的"治理尖峰"特征：雷达图中P3维度呈现显著凸起，而P1维度相对较低，直观地展示了其"治理超前"的典型特征。这种配置模式可能反映了韩国试图通过制度创新来弥补技术追赶过程中的后发劣势。</w:t>
      </w:r>
    </w:p>
    <w:p w14:paraId="274F59CE">
      <w:pPr>
        <w:bidi w:val="0"/>
        <w:spacing w:line="360" w:lineRule="auto"/>
        <w:ind w:firstLine="420" w:firstLineChars="0"/>
        <w:rPr>
          <w:rFonts w:hint="eastAsia"/>
          <w:sz w:val="22"/>
          <w:szCs w:val="22"/>
        </w:rPr>
      </w:pPr>
    </w:p>
    <w:p w14:paraId="279B0058">
      <w:pPr>
        <w:bidi w:val="0"/>
        <w:spacing w:line="360" w:lineRule="auto"/>
        <w:ind w:firstLine="420" w:firstLineChars="0"/>
        <w:rPr>
          <w:rFonts w:hint="eastAsia"/>
          <w:sz w:val="22"/>
          <w:szCs w:val="22"/>
        </w:rPr>
      </w:pPr>
      <w:r>
        <w:rPr>
          <w:rFonts w:hint="eastAsia"/>
          <w:sz w:val="22"/>
          <w:szCs w:val="22"/>
        </w:rPr>
        <w:t>爱尔兰的"发展突出、治理薄弱"特征：P1维度得分高而P3维度得分低，同时在风险暴露度（D4）上表现不佳，验证了"治理滞后型"国家可能面临的风险挑战。</w:t>
      </w:r>
    </w:p>
    <w:p w14:paraId="4D16E6B3">
      <w:pPr>
        <w:bidi w:val="0"/>
        <w:spacing w:line="360" w:lineRule="auto"/>
        <w:ind w:firstLine="420" w:firstLineChars="0"/>
        <w:rPr>
          <w:rFonts w:hint="eastAsia"/>
          <w:sz w:val="22"/>
          <w:szCs w:val="22"/>
        </w:rPr>
      </w:pPr>
    </w:p>
    <w:p w14:paraId="2ABD252A">
      <w:pPr>
        <w:bidi w:val="0"/>
        <w:spacing w:line="360" w:lineRule="auto"/>
        <w:ind w:firstLine="420" w:firstLineChars="0"/>
        <w:rPr>
          <w:rFonts w:hint="default" w:eastAsiaTheme="minorEastAsia"/>
          <w:sz w:val="22"/>
          <w:szCs w:val="22"/>
          <w:lang w:val="en-US" w:eastAsia="zh-CN"/>
        </w:rPr>
      </w:pPr>
      <w:r>
        <w:rPr>
          <w:rFonts w:hint="eastAsia"/>
          <w:sz w:val="22"/>
          <w:szCs w:val="22"/>
        </w:rPr>
        <w:t>印度的全面追赶状态：在所有六个维度上得分都相对较低，形成一个小而相对均衡的六边形，反映了其作为"基础建设型"国家的典型特征——在AI发展的各个方面都处于追赶阶段。</w:t>
      </w:r>
    </w:p>
    <w:p w14:paraId="46EC814E">
      <w:pPr>
        <w:pStyle w:val="4"/>
        <w:numPr>
          <w:ilvl w:val="0"/>
          <w:numId w:val="3"/>
        </w:numPr>
        <w:bidi w:val="0"/>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政策工具组合的聚类分析与模式识别</w:t>
      </w:r>
    </w:p>
    <w:p w14:paraId="799C047C">
      <w:pPr>
        <w:pStyle w:val="5"/>
        <w:numPr>
          <w:ilvl w:val="0"/>
          <w:numId w:val="4"/>
        </w:numPr>
        <w:bidi w:val="0"/>
        <w:rPr>
          <w:rFonts w:hint="eastAsia" w:ascii="宋体" w:hAnsi="宋体" w:eastAsia="宋体" w:cs="宋体"/>
          <w:lang w:val="en-US" w:eastAsia="zh-CN"/>
        </w:rPr>
      </w:pPr>
      <w:r>
        <w:rPr>
          <w:rFonts w:hint="eastAsia" w:ascii="宋体" w:hAnsi="宋体" w:eastAsia="宋体" w:cs="宋体"/>
          <w:lang w:val="en-US" w:eastAsia="zh-CN"/>
        </w:rPr>
        <w:t>AI治理模式识别</w:t>
      </w:r>
    </w:p>
    <w:p w14:paraId="6809D424">
      <w:pPr>
        <w:numPr>
          <w:ilvl w:val="0"/>
          <w:numId w:val="0"/>
        </w:numPr>
        <w:bidi w:val="0"/>
        <w:spacing w:line="360" w:lineRule="auto"/>
        <w:ind w:firstLine="420" w:firstLineChars="0"/>
        <w:rPr>
          <w:rFonts w:hint="eastAsia" w:ascii="宋体" w:hAnsi="宋体" w:eastAsia="宋体" w:cs="宋体"/>
          <w:sz w:val="22"/>
          <w:szCs w:val="22"/>
        </w:rPr>
      </w:pPr>
      <w:r>
        <w:rPr>
          <w:rFonts w:hint="eastAsia" w:ascii="宋体" w:hAnsi="宋体" w:eastAsia="宋体" w:cs="宋体"/>
          <w:sz w:val="22"/>
          <w:szCs w:val="22"/>
        </w:rPr>
        <w:t>通过K-means聚类算法对40个国家在七个政策工具维度上的配置进行分析，我们识别出两种主要的人工智能治理模式。这种分类反映了各国在构建AI治理体系时不同的战略取向和工具偏好。</w:t>
      </w:r>
    </w:p>
    <w:p w14:paraId="31EAB7A2">
      <w:pPr>
        <w:numPr>
          <w:ilvl w:val="0"/>
          <w:numId w:val="0"/>
        </w:numPr>
        <w:bidi w:val="0"/>
        <w:spacing w:line="360" w:lineRule="auto"/>
        <w:ind w:firstLine="420" w:firstLineChars="0"/>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这是聚类数量选择的折线图和相关表格</w:t>
      </w:r>
    </w:p>
    <w:p w14:paraId="34536A72">
      <w:pPr>
        <w:numPr>
          <w:ilvl w:val="0"/>
          <w:numId w:val="0"/>
        </w:numPr>
        <w:bidi w:val="0"/>
        <w:spacing w:line="360" w:lineRule="auto"/>
      </w:pPr>
      <w:r>
        <w:drawing>
          <wp:inline distT="0" distB="0" distL="114300" distR="114300">
            <wp:extent cx="6099810" cy="2077085"/>
            <wp:effectExtent l="0" t="0" r="5715" b="889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4"/>
                    <a:stretch>
                      <a:fillRect/>
                    </a:stretch>
                  </pic:blipFill>
                  <pic:spPr>
                    <a:xfrm>
                      <a:off x="0" y="0"/>
                      <a:ext cx="6099810" cy="2077085"/>
                    </a:xfrm>
                    <a:prstGeom prst="rect">
                      <a:avLst/>
                    </a:prstGeom>
                    <a:noFill/>
                    <a:ln>
                      <a:noFill/>
                    </a:ln>
                  </pic:spPr>
                </pic:pic>
              </a:graphicData>
            </a:graphic>
          </wp:inline>
        </w:drawing>
      </w:r>
    </w:p>
    <w:p w14:paraId="42FE2B9E">
      <w:pPr>
        <w:numPr>
          <w:ilvl w:val="0"/>
          <w:numId w:val="0"/>
        </w:numPr>
        <w:bidi w:val="0"/>
        <w:spacing w:line="360" w:lineRule="auto"/>
        <w:rPr>
          <w:rFonts w:hint="default"/>
          <w:lang w:val="en-US" w:eastAsia="zh-CN"/>
        </w:rPr>
      </w:pPr>
      <w:r>
        <w:drawing>
          <wp:inline distT="0" distB="0" distL="114300" distR="114300">
            <wp:extent cx="5253990" cy="2534285"/>
            <wp:effectExtent l="0" t="0" r="3810" b="889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5"/>
                    <a:stretch>
                      <a:fillRect/>
                    </a:stretch>
                  </pic:blipFill>
                  <pic:spPr>
                    <a:xfrm>
                      <a:off x="0" y="0"/>
                      <a:ext cx="5253990" cy="2534285"/>
                    </a:xfrm>
                    <a:prstGeom prst="rect">
                      <a:avLst/>
                    </a:prstGeom>
                    <a:noFill/>
                    <a:ln>
                      <a:noFill/>
                    </a:ln>
                  </pic:spPr>
                </pic:pic>
              </a:graphicData>
            </a:graphic>
          </wp:inline>
        </w:drawing>
      </w:r>
    </w:p>
    <w:p w14:paraId="509E3817">
      <w:pPr>
        <w:bidi w:val="0"/>
        <w:spacing w:line="360" w:lineRule="auto"/>
        <w:rPr>
          <w:rFonts w:hint="default" w:eastAsiaTheme="minorEastAsia"/>
          <w:lang w:val="en-US" w:eastAsia="zh-CN"/>
        </w:rPr>
      </w:pPr>
      <w:r>
        <w:rPr>
          <w:rFonts w:hint="eastAsia"/>
          <w:lang w:val="en-US" w:eastAsia="zh-CN"/>
        </w:rPr>
        <w:t>这是雷达图</w:t>
      </w:r>
    </w:p>
    <w:p w14:paraId="74F1FAF0">
      <w:pPr>
        <w:bidi w:val="0"/>
        <w:rPr>
          <w:rFonts w:hint="eastAsia"/>
        </w:rPr>
      </w:pPr>
      <w:r>
        <w:drawing>
          <wp:inline distT="0" distB="0" distL="114300" distR="114300">
            <wp:extent cx="4725670" cy="3920490"/>
            <wp:effectExtent l="0" t="0" r="8255" b="381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6"/>
                    <a:stretch>
                      <a:fillRect/>
                    </a:stretch>
                  </pic:blipFill>
                  <pic:spPr>
                    <a:xfrm>
                      <a:off x="0" y="0"/>
                      <a:ext cx="4725670" cy="3920490"/>
                    </a:xfrm>
                    <a:prstGeom prst="rect">
                      <a:avLst/>
                    </a:prstGeom>
                    <a:noFill/>
                    <a:ln>
                      <a:noFill/>
                    </a:ln>
                  </pic:spPr>
                </pic:pic>
              </a:graphicData>
            </a:graphic>
          </wp:inline>
        </w:drawing>
      </w:r>
    </w:p>
    <w:p w14:paraId="5E53D609">
      <w:pPr>
        <w:bidi w:val="0"/>
        <w:spacing w:line="360" w:lineRule="auto"/>
        <w:rPr>
          <w:rFonts w:hint="eastAsia"/>
          <w:sz w:val="22"/>
          <w:szCs w:val="22"/>
        </w:rPr>
      </w:pPr>
      <w:r>
        <w:rPr>
          <w:rFonts w:hint="eastAsia"/>
          <w:sz w:val="22"/>
          <w:szCs w:val="22"/>
        </w:rPr>
        <w:t>从雷达图可以清晰地看出两种治理模式在工具配置上的显著差异：</w:t>
      </w:r>
    </w:p>
    <w:p w14:paraId="54463084">
      <w:pPr>
        <w:bidi w:val="0"/>
        <w:spacing w:line="360" w:lineRule="auto"/>
        <w:rPr>
          <w:rFonts w:hint="eastAsia"/>
          <w:sz w:val="22"/>
          <w:szCs w:val="22"/>
        </w:rPr>
      </w:pPr>
    </w:p>
    <w:p w14:paraId="2AAD431E">
      <w:pPr>
        <w:bidi w:val="0"/>
        <w:spacing w:line="360" w:lineRule="auto"/>
        <w:rPr>
          <w:rFonts w:hint="eastAsia" w:eastAsiaTheme="minorEastAsia"/>
          <w:sz w:val="22"/>
          <w:szCs w:val="22"/>
          <w:lang w:eastAsia="zh-CN"/>
        </w:rPr>
      </w:pPr>
      <w:r>
        <w:rPr>
          <w:rFonts w:hint="eastAsia"/>
          <w:sz w:val="22"/>
          <w:szCs w:val="22"/>
        </w:rPr>
        <w:t xml:space="preserve"> 软性引导型模式（14个国家）</w:t>
      </w:r>
      <w:r>
        <w:rPr>
          <w:rFonts w:hint="eastAsia"/>
          <w:sz w:val="22"/>
          <w:szCs w:val="22"/>
          <w:lang w:eastAsia="zh-CN"/>
        </w:rPr>
        <w:t>：</w:t>
      </w:r>
    </w:p>
    <w:p w14:paraId="4EA359EA">
      <w:pPr>
        <w:bidi w:val="0"/>
        <w:spacing w:line="360" w:lineRule="auto"/>
        <w:ind w:firstLine="420" w:firstLineChars="0"/>
        <w:rPr>
          <w:rFonts w:hint="eastAsia"/>
          <w:sz w:val="22"/>
          <w:szCs w:val="22"/>
        </w:rPr>
      </w:pPr>
      <w:r>
        <w:rPr>
          <w:rFonts w:hint="eastAsia"/>
          <w:sz w:val="22"/>
          <w:szCs w:val="22"/>
        </w:rPr>
        <w:t>该模式在战略规划（D6）、治理机构（D7）、伦理原则（D8）和标准认证（D10）等维度上表现出色。代表国家包括中国、美国、德国、韩国、英国等。这类模式的特点是通过明确的战略愿景、健全的治理机构和伦理原则来引导AI发展，而非依赖刚性的法律约束。例如，在标准认证（D10）维度上，软性引导型国家平均得分高达50.2分，反映出它们倾向于通过行业标准和技术规范而非强制性立法来规范AI发展。</w:t>
      </w:r>
    </w:p>
    <w:p w14:paraId="30868851">
      <w:pPr>
        <w:bidi w:val="0"/>
        <w:spacing w:line="360" w:lineRule="auto"/>
        <w:rPr>
          <w:rFonts w:hint="eastAsia"/>
          <w:sz w:val="22"/>
          <w:szCs w:val="22"/>
        </w:rPr>
      </w:pPr>
    </w:p>
    <w:p w14:paraId="42494861">
      <w:pPr>
        <w:bidi w:val="0"/>
        <w:spacing w:line="360" w:lineRule="auto"/>
        <w:ind w:firstLine="420" w:firstLineChars="0"/>
        <w:rPr>
          <w:rFonts w:hint="eastAsia" w:eastAsiaTheme="minorEastAsia"/>
          <w:sz w:val="22"/>
          <w:szCs w:val="22"/>
          <w:lang w:eastAsia="zh-CN"/>
        </w:rPr>
      </w:pPr>
      <w:r>
        <w:rPr>
          <w:rFonts w:hint="eastAsia"/>
          <w:sz w:val="22"/>
          <w:szCs w:val="22"/>
        </w:rPr>
        <w:t>混合发展型模式（26个国家）</w:t>
      </w:r>
      <w:r>
        <w:rPr>
          <w:rFonts w:hint="eastAsia"/>
          <w:sz w:val="22"/>
          <w:szCs w:val="22"/>
          <w:lang w:eastAsia="zh-CN"/>
        </w:rPr>
        <w:t>：</w:t>
      </w:r>
    </w:p>
    <w:p w14:paraId="513C495D">
      <w:pPr>
        <w:bidi w:val="0"/>
        <w:spacing w:line="360" w:lineRule="auto"/>
        <w:rPr>
          <w:rFonts w:hint="eastAsia"/>
          <w:sz w:val="22"/>
          <w:szCs w:val="22"/>
        </w:rPr>
      </w:pPr>
      <w:r>
        <w:rPr>
          <w:rFonts w:hint="eastAsia"/>
          <w:sz w:val="22"/>
          <w:szCs w:val="22"/>
        </w:rPr>
        <w:t>该模式在政策工具配置上更为均衡，但在国际参与（D12）和立法现状（D11）维度上得分较高，在伦理原则（D8）维度上得分相对较低。代表国家包括芬兰、荷兰、瑞典、丹麦、瑞士等。这类模式更加注重国际协作和法律框架建设，但在伦理原则的明确性和影响力评估工具的完善程度上有所欠缺。</w:t>
      </w:r>
    </w:p>
    <w:p w14:paraId="4530A97B">
      <w:pPr>
        <w:bidi w:val="0"/>
        <w:spacing w:line="360" w:lineRule="auto"/>
        <w:rPr>
          <w:rFonts w:hint="eastAsia"/>
          <w:sz w:val="22"/>
          <w:szCs w:val="22"/>
        </w:rPr>
      </w:pPr>
    </w:p>
    <w:p w14:paraId="00B30E6E">
      <w:pPr>
        <w:bidi w:val="0"/>
        <w:spacing w:line="360" w:lineRule="auto"/>
        <w:ind w:firstLine="420" w:firstLineChars="0"/>
        <w:rPr>
          <w:rFonts w:hint="eastAsia"/>
          <w:sz w:val="22"/>
          <w:szCs w:val="22"/>
        </w:rPr>
      </w:pPr>
      <w:r>
        <w:rPr>
          <w:rFonts w:hint="eastAsia"/>
          <w:sz w:val="22"/>
          <w:szCs w:val="22"/>
        </w:rPr>
        <w:t>值得注意的是，聚类分析显示最佳聚类数量为4（根据轮廓系数确定），但基于实际政策意义的解读，我们将这些聚类进一步合并为两种主要模式，以便于政策讨论和实践参考。这种合并反映了全球AI治理的基本分野：一方面是积极构建完整治理体系的国家，另一方面是仍在探索中或采取混合策略的国家。</w:t>
      </w:r>
    </w:p>
    <w:p w14:paraId="3553D83C">
      <w:pPr>
        <w:bidi w:val="0"/>
        <w:rPr>
          <w:rFonts w:hint="eastAsia"/>
        </w:rPr>
      </w:pPr>
    </w:p>
    <w:p w14:paraId="0E47634E">
      <w:pPr>
        <w:pStyle w:val="5"/>
        <w:bidi w:val="0"/>
        <w:rPr>
          <w:rFonts w:hint="eastAsia" w:asciiTheme="majorEastAsia" w:hAnsiTheme="majorEastAsia" w:eastAsiaTheme="majorEastAsia" w:cstheme="majorEastAsia"/>
        </w:rPr>
      </w:pPr>
      <w:r>
        <w:rPr>
          <w:rFonts w:hint="eastAsia" w:asciiTheme="majorEastAsia" w:hAnsiTheme="majorEastAsia" w:eastAsiaTheme="majorEastAsia" w:cstheme="majorEastAsia"/>
          <w:lang w:val="en-US" w:eastAsia="zh-CN"/>
        </w:rPr>
        <w:t>2.</w:t>
      </w:r>
      <w:r>
        <w:rPr>
          <w:rFonts w:hint="eastAsia" w:asciiTheme="majorEastAsia" w:hAnsiTheme="majorEastAsia" w:eastAsiaTheme="majorEastAsia" w:cstheme="majorEastAsia"/>
        </w:rPr>
        <w:t>不同治理模式的效能表现对比</w:t>
      </w:r>
    </w:p>
    <w:p w14:paraId="580838DA">
      <w:pPr>
        <w:bidi w:val="0"/>
        <w:spacing w:line="360" w:lineRule="auto"/>
        <w:ind w:firstLine="420" w:firstLineChars="0"/>
        <w:rPr>
          <w:rFonts w:hint="eastAsia"/>
          <w:sz w:val="22"/>
          <w:szCs w:val="22"/>
        </w:rPr>
      </w:pPr>
      <w:r>
        <w:rPr>
          <w:rFonts w:hint="eastAsia"/>
          <w:sz w:val="22"/>
          <w:szCs w:val="22"/>
        </w:rPr>
        <w:t>为了评估不同治理模式的实践效果，我们对比了两种模式在关键效能指标上的表现这些指标包括风险控制、社会接受度、创新活力和治理成效。</w:t>
      </w:r>
    </w:p>
    <w:p w14:paraId="0706A760">
      <w:pPr>
        <w:bidi w:val="0"/>
        <w:rPr>
          <w:rFonts w:hint="eastAsia"/>
          <w:sz w:val="22"/>
          <w:szCs w:val="22"/>
        </w:rPr>
      </w:pPr>
      <w:r>
        <w:drawing>
          <wp:inline distT="0" distB="0" distL="114300" distR="114300">
            <wp:extent cx="5268595" cy="485140"/>
            <wp:effectExtent l="0" t="0" r="8255" b="63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7"/>
                    <a:stretch>
                      <a:fillRect/>
                    </a:stretch>
                  </pic:blipFill>
                  <pic:spPr>
                    <a:xfrm>
                      <a:off x="0" y="0"/>
                      <a:ext cx="5268595" cy="485140"/>
                    </a:xfrm>
                    <a:prstGeom prst="rect">
                      <a:avLst/>
                    </a:prstGeom>
                    <a:noFill/>
                    <a:ln>
                      <a:noFill/>
                    </a:ln>
                  </pic:spPr>
                </pic:pic>
              </a:graphicData>
            </a:graphic>
          </wp:inline>
        </w:drawing>
      </w:r>
    </w:p>
    <w:p w14:paraId="7B78CD14">
      <w:pPr>
        <w:bidi w:val="0"/>
        <w:rPr>
          <w:rFonts w:hint="eastAsia"/>
          <w:sz w:val="22"/>
          <w:szCs w:val="22"/>
        </w:rPr>
      </w:pPr>
    </w:p>
    <w:p w14:paraId="43DFA667">
      <w:pPr>
        <w:bidi w:val="0"/>
        <w:rPr>
          <w:rFonts w:hint="eastAsia"/>
          <w:sz w:val="22"/>
          <w:szCs w:val="22"/>
        </w:rPr>
      </w:pPr>
      <w:r>
        <w:drawing>
          <wp:inline distT="0" distB="0" distL="114300" distR="114300">
            <wp:extent cx="5271770" cy="3855720"/>
            <wp:effectExtent l="0" t="0" r="5080" b="190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8"/>
                    <a:stretch>
                      <a:fillRect/>
                    </a:stretch>
                  </pic:blipFill>
                  <pic:spPr>
                    <a:xfrm>
                      <a:off x="0" y="0"/>
                      <a:ext cx="5271770" cy="3855720"/>
                    </a:xfrm>
                    <a:prstGeom prst="rect">
                      <a:avLst/>
                    </a:prstGeom>
                    <a:noFill/>
                    <a:ln>
                      <a:noFill/>
                    </a:ln>
                  </pic:spPr>
                </pic:pic>
              </a:graphicData>
            </a:graphic>
          </wp:inline>
        </w:drawing>
      </w:r>
    </w:p>
    <w:p w14:paraId="79E46F46">
      <w:pPr>
        <w:bidi w:val="0"/>
        <w:spacing w:line="360" w:lineRule="auto"/>
        <w:rPr>
          <w:rFonts w:hint="eastAsia"/>
          <w:sz w:val="22"/>
          <w:szCs w:val="22"/>
        </w:rPr>
      </w:pPr>
      <w:r>
        <w:rPr>
          <w:rFonts w:hint="eastAsia"/>
          <w:sz w:val="22"/>
          <w:szCs w:val="22"/>
        </w:rPr>
        <w:t>从图中可以得出以下关键发现：</w:t>
      </w:r>
    </w:p>
    <w:p w14:paraId="2F50E5B0">
      <w:pPr>
        <w:bidi w:val="0"/>
        <w:spacing w:line="360" w:lineRule="auto"/>
        <w:rPr>
          <w:rFonts w:hint="eastAsia"/>
          <w:sz w:val="22"/>
          <w:szCs w:val="22"/>
        </w:rPr>
      </w:pPr>
    </w:p>
    <w:p w14:paraId="413C845D">
      <w:pPr>
        <w:bidi w:val="0"/>
        <w:spacing w:line="360" w:lineRule="auto"/>
        <w:rPr>
          <w:rFonts w:hint="eastAsia" w:eastAsiaTheme="minorEastAsia"/>
          <w:sz w:val="22"/>
          <w:szCs w:val="22"/>
          <w:lang w:eastAsia="zh-CN"/>
        </w:rPr>
      </w:pPr>
      <w:r>
        <w:rPr>
          <w:rFonts w:hint="eastAsia"/>
          <w:sz w:val="22"/>
          <w:szCs w:val="22"/>
        </w:rPr>
        <w:t>风险控制能力显著差异</w:t>
      </w:r>
      <w:r>
        <w:rPr>
          <w:rFonts w:hint="eastAsia"/>
          <w:sz w:val="22"/>
          <w:szCs w:val="22"/>
          <w:lang w:eastAsia="zh-CN"/>
        </w:rPr>
        <w:t>：</w:t>
      </w:r>
    </w:p>
    <w:p w14:paraId="59BB0742">
      <w:pPr>
        <w:bidi w:val="0"/>
        <w:spacing w:line="360" w:lineRule="auto"/>
        <w:ind w:firstLine="420" w:firstLineChars="0"/>
        <w:rPr>
          <w:rFonts w:hint="eastAsia"/>
          <w:sz w:val="22"/>
          <w:szCs w:val="22"/>
        </w:rPr>
      </w:pPr>
      <w:r>
        <w:rPr>
          <w:rFonts w:hint="eastAsia"/>
          <w:sz w:val="22"/>
          <w:szCs w:val="22"/>
        </w:rPr>
        <w:t>混合发展型模式在风险控制（基于D4风险暴露度反向计算）上表现明显更好，平均风险水平得分为73.4分，而软性引导型模式仅为47.8分。这一差异在统计上具有显著性（ANOVA检验p&lt;0.05）。这表明，采用更加均衡、注重国际协作的治理模式，可能在防范AI风险方面更为有效。混合发展型国家虽然不一定在单一方面特别突出，但在风险管理的综合能力上表现更佳。</w:t>
      </w:r>
    </w:p>
    <w:p w14:paraId="20CF7ED4">
      <w:pPr>
        <w:bidi w:val="0"/>
        <w:spacing w:line="360" w:lineRule="auto"/>
        <w:rPr>
          <w:rFonts w:hint="eastAsia"/>
          <w:sz w:val="22"/>
          <w:szCs w:val="22"/>
        </w:rPr>
      </w:pPr>
    </w:p>
    <w:p w14:paraId="3D3A3DF3">
      <w:pPr>
        <w:bidi w:val="0"/>
        <w:spacing w:line="360" w:lineRule="auto"/>
        <w:rPr>
          <w:rFonts w:hint="eastAsia" w:eastAsiaTheme="minorEastAsia"/>
          <w:sz w:val="22"/>
          <w:szCs w:val="22"/>
          <w:lang w:eastAsia="zh-CN"/>
        </w:rPr>
      </w:pPr>
      <w:r>
        <w:rPr>
          <w:rFonts w:hint="eastAsia"/>
          <w:sz w:val="22"/>
          <w:szCs w:val="22"/>
        </w:rPr>
        <w:t>社会接受度相当但略有差异</w:t>
      </w:r>
      <w:r>
        <w:rPr>
          <w:rFonts w:hint="eastAsia"/>
          <w:sz w:val="22"/>
          <w:szCs w:val="22"/>
          <w:lang w:eastAsia="zh-CN"/>
        </w:rPr>
        <w:t>：</w:t>
      </w:r>
    </w:p>
    <w:p w14:paraId="631602F2">
      <w:pPr>
        <w:bidi w:val="0"/>
        <w:spacing w:line="360" w:lineRule="auto"/>
        <w:ind w:firstLine="420" w:firstLineChars="0"/>
        <w:rPr>
          <w:rFonts w:hint="eastAsia"/>
          <w:sz w:val="22"/>
          <w:szCs w:val="22"/>
        </w:rPr>
      </w:pPr>
      <w:r>
        <w:rPr>
          <w:rFonts w:hint="eastAsia"/>
          <w:sz w:val="22"/>
          <w:szCs w:val="22"/>
        </w:rPr>
        <w:t>在社会接受度（D14）方面，两种模式得分相近：混合发展型平均51.2分，软性引导型平均43.0分。这反映了无论采用何种治理模式，社会接受度都与多种因素相关，包括文化背景、公众教育水平、技术普及程度等。值得注意的是，事后检验显示这一差异在统计上并不显著，表明治理模式本身可能不是决定社会接受度的主要因素。</w:t>
      </w:r>
    </w:p>
    <w:p w14:paraId="0B758D0F">
      <w:pPr>
        <w:bidi w:val="0"/>
        <w:spacing w:line="360" w:lineRule="auto"/>
        <w:rPr>
          <w:rFonts w:hint="eastAsia"/>
          <w:sz w:val="22"/>
          <w:szCs w:val="22"/>
        </w:rPr>
      </w:pPr>
    </w:p>
    <w:p w14:paraId="6EEE12AE">
      <w:pPr>
        <w:bidi w:val="0"/>
        <w:spacing w:line="360" w:lineRule="auto"/>
        <w:rPr>
          <w:rFonts w:hint="eastAsia" w:eastAsiaTheme="minorEastAsia"/>
          <w:sz w:val="22"/>
          <w:szCs w:val="22"/>
          <w:lang w:eastAsia="zh-CN"/>
        </w:rPr>
      </w:pPr>
      <w:r>
        <w:rPr>
          <w:rFonts w:hint="eastAsia"/>
          <w:sz w:val="22"/>
          <w:szCs w:val="22"/>
        </w:rPr>
        <w:t>创新活力存在显著差距</w:t>
      </w:r>
      <w:r>
        <w:rPr>
          <w:rFonts w:hint="eastAsia"/>
          <w:sz w:val="22"/>
          <w:szCs w:val="22"/>
          <w:lang w:eastAsia="zh-CN"/>
        </w:rPr>
        <w:t>：</w:t>
      </w:r>
    </w:p>
    <w:p w14:paraId="641F35A4">
      <w:pPr>
        <w:bidi w:val="0"/>
        <w:spacing w:line="360" w:lineRule="auto"/>
        <w:ind w:firstLine="420" w:firstLineChars="0"/>
        <w:rPr>
          <w:rFonts w:hint="eastAsia"/>
          <w:sz w:val="22"/>
          <w:szCs w:val="22"/>
        </w:rPr>
      </w:pPr>
      <w:r>
        <w:rPr>
          <w:rFonts w:hint="eastAsia"/>
          <w:sz w:val="22"/>
          <w:szCs w:val="22"/>
        </w:rPr>
        <w:t>软性引导型模式在创新活力（D3）方面表现明显优于混合发展型模式，平均得分为50.2分对33.8分。这一差异具有高度显著性（p&lt;0.01）。这表明，通过战略引导、伦理规范和标准建设而非刚性法律约束的治理方式，可能更有利于激发AI技术创新和产业发展。</w:t>
      </w:r>
    </w:p>
    <w:p w14:paraId="39C00EFF">
      <w:pPr>
        <w:bidi w:val="0"/>
        <w:spacing w:line="360" w:lineRule="auto"/>
        <w:rPr>
          <w:rFonts w:hint="eastAsia"/>
          <w:sz w:val="22"/>
          <w:szCs w:val="22"/>
        </w:rPr>
      </w:pPr>
    </w:p>
    <w:p w14:paraId="66C35229">
      <w:pPr>
        <w:bidi w:val="0"/>
        <w:spacing w:line="360" w:lineRule="auto"/>
        <w:rPr>
          <w:rFonts w:hint="eastAsia" w:eastAsiaTheme="minorEastAsia"/>
          <w:sz w:val="22"/>
          <w:szCs w:val="22"/>
          <w:lang w:eastAsia="zh-CN"/>
        </w:rPr>
      </w:pPr>
      <w:r>
        <w:rPr>
          <w:rFonts w:hint="eastAsia"/>
          <w:sz w:val="22"/>
          <w:szCs w:val="22"/>
        </w:rPr>
        <w:t>治理成效的综合表现</w:t>
      </w:r>
      <w:r>
        <w:rPr>
          <w:rFonts w:hint="eastAsia"/>
          <w:sz w:val="22"/>
          <w:szCs w:val="22"/>
          <w:lang w:eastAsia="zh-CN"/>
        </w:rPr>
        <w:t>：</w:t>
      </w:r>
    </w:p>
    <w:p w14:paraId="73F5ED35">
      <w:pPr>
        <w:bidi w:val="0"/>
        <w:spacing w:line="360" w:lineRule="auto"/>
        <w:ind w:firstLine="420" w:firstLineChars="0"/>
        <w:rPr>
          <w:rFonts w:hint="eastAsia"/>
          <w:sz w:val="22"/>
          <w:szCs w:val="22"/>
        </w:rPr>
      </w:pPr>
      <w:r>
        <w:rPr>
          <w:rFonts w:hint="eastAsia"/>
          <w:sz w:val="22"/>
          <w:szCs w:val="22"/>
        </w:rPr>
        <w:t>在整体治理成效（P4）上，软性引导型模式略占优势（49.4分对40.9分），但这一差异在统计上处于边界显著性水平。这表明两种模式在实现治理目标方面各有侧重：混合发展型更注重风险防范，而软性引导型更注重创新发展。</w:t>
      </w:r>
    </w:p>
    <w:p w14:paraId="50C46D6F">
      <w:pPr>
        <w:bidi w:val="0"/>
        <w:rPr>
          <w:rFonts w:hint="eastAsia"/>
          <w:sz w:val="22"/>
          <w:szCs w:val="22"/>
        </w:rPr>
      </w:pPr>
    </w:p>
    <w:p w14:paraId="420453E0">
      <w:pPr>
        <w:pStyle w:val="5"/>
        <w:bidi w:val="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典型案例深度分析</w:t>
      </w:r>
    </w:p>
    <w:p w14:paraId="6652DFF3">
      <w:pPr>
        <w:bidi w:val="0"/>
        <w:spacing w:line="360" w:lineRule="auto"/>
        <w:ind w:firstLine="420" w:firstLineChars="0"/>
        <w:rPr>
          <w:rFonts w:hint="eastAsia"/>
          <w:sz w:val="22"/>
          <w:szCs w:val="22"/>
        </w:rPr>
      </w:pPr>
      <w:r>
        <w:rPr>
          <w:rFonts w:hint="eastAsia"/>
          <w:sz w:val="22"/>
          <w:szCs w:val="22"/>
        </w:rPr>
        <w:t>为了更具体地展示不同治理模式的特点，我们选取了</w:t>
      </w:r>
      <w:r>
        <w:rPr>
          <w:rFonts w:hint="eastAsia"/>
          <w:sz w:val="22"/>
          <w:szCs w:val="22"/>
          <w:lang w:val="en-US" w:eastAsia="zh-CN"/>
        </w:rPr>
        <w:t>两</w:t>
      </w:r>
      <w:r>
        <w:rPr>
          <w:rFonts w:hint="eastAsia"/>
          <w:sz w:val="22"/>
          <w:szCs w:val="22"/>
        </w:rPr>
        <w:t>个代表性国家进行政策工具配置的深入分析。</w:t>
      </w:r>
    </w:p>
    <w:p w14:paraId="522E7500">
      <w:pPr>
        <w:bidi w:val="0"/>
        <w:rPr>
          <w:rFonts w:hint="eastAsia"/>
          <w:sz w:val="22"/>
          <w:szCs w:val="22"/>
        </w:rPr>
      </w:pPr>
      <w:r>
        <w:drawing>
          <wp:inline distT="0" distB="0" distL="114300" distR="114300">
            <wp:extent cx="5269865" cy="541655"/>
            <wp:effectExtent l="0" t="0" r="6985" b="127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9"/>
                    <a:stretch>
                      <a:fillRect/>
                    </a:stretch>
                  </pic:blipFill>
                  <pic:spPr>
                    <a:xfrm>
                      <a:off x="0" y="0"/>
                      <a:ext cx="5269865" cy="541655"/>
                    </a:xfrm>
                    <a:prstGeom prst="rect">
                      <a:avLst/>
                    </a:prstGeom>
                    <a:noFill/>
                    <a:ln>
                      <a:noFill/>
                    </a:ln>
                  </pic:spPr>
                </pic:pic>
              </a:graphicData>
            </a:graphic>
          </wp:inline>
        </w:drawing>
      </w:r>
    </w:p>
    <w:p w14:paraId="5EE6678E">
      <w:pPr>
        <w:bidi w:val="0"/>
        <w:rPr>
          <w:rFonts w:hint="eastAsia"/>
          <w:sz w:val="22"/>
          <w:szCs w:val="22"/>
        </w:rPr>
      </w:pPr>
      <w:r>
        <w:drawing>
          <wp:inline distT="0" distB="0" distL="114300" distR="114300">
            <wp:extent cx="5229225" cy="3244850"/>
            <wp:effectExtent l="0" t="0" r="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0"/>
                    <a:srcRect l="843"/>
                    <a:stretch>
                      <a:fillRect/>
                    </a:stretch>
                  </pic:blipFill>
                  <pic:spPr>
                    <a:xfrm>
                      <a:off x="0" y="0"/>
                      <a:ext cx="5229225" cy="3244850"/>
                    </a:xfrm>
                    <a:prstGeom prst="rect">
                      <a:avLst/>
                    </a:prstGeom>
                    <a:noFill/>
                    <a:ln>
                      <a:noFill/>
                    </a:ln>
                  </pic:spPr>
                </pic:pic>
              </a:graphicData>
            </a:graphic>
          </wp:inline>
        </w:drawing>
      </w:r>
    </w:p>
    <w:p w14:paraId="042988A6">
      <w:pPr>
        <w:bidi w:val="0"/>
        <w:spacing w:line="360" w:lineRule="auto"/>
        <w:rPr>
          <w:rFonts w:hint="eastAsia" w:eastAsiaTheme="minorEastAsia"/>
          <w:sz w:val="22"/>
          <w:szCs w:val="22"/>
          <w:lang w:eastAsia="zh-CN"/>
        </w:rPr>
      </w:pPr>
      <w:r>
        <w:rPr>
          <w:rFonts w:hint="eastAsia"/>
          <w:sz w:val="22"/>
          <w:szCs w:val="22"/>
        </w:rPr>
        <w:t>中国（软性引导型）</w:t>
      </w:r>
      <w:r>
        <w:rPr>
          <w:rFonts w:hint="eastAsia"/>
          <w:sz w:val="22"/>
          <w:szCs w:val="22"/>
          <w:lang w:eastAsia="zh-CN"/>
        </w:rPr>
        <w:t>：</w:t>
      </w:r>
    </w:p>
    <w:p w14:paraId="69FFD7FC">
      <w:pPr>
        <w:bidi w:val="0"/>
        <w:spacing w:line="360" w:lineRule="auto"/>
        <w:ind w:firstLine="420" w:firstLineChars="0"/>
        <w:rPr>
          <w:rFonts w:hint="eastAsia"/>
          <w:sz w:val="22"/>
          <w:szCs w:val="22"/>
        </w:rPr>
      </w:pPr>
      <w:r>
        <w:rPr>
          <w:rFonts w:hint="eastAsia"/>
          <w:sz w:val="22"/>
          <w:szCs w:val="22"/>
        </w:rPr>
        <w:t>中国的政策工具配置呈现出“全面发展但有侧重”的特点。在战略规划（D6：100分）、治理机构（D7：100分）和伦理原则（D8：100分）方面得分最高，但在影响评估（D9：0分）和标准认证（D10：100分）方面呈现两极分化。这种配置反映了中国通过顶层设计和机构建设来引导AI发展的模式，但可能在具体影响评估工具的应用上仍需加强。</w:t>
      </w:r>
    </w:p>
    <w:p w14:paraId="2EAB073D">
      <w:pPr>
        <w:bidi w:val="0"/>
        <w:spacing w:line="360" w:lineRule="auto"/>
        <w:rPr>
          <w:rFonts w:hint="eastAsia"/>
          <w:sz w:val="22"/>
          <w:szCs w:val="22"/>
        </w:rPr>
      </w:pPr>
    </w:p>
    <w:p w14:paraId="1161A98D">
      <w:pPr>
        <w:bidi w:val="0"/>
        <w:spacing w:line="360" w:lineRule="auto"/>
        <w:rPr>
          <w:rFonts w:hint="eastAsia" w:eastAsiaTheme="minorEastAsia"/>
          <w:sz w:val="22"/>
          <w:szCs w:val="22"/>
          <w:lang w:eastAsia="zh-CN"/>
        </w:rPr>
      </w:pPr>
      <w:r>
        <w:rPr>
          <w:rFonts w:hint="eastAsia"/>
          <w:sz w:val="22"/>
          <w:szCs w:val="22"/>
        </w:rPr>
        <w:t>芬兰（混合发展型）</w:t>
      </w:r>
      <w:r>
        <w:rPr>
          <w:rFonts w:hint="eastAsia"/>
          <w:sz w:val="22"/>
          <w:szCs w:val="22"/>
          <w:lang w:eastAsia="zh-CN"/>
        </w:rPr>
        <w:t>：</w:t>
      </w:r>
    </w:p>
    <w:p w14:paraId="17DC212E">
      <w:pPr>
        <w:bidi w:val="0"/>
        <w:spacing w:line="360" w:lineRule="auto"/>
        <w:ind w:firstLine="420" w:firstLineChars="0"/>
        <w:rPr>
          <w:rFonts w:hint="eastAsia"/>
          <w:sz w:val="22"/>
          <w:szCs w:val="22"/>
        </w:rPr>
      </w:pPr>
      <w:r>
        <w:rPr>
          <w:rFonts w:hint="eastAsia"/>
          <w:sz w:val="22"/>
          <w:szCs w:val="22"/>
        </w:rPr>
        <w:t>芬兰的配置显示出“务实均衡”的特点，在立法现状（D11：66.7分）和国际参与（D12：57.5分）方面表现较好，但在伦理原则（D8：0分）和影响评估（D9：0分）方面得分较低。这种配置反映了芬兰作为欧盟成员国，其治理工具受到欧盟统一法规的深刻影响，同时保持了自身在立法和国际协作方面的特色。</w:t>
      </w:r>
    </w:p>
    <w:p w14:paraId="5EEFF2D3">
      <w:pPr>
        <w:pStyle w:val="3"/>
        <w:spacing w:line="360" w:lineRule="auto"/>
        <w:rPr>
          <w:rFonts w:ascii="宋体" w:hAnsi="宋体" w:eastAsia="宋体"/>
        </w:rPr>
      </w:pPr>
      <w:r>
        <w:rPr>
          <w:rFonts w:ascii="宋体" w:hAnsi="宋体" w:eastAsia="宋体"/>
        </w:rPr>
        <w:t>四、讨论</w:t>
      </w:r>
    </w:p>
    <w:p w14:paraId="36437885">
      <w:pPr>
        <w:pStyle w:val="4"/>
        <w:spacing w:line="360" w:lineRule="auto"/>
        <w:rPr>
          <w:rFonts w:ascii="宋体" w:hAnsi="宋体" w:eastAsia="宋体"/>
        </w:rPr>
      </w:pPr>
      <w:r>
        <w:rPr>
          <w:rFonts w:ascii="宋体" w:hAnsi="宋体" w:eastAsia="宋体"/>
        </w:rPr>
        <w:t>（一）核心结果解读</w:t>
      </w:r>
    </w:p>
    <w:p w14:paraId="34942C91">
      <w:pPr>
        <w:bidi w:val="0"/>
        <w:spacing w:line="360" w:lineRule="auto"/>
        <w:ind w:firstLine="420" w:firstLineChars="0"/>
        <w:rPr>
          <w:rFonts w:hint="eastAsia"/>
          <w:sz w:val="22"/>
          <w:szCs w:val="22"/>
        </w:rPr>
      </w:pPr>
      <w:r>
        <w:rPr>
          <w:rFonts w:hint="eastAsia"/>
          <w:sz w:val="22"/>
          <w:szCs w:val="22"/>
        </w:rPr>
        <w:t>本研究通过对AGILE指数2025数据的系统分析，揭示了两项核心发现，它们分别从“发展-治理”匹配关系与“政策工具”配置模式两个层面深化了对全球人工智能治理格局的理解。</w:t>
      </w:r>
    </w:p>
    <w:p w14:paraId="0CB9B189">
      <w:pPr>
        <w:bidi w:val="0"/>
        <w:spacing w:line="360" w:lineRule="auto"/>
        <w:ind w:firstLine="420" w:firstLineChars="0"/>
        <w:rPr>
          <w:rFonts w:hint="eastAsia"/>
          <w:sz w:val="22"/>
          <w:szCs w:val="22"/>
        </w:rPr>
      </w:pPr>
      <w:r>
        <w:rPr>
          <w:rFonts w:hint="eastAsia"/>
          <w:sz w:val="22"/>
          <w:szCs w:val="22"/>
        </w:rPr>
        <w:t>首先，在“发展-治理”匹配度层面，我们证实了全球范围内普遍存在的错配现象，并识别出四种具有鲜明特征的国家类型。这一分类不仅是对各国AI发展现状的静态描述，更反映了不同的战略路径选择。全面领先型国家（如中、美、德）展示了在发展与治理上同步投入、力求引领的雄心，其相对均衡的效能表现说明“双轮驱动”可能是实现高水平治理的有效路径。治理超前型国家（如韩、法、加）体现出一种“制度先行”的后发追赶或风险规避战略，其较高的社会接受度表明主动、透明的治理沟通有助于构建社会信任，缓解技术不确定性带来的公众焦虑。治理滞后型国家（如爱尔兰、以色列）则暴露了创新活力与治理保障脱节的风险，其较低的风险控制得分印证了“野蛮生长”可能伴随更高的系统性风险。基础建设型国家的全面落后状态，则提示AI治理能力的构建离不开技术、经济与制度基础的同步发展。</w:t>
      </w:r>
    </w:p>
    <w:p w14:paraId="51C52E99">
      <w:pPr>
        <w:bidi w:val="0"/>
        <w:spacing w:line="360" w:lineRule="auto"/>
        <w:rPr>
          <w:rFonts w:hint="eastAsia"/>
          <w:sz w:val="22"/>
          <w:szCs w:val="22"/>
        </w:rPr>
      </w:pPr>
    </w:p>
    <w:p w14:paraId="3916CF26">
      <w:pPr>
        <w:bidi w:val="0"/>
        <w:spacing w:line="360" w:lineRule="auto"/>
        <w:ind w:firstLine="420" w:firstLineChars="0"/>
        <w:rPr>
          <w:rFonts w:hint="eastAsia"/>
          <w:sz w:val="22"/>
          <w:szCs w:val="22"/>
        </w:rPr>
      </w:pPr>
      <w:r>
        <w:rPr>
          <w:rFonts w:hint="eastAsia"/>
          <w:sz w:val="22"/>
          <w:szCs w:val="22"/>
        </w:rPr>
        <w:t>其次，在“政策工具”配置模式层面，聚类分析揭示了全球AI治理实践中的两种主导逻辑。软性引导型模式以战略规划、伦理原则和标准建设为核心，展现出更强的创新激励效应，这与其为技术发展预留了更多弹性空间的特点相符。然而，其在风险控制上的相对弱势也提示，过于依赖非强制性工具可能在应对快速演进的、高不确定性的AI风险时存在“治理赤字”。混合发展型模式则展现出更强的风险防控能力和国际协作倾向，但其创新活力相对不足，这可能与更严格的法律框架和更复杂的合规要求对市场主体形成的约束有关。两种模式在治理效能上的差异，本质上反映了“创新发展”与“安全可控”两大核心价值目标之间的权衡与取舍。</w:t>
      </w:r>
    </w:p>
    <w:p w14:paraId="06EF8534">
      <w:pPr>
        <w:bidi w:val="0"/>
        <w:spacing w:line="360" w:lineRule="auto"/>
        <w:rPr>
          <w:rFonts w:hint="eastAsia"/>
          <w:sz w:val="22"/>
          <w:szCs w:val="22"/>
        </w:rPr>
      </w:pPr>
    </w:p>
    <w:p w14:paraId="5DEAE731">
      <w:pPr>
        <w:bidi w:val="0"/>
        <w:spacing w:line="360" w:lineRule="auto"/>
        <w:ind w:firstLine="420" w:firstLineChars="0"/>
        <w:rPr>
          <w:rFonts w:hint="eastAsia" w:eastAsiaTheme="minorEastAsia"/>
          <w:sz w:val="22"/>
          <w:szCs w:val="22"/>
          <w:lang w:val="en-US" w:eastAsia="zh-CN"/>
        </w:rPr>
      </w:pPr>
      <w:r>
        <w:rPr>
          <w:rFonts w:hint="eastAsia"/>
          <w:sz w:val="22"/>
          <w:szCs w:val="22"/>
        </w:rPr>
        <w:t>综合来看，研究结果表明，并不存在一种普适的、“最优”的AI治理模式。国家类型与治理模式之间也存在复杂的交织关系，例如同为“全面领先型”的中、美，却可能分属不同的治理模式。一个国家的有效治理体系，必须与其特定的发展阶段、产业基础、风险承受能力、社会文化及国际战略定位高度适配。未来的全球治理对话，需要超越简单的“规则输出”思维，转向对不同治理模式及其适配条件的深度理解与相互尊重</w:t>
      </w:r>
      <w:r>
        <w:rPr>
          <w:rFonts w:hint="eastAsia"/>
          <w:sz w:val="22"/>
          <w:szCs w:val="22"/>
          <w:lang w:val="en-US" w:eastAsia="zh-CN"/>
        </w:rPr>
        <w:t>.</w:t>
      </w:r>
    </w:p>
    <w:p w14:paraId="7EDB6D04">
      <w:pPr>
        <w:pStyle w:val="4"/>
        <w:spacing w:line="360" w:lineRule="auto"/>
        <w:rPr>
          <w:rFonts w:hint="eastAsia" w:ascii="宋体" w:hAnsi="宋体" w:eastAsia="宋体"/>
        </w:rPr>
      </w:pPr>
      <w:r>
        <w:rPr>
          <w:rFonts w:ascii="宋体" w:hAnsi="宋体" w:eastAsia="宋体"/>
        </w:rPr>
        <w:t>（</w:t>
      </w:r>
      <w:r>
        <w:rPr>
          <w:rFonts w:hint="eastAsia" w:ascii="宋体" w:hAnsi="宋体" w:eastAsia="宋体"/>
          <w:lang w:val="en-US" w:eastAsia="zh-CN"/>
        </w:rPr>
        <w:t>二</w:t>
      </w:r>
      <w:r>
        <w:rPr>
          <w:rFonts w:ascii="宋体" w:hAnsi="宋体" w:eastAsia="宋体"/>
        </w:rPr>
        <w:t>）研究局限与展望</w:t>
      </w:r>
    </w:p>
    <w:p w14:paraId="59371EC5">
      <w:pPr>
        <w:pStyle w:val="10"/>
        <w:spacing w:line="360" w:lineRule="auto"/>
        <w:rPr>
          <w:rFonts w:hint="eastAsia" w:ascii="宋体" w:hAnsi="宋体" w:eastAsia="宋体"/>
        </w:rPr>
      </w:pPr>
      <w:r>
        <w:rPr>
          <w:rFonts w:hint="eastAsia" w:ascii="宋体" w:hAnsi="宋体" w:eastAsia="宋体"/>
        </w:rPr>
        <w:t>数据与方法的局限：</w:t>
      </w:r>
    </w:p>
    <w:p w14:paraId="653B7F69">
      <w:pPr>
        <w:pStyle w:val="10"/>
        <w:spacing w:line="360" w:lineRule="auto"/>
        <w:ind w:firstLine="420" w:firstLineChars="0"/>
        <w:rPr>
          <w:rFonts w:hint="eastAsia" w:ascii="宋体" w:hAnsi="宋体" w:eastAsia="宋体"/>
        </w:rPr>
      </w:pPr>
      <w:r>
        <w:rPr>
          <w:rFonts w:hint="eastAsia" w:ascii="宋体" w:hAnsi="宋体" w:eastAsia="宋体"/>
        </w:rPr>
        <w:t>首先，AGILE指数本身作为一种复合评估体系，其指标选取、权重分配和数据来源可能存在主观性和局限性，可能无法完全捕捉各国治理实践的全部复杂性。其次，本研究主要依赖横截面数据，虽然揭示了国家间的差异与模式，但无法严谨推断变量间的因果关系。匹配度与效能之间的关联可能受到未观测到的第三变量（如政治体制、文化传统）影响。最后，K-means聚类作为一种探索性方法，其结果受初始值和聚类数选择的影响，且对高维数据的解释存在挑战。</w:t>
      </w:r>
    </w:p>
    <w:p w14:paraId="0F17DA4A">
      <w:pPr>
        <w:pStyle w:val="10"/>
        <w:spacing w:line="360" w:lineRule="auto"/>
        <w:ind w:firstLine="420"/>
        <w:rPr>
          <w:rFonts w:hint="eastAsia" w:ascii="宋体" w:hAnsi="宋体" w:eastAsia="宋体"/>
        </w:rPr>
      </w:pPr>
    </w:p>
    <w:p w14:paraId="4937910E">
      <w:pPr>
        <w:pStyle w:val="10"/>
        <w:spacing w:line="360" w:lineRule="auto"/>
        <w:rPr>
          <w:rFonts w:hint="eastAsia" w:ascii="宋体" w:hAnsi="宋体" w:eastAsia="宋体"/>
        </w:rPr>
      </w:pPr>
      <w:r>
        <w:rPr>
          <w:rFonts w:hint="eastAsia" w:ascii="宋体" w:hAnsi="宋体" w:eastAsia="宋体"/>
        </w:rPr>
        <w:t>研究内容的深化方向：未来研究可从以下几个方面拓展</w:t>
      </w:r>
    </w:p>
    <w:p w14:paraId="0A6119F7">
      <w:pPr>
        <w:pStyle w:val="10"/>
        <w:spacing w:line="360" w:lineRule="auto"/>
        <w:ind w:firstLine="420"/>
        <w:rPr>
          <w:rFonts w:hint="eastAsia" w:ascii="宋体" w:hAnsi="宋体" w:eastAsia="宋体"/>
        </w:rPr>
      </w:pPr>
      <w:r>
        <w:rPr>
          <w:rFonts w:hint="eastAsia" w:ascii="宋体" w:hAnsi="宋体" w:eastAsia="宋体"/>
          <w:lang w:val="en-US" w:eastAsia="zh-CN"/>
        </w:rPr>
        <w:t>1.</w:t>
      </w:r>
      <w:r>
        <w:rPr>
          <w:rFonts w:hint="eastAsia" w:ascii="宋体" w:hAnsi="宋体" w:eastAsia="宋体"/>
        </w:rPr>
        <w:t>动态追踪与因果推断：收集多期面板数据，采用双重差分、合成控制法等因果推断技术，更准确地评估特定政策工具或治理模式变化的实际效果。</w:t>
      </w:r>
    </w:p>
    <w:p w14:paraId="719975C6">
      <w:pPr>
        <w:pStyle w:val="10"/>
        <w:spacing w:line="360" w:lineRule="auto"/>
        <w:ind w:firstLine="420"/>
        <w:rPr>
          <w:rFonts w:hint="eastAsia" w:ascii="宋体" w:hAnsi="宋体" w:eastAsia="宋体"/>
        </w:rPr>
      </w:pPr>
      <w:r>
        <w:rPr>
          <w:rFonts w:hint="eastAsia" w:ascii="宋体" w:hAnsi="宋体" w:eastAsia="宋体"/>
          <w:lang w:val="en-US" w:eastAsia="zh-CN"/>
        </w:rPr>
        <w:t>2.</w:t>
      </w:r>
      <w:r>
        <w:rPr>
          <w:rFonts w:hint="eastAsia" w:ascii="宋体" w:hAnsi="宋体" w:eastAsia="宋体"/>
        </w:rPr>
        <w:t>机制与过程的“黑箱”探索：本研究聚焦于“投入”（政策工具）与“产出”（治理效能），但对中间的治理“过程”着墨不多。未来可通过案例研究、专家访谈、政策文本分析等方法，深入探究不同治理模式下的决策机制、企业合规响应、公众参与等微观过程。</w:t>
      </w:r>
    </w:p>
    <w:p w14:paraId="48F55390">
      <w:pPr>
        <w:pStyle w:val="10"/>
        <w:spacing w:line="360" w:lineRule="auto"/>
        <w:ind w:firstLine="420"/>
        <w:rPr>
          <w:rFonts w:hint="eastAsia" w:ascii="宋体" w:hAnsi="宋体" w:eastAsia="宋体"/>
        </w:rPr>
      </w:pPr>
      <w:r>
        <w:rPr>
          <w:rFonts w:hint="eastAsia" w:ascii="宋体" w:hAnsi="宋体" w:eastAsia="宋体"/>
          <w:lang w:val="en-US" w:eastAsia="zh-CN"/>
        </w:rPr>
        <w:t>3.</w:t>
      </w:r>
      <w:r>
        <w:rPr>
          <w:rFonts w:hint="eastAsia" w:ascii="宋体" w:hAnsi="宋体" w:eastAsia="宋体"/>
        </w:rPr>
        <w:t>细分领域与议题研究：AI治理在不同领域（如自动驾驶、生物识别、生成式AI）的挑战差异巨大</w:t>
      </w:r>
      <w:r>
        <w:rPr>
          <w:rFonts w:hint="eastAsia" w:ascii="宋体" w:hAnsi="宋体" w:eastAsia="宋体"/>
          <w:lang w:val="en-US" w:eastAsia="zh-CN"/>
        </w:rPr>
        <w:t>,</w:t>
      </w:r>
      <w:r>
        <w:rPr>
          <w:rFonts w:hint="eastAsia" w:ascii="宋体" w:hAnsi="宋体" w:eastAsia="宋体"/>
        </w:rPr>
        <w:t>来可针对特定高风险应用领域，进行更精细化的治理政策比较与效能评估。</w:t>
      </w:r>
    </w:p>
    <w:p w14:paraId="25B8B3F6">
      <w:pPr>
        <w:pStyle w:val="10"/>
        <w:spacing w:line="360" w:lineRule="auto"/>
        <w:ind w:firstLine="420" w:firstLineChars="0"/>
        <w:rPr>
          <w:rFonts w:hint="default" w:ascii="宋体" w:hAnsi="宋体" w:eastAsia="宋体"/>
          <w:lang w:val="en-US" w:eastAsia="zh-CN"/>
        </w:rPr>
      </w:pPr>
      <w:r>
        <w:rPr>
          <w:rFonts w:hint="eastAsia" w:ascii="宋体" w:hAnsi="宋体" w:eastAsia="宋体"/>
          <w:lang w:val="en-US" w:eastAsia="zh-CN"/>
        </w:rPr>
        <w:t>4.</w:t>
      </w:r>
      <w:r>
        <w:rPr>
          <w:rFonts w:hint="eastAsia" w:ascii="宋体" w:hAnsi="宋体" w:eastAsia="宋体"/>
        </w:rPr>
        <w:t>跨国互动与溢出效应研究：在全球价值链深度互联的背景下，一国的治理政策会产生显著的跨境溢出效应。未来研究可纳入网络分析方法，探讨治理模式的国际扩散、监管竞争与协调等动态。</w:t>
      </w:r>
    </w:p>
    <w:p w14:paraId="39DCBB23">
      <w:pPr>
        <w:pStyle w:val="3"/>
        <w:spacing w:line="360" w:lineRule="auto"/>
        <w:rPr>
          <w:rFonts w:ascii="宋体" w:hAnsi="宋体" w:eastAsia="宋体"/>
        </w:rPr>
      </w:pPr>
      <w:r>
        <w:rPr>
          <w:rFonts w:ascii="宋体" w:hAnsi="宋体" w:eastAsia="宋体"/>
        </w:rPr>
        <w:t>五、结论</w:t>
      </w:r>
    </w:p>
    <w:p w14:paraId="4A931287">
      <w:pPr>
        <w:spacing w:line="360" w:lineRule="auto"/>
        <w:ind w:firstLine="420" w:firstLineChars="0"/>
        <w:rPr>
          <w:rFonts w:hint="eastAsia"/>
          <w:sz w:val="22"/>
          <w:szCs w:val="22"/>
        </w:rPr>
      </w:pPr>
      <w:r>
        <w:rPr>
          <w:rFonts w:hint="eastAsia"/>
          <w:sz w:val="22"/>
          <w:szCs w:val="22"/>
        </w:rPr>
        <w:t>本研究基于AGILE指数2025的数据，通过匹配度诊断与聚类分析，对全球40个主要国家的AI治理格局进行了系统性评估。主要结论如下：</w:t>
      </w:r>
    </w:p>
    <w:p w14:paraId="38DA196E">
      <w:pPr>
        <w:spacing w:line="360" w:lineRule="auto"/>
        <w:rPr>
          <w:rFonts w:hint="eastAsia"/>
          <w:sz w:val="22"/>
          <w:szCs w:val="22"/>
        </w:rPr>
      </w:pPr>
    </w:p>
    <w:p w14:paraId="6DEC4C11">
      <w:pPr>
        <w:spacing w:line="360" w:lineRule="auto"/>
        <w:ind w:firstLine="420" w:firstLineChars="0"/>
        <w:rPr>
          <w:rFonts w:hint="eastAsia"/>
          <w:sz w:val="22"/>
          <w:szCs w:val="22"/>
        </w:rPr>
      </w:pPr>
      <w:r>
        <w:rPr>
          <w:rFonts w:hint="eastAsia"/>
          <w:sz w:val="22"/>
          <w:szCs w:val="22"/>
        </w:rPr>
        <w:t>“发展-治理”匹配存在显著国别差异，形成四种典型类型：各国在AI技术发展水平与治理工具投入上普遍存在错配，可划分为“全面领先型”、“治理超前型”、“治理滞后型”与“基础建设型”。不同类型的国家在风险控制、社会接受等治理效能上表现迥异，其中“治理滞后”可能显著增加风险暴露，而“治理超前”则有助于提升社会信任。</w:t>
      </w:r>
    </w:p>
    <w:p w14:paraId="627C40CF">
      <w:pPr>
        <w:spacing w:line="360" w:lineRule="auto"/>
        <w:rPr>
          <w:rFonts w:hint="eastAsia"/>
          <w:sz w:val="22"/>
          <w:szCs w:val="22"/>
        </w:rPr>
      </w:pPr>
    </w:p>
    <w:p w14:paraId="4BE6AE38">
      <w:pPr>
        <w:spacing w:line="360" w:lineRule="auto"/>
        <w:ind w:firstLine="420" w:firstLineChars="0"/>
        <w:rPr>
          <w:rFonts w:hint="eastAsia"/>
          <w:sz w:val="22"/>
          <w:szCs w:val="22"/>
        </w:rPr>
      </w:pPr>
      <w:r>
        <w:rPr>
          <w:rFonts w:hint="eastAsia"/>
          <w:sz w:val="22"/>
          <w:szCs w:val="22"/>
        </w:rPr>
        <w:t>全球AI治理政策工具组合呈现两种主导模式：“软性引导型”模式侧重战略规划、伦理原则与标准建设，在激发创新活力方面表现更优；“混合发展型”模式则更注重立法与国际协作，在风险控制方面更具优势。这反映了全球AI治理在价值目标上对“创新发展”与“安全可控”的不同优先级排序。</w:t>
      </w:r>
    </w:p>
    <w:p w14:paraId="4E5F3DC2">
      <w:pPr>
        <w:spacing w:line="360" w:lineRule="auto"/>
        <w:rPr>
          <w:rFonts w:hint="eastAsia"/>
          <w:sz w:val="22"/>
          <w:szCs w:val="22"/>
        </w:rPr>
      </w:pPr>
    </w:p>
    <w:p w14:paraId="79D17C76">
      <w:pPr>
        <w:spacing w:line="360" w:lineRule="auto"/>
        <w:ind w:firstLine="420" w:firstLineChars="0"/>
        <w:rPr>
          <w:rFonts w:hint="eastAsia"/>
          <w:sz w:val="22"/>
          <w:szCs w:val="22"/>
        </w:rPr>
      </w:pPr>
      <w:r>
        <w:rPr>
          <w:rFonts w:hint="eastAsia"/>
          <w:sz w:val="22"/>
          <w:szCs w:val="22"/>
        </w:rPr>
        <w:t>有效的治理体系强调适配性与协同性：研究未发现绝对最优的普适模式。国家需根据自身国情，在发展与治理、创新与安全、国内规制与国际协作之间寻求动态平衡。对于“治理滞后型”国家，当务之急是加快治理体系建设以匹配技术发展步伐；对于“基础建设型”国家，则需技术与制度基础同步夯实；而对于领先国家，如何持续优化治理工具以应对新兴风险，并加强国际合作以塑造良性治理生态，则是关键议题。</w:t>
      </w:r>
    </w:p>
    <w:p w14:paraId="32703D96">
      <w:pPr>
        <w:spacing w:line="360" w:lineRule="auto"/>
        <w:rPr>
          <w:rFonts w:hint="eastAsia"/>
          <w:sz w:val="22"/>
          <w:szCs w:val="22"/>
        </w:rPr>
      </w:pPr>
    </w:p>
    <w:p w14:paraId="6267B0FA">
      <w:pPr>
        <w:spacing w:line="360" w:lineRule="auto"/>
        <w:ind w:firstLine="420" w:firstLineChars="0"/>
        <w:rPr>
          <w:rFonts w:hint="eastAsia"/>
          <w:sz w:val="22"/>
          <w:szCs w:val="22"/>
        </w:rPr>
      </w:pPr>
      <w:r>
        <w:rPr>
          <w:rFonts w:hint="eastAsia"/>
          <w:sz w:val="22"/>
          <w:szCs w:val="22"/>
        </w:rPr>
        <w:t>基于以上发现，我们提出以下政策启示：第一，各国应定期进行“发展-治理”匹配度自评估，警惕脱节风险，实现动态校准。第二，政策制定者应理解不同政策工具组合的效能特征，根据核心政策目标（促进创新/防范风险）进行有针对性的工具箱配置与优化。第三，国际社会应推动建立包容性的对话平台，促进不同治理模式间的相互理解与经验借鉴，在尊重多元路径的基础上，就底线标准、风险监测、应急协调等关键议题寻求共识，共同构建敏捷、有效、可持续的全球人工智能治理框架。</w:t>
      </w:r>
    </w:p>
    <w:p w14:paraId="19AA1248">
      <w:pPr>
        <w:spacing w:line="360" w:lineRule="auto"/>
        <w:rPr>
          <w:rFonts w:hint="eastAsia"/>
          <w:sz w:val="22"/>
          <w:szCs w:val="22"/>
        </w:rPr>
      </w:pPr>
    </w:p>
    <w:p w14:paraId="0370397A">
      <w:pPr>
        <w:spacing w:line="360" w:lineRule="auto"/>
        <w:rPr>
          <w:rFonts w:hint="eastAsia"/>
          <w:sz w:val="22"/>
          <w:szCs w:val="22"/>
        </w:rPr>
      </w:pPr>
    </w:p>
    <w:p w14:paraId="75A640D8">
      <w:pPr>
        <w:spacing w:line="360" w:lineRule="auto"/>
        <w:rPr>
          <w:rFonts w:hint="eastAsia"/>
          <w:sz w:val="22"/>
          <w:szCs w:val="22"/>
        </w:rPr>
      </w:pPr>
    </w:p>
    <w:p w14:paraId="20854F22">
      <w:pPr>
        <w:spacing w:line="360" w:lineRule="auto"/>
        <w:rPr>
          <w:rFonts w:hint="eastAsia"/>
          <w:lang w:val="en-US" w:eastAsia="zh-CN"/>
        </w:rPr>
      </w:pPr>
      <w:r>
        <w:rPr>
          <w:rFonts w:hint="eastAsia"/>
          <w:b/>
          <w:bCs/>
          <w:lang w:val="en-US" w:eastAsia="zh-CN"/>
        </w:rPr>
        <w:t>注:</w:t>
      </w:r>
      <w:r>
        <w:rPr>
          <w:rFonts w:hint="eastAsia"/>
          <w:lang w:val="en-US" w:eastAsia="zh-CN"/>
        </w:rPr>
        <w:t>实验相关的代码,报告,数据,分析结果已经上传到Github</w:t>
      </w:r>
    </w:p>
    <w:p w14:paraId="3B1D9EE9">
      <w:pPr>
        <w:spacing w:line="360" w:lineRule="auto"/>
        <w:rPr>
          <w:rFonts w:hint="default"/>
          <w:lang w:val="en-US" w:eastAsia="zh-CN"/>
        </w:rPr>
      </w:pPr>
      <w:r>
        <w:rPr>
          <w:rFonts w:hint="eastAsia" w:ascii="宋体" w:hAnsi="宋体" w:eastAsia="宋体" w:cs="宋体"/>
          <w:sz w:val="24"/>
          <w:szCs w:val="24"/>
          <w:lang w:val="en-US" w:eastAsia="zh-CN"/>
        </w:rPr>
        <w:t>网址https://github.com/</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"https://github.com/Gr3e3n/datanews" </w:instrText>
      </w:r>
      <w:r>
        <w:rPr>
          <w:rFonts w:ascii="宋体" w:hAnsi="宋体" w:eastAsia="宋体" w:cs="宋体"/>
          <w:sz w:val="24"/>
          <w:szCs w:val="24"/>
        </w:rPr>
        <w:fldChar w:fldCharType="separate"/>
      </w:r>
      <w:r>
        <w:rPr>
          <w:rStyle w:val="8"/>
          <w:rFonts w:ascii="宋体" w:hAnsi="宋体" w:eastAsia="宋体" w:cs="宋体"/>
          <w:sz w:val="24"/>
          <w:szCs w:val="24"/>
        </w:rPr>
        <w:t>Gr3e3n/datanews</w:t>
      </w:r>
      <w:r>
        <w:rPr>
          <w:rFonts w:ascii="宋体" w:hAnsi="宋体" w:eastAsia="宋体" w:cs="宋体"/>
          <w:sz w:val="24"/>
          <w:szCs w:val="24"/>
        </w:rPr>
        <w:fldChar w:fldCharType="end"/>
      </w:r>
    </w:p>
    <w:p w14:paraId="4D7A716F">
      <w:pPr>
        <w:spacing w:line="360" w:lineRule="auto"/>
        <w:rPr>
          <w:rFonts w:hint="eastAsia"/>
        </w:rPr>
      </w:pPr>
    </w:p>
    <w:p w14:paraId="0799B4B3">
      <w:pPr>
        <w:spacing w:line="360" w:lineRule="auto"/>
        <w:rPr>
          <w:rFonts w:hint="eastAsia"/>
        </w:rPr>
      </w:pPr>
    </w:p>
    <w:p w14:paraId="1B96241A">
      <w:pPr>
        <w:spacing w:line="360" w:lineRule="auto"/>
        <w:rPr>
          <w:rFonts w:hint="eastAsia"/>
        </w:rPr>
      </w:pPr>
    </w:p>
    <w:p w14:paraId="317D8E83">
      <w:pPr>
        <w:rPr>
          <w:sz w:val="28"/>
          <w:szCs w:val="28"/>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F317D"/>
    <w:multiLevelType w:val="singleLevel"/>
    <w:tmpl w:val="A4AF317D"/>
    <w:lvl w:ilvl="0" w:tentative="0">
      <w:start w:val="1"/>
      <w:numFmt w:val="decimal"/>
      <w:lvlText w:val="%1."/>
      <w:lvlJc w:val="left"/>
      <w:pPr>
        <w:tabs>
          <w:tab w:val="left" w:pos="312"/>
        </w:tabs>
      </w:pPr>
    </w:lvl>
  </w:abstractNum>
  <w:abstractNum w:abstractNumId="1">
    <w:nsid w:val="A52307DA"/>
    <w:multiLevelType w:val="singleLevel"/>
    <w:tmpl w:val="A52307DA"/>
    <w:lvl w:ilvl="0" w:tentative="0">
      <w:start w:val="2"/>
      <w:numFmt w:val="chineseCounting"/>
      <w:suff w:val="nothing"/>
      <w:lvlText w:val="（%1）"/>
      <w:lvlJc w:val="left"/>
      <w:rPr>
        <w:rFonts w:hint="eastAsia"/>
      </w:rPr>
    </w:lvl>
  </w:abstractNum>
  <w:abstractNum w:abstractNumId="2">
    <w:nsid w:val="D3478827"/>
    <w:multiLevelType w:val="singleLevel"/>
    <w:tmpl w:val="D3478827"/>
    <w:lvl w:ilvl="0" w:tentative="0">
      <w:start w:val="3"/>
      <w:numFmt w:val="chineseCounting"/>
      <w:suff w:val="nothing"/>
      <w:lvlText w:val="%1、"/>
      <w:lvlJc w:val="left"/>
      <w:rPr>
        <w:rFonts w:hint="eastAsia"/>
      </w:rPr>
    </w:lvl>
  </w:abstractNum>
  <w:abstractNum w:abstractNumId="3">
    <w:nsid w:val="EA32A97E"/>
    <w:multiLevelType w:val="singleLevel"/>
    <w:tmpl w:val="EA32A97E"/>
    <w:lvl w:ilvl="0" w:tentative="0">
      <w:start w:val="1"/>
      <w:numFmt w:val="chineseCounting"/>
      <w:suff w:val="nothing"/>
      <w:lvlText w:val="（%1）"/>
      <w:lvlJc w:val="left"/>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93ED0"/>
    <w:rsid w:val="0664406F"/>
    <w:rsid w:val="320622E1"/>
    <w:rsid w:val="4C43303F"/>
    <w:rsid w:val="5B070DD5"/>
    <w:rsid w:val="5C1E0757"/>
    <w:rsid w:val="6C6475C8"/>
    <w:rsid w:val="76B873D9"/>
    <w:rsid w:val="79461A8D"/>
    <w:rsid w:val="7D1D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qFormat/>
    <w:uiPriority w:val="9"/>
    <w:pPr>
      <w:spacing w:before="380" w:after="140" w:line="288" w:lineRule="auto"/>
      <w:outlineLvl w:val="0"/>
    </w:pPr>
    <w:rPr>
      <w:rFonts w:ascii="Arial" w:hAnsi="Arial" w:eastAsia="等线" w:cs="Arial"/>
      <w:b/>
      <w:bCs/>
      <w:kern w:val="0"/>
      <w:sz w:val="36"/>
      <w:szCs w:val="36"/>
      <w:lang w:val="en-US" w:eastAsia="zh-CN" w:bidi="ar-SA"/>
    </w:rPr>
  </w:style>
  <w:style w:type="paragraph" w:styleId="3">
    <w:name w:val="heading 2"/>
    <w:unhideWhenUsed/>
    <w:qFormat/>
    <w:uiPriority w:val="9"/>
    <w:pPr>
      <w:spacing w:before="320" w:after="120" w:line="288" w:lineRule="auto"/>
      <w:outlineLvl w:val="1"/>
    </w:pPr>
    <w:rPr>
      <w:rFonts w:ascii="Arial" w:hAnsi="Arial" w:eastAsia="等线" w:cs="Arial"/>
      <w:b/>
      <w:bCs/>
      <w:kern w:val="0"/>
      <w:sz w:val="32"/>
      <w:szCs w:val="32"/>
      <w:lang w:val="en-US" w:eastAsia="zh-CN" w:bidi="ar-SA"/>
    </w:rPr>
  </w:style>
  <w:style w:type="paragraph" w:styleId="4">
    <w:name w:val="heading 3"/>
    <w:unhideWhenUsed/>
    <w:qFormat/>
    <w:uiPriority w:val="9"/>
    <w:pPr>
      <w:spacing w:before="300" w:after="120" w:line="288" w:lineRule="auto"/>
      <w:outlineLvl w:val="2"/>
    </w:pPr>
    <w:rPr>
      <w:rFonts w:ascii="Arial" w:hAnsi="Arial" w:eastAsia="等线" w:cs="Arial"/>
      <w:b/>
      <w:bCs/>
      <w:kern w:val="0"/>
      <w:sz w:val="30"/>
      <w:szCs w:val="30"/>
      <w:lang w:val="en-US" w:eastAsia="zh-CN" w:bidi="ar-SA"/>
    </w:rPr>
  </w:style>
  <w:style w:type="paragraph" w:styleId="5">
    <w:name w:val="heading 4"/>
    <w:unhideWhenUsed/>
    <w:qFormat/>
    <w:uiPriority w:val="9"/>
    <w:pPr>
      <w:spacing w:before="260" w:after="120" w:line="288" w:lineRule="auto"/>
      <w:outlineLvl w:val="3"/>
    </w:pPr>
    <w:rPr>
      <w:rFonts w:ascii="Arial" w:hAnsi="Arial" w:eastAsia="等线" w:cs="Arial"/>
      <w:b/>
      <w:bCs/>
      <w:kern w:val="0"/>
      <w:sz w:val="28"/>
      <w:szCs w:val="28"/>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FollowedHyperlink"/>
    <w:basedOn w:val="7"/>
    <w:uiPriority w:val="0"/>
    <w:rPr>
      <w:color w:val="800080"/>
      <w:u w:val="single"/>
    </w:rPr>
  </w:style>
  <w:style w:type="character" w:styleId="9">
    <w:name w:val="Hyperlink"/>
    <w:basedOn w:val="7"/>
    <w:uiPriority w:val="0"/>
    <w:rPr>
      <w:color w:val="0000FF"/>
      <w:u w:val="single"/>
    </w:rPr>
  </w:style>
  <w:style w:type="paragraph" w:customStyle="1" w:styleId="10">
    <w:name w:val="2"/>
    <w:qFormat/>
    <w:uiPriority w:val="0"/>
    <w:pPr>
      <w:spacing w:before="120" w:after="120" w:line="288" w:lineRule="auto"/>
    </w:pPr>
    <w:rPr>
      <w:rFonts w:ascii="Arial" w:hAnsi="Arial" w:eastAsia="等线" w:cs="Arial"/>
      <w:kern w:val="0"/>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7434</Words>
  <Characters>7859</Characters>
  <Lines>0</Lines>
  <Paragraphs>0</Paragraphs>
  <TotalTime>45</TotalTime>
  <ScaleCrop>false</ScaleCrop>
  <LinksUpToDate>false</LinksUpToDate>
  <CharactersWithSpaces>8123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2025-12-20T03:48:00Z</dcterms:created>
  <dc:creator>h8237</dc:creator>
  <cp:lastModifiedBy>雪山飞狐</cp:lastModifiedBy>
  <dcterms:modified xsi:type="dcterms:W3CDTF">2025-12-20T08:11:40Z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eyJoZGlkIjoiNjQ2NzBiMzM4MTNhOTEzZTAwZGQ3NjM5ZDEwNWFiN2YiLCJ1c2VySWQiOiIxNTE4NjQyMTE4In0=</vt:lpwstr>
  </property>
  <property fmtid="{D5CDD505-2E9C-101B-9397-08002B2CF9AE}" pid="4" name="ICV">
    <vt:lpwstr>AF43DBD0146C480B92774AA08DD4173B_12</vt:lpwstr>
  </property>
</Properties>
</file>