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Использование технологий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Nginx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Rabbitmq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Парсер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xml/xsd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Стандартные библиотеки питона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Функции фронт-энда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Получить сообщение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Отрисовать ситуацию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Опросить пользователя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Отправить сообщение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 входе - описание текущей ситуации (отрезок протокола)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Сейчас нужен объект Протокол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Дерево навигации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Функции платформы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Управлять структурой сайта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1.1 Главное лобби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1.2 Набор залов - набор столов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Набор турнирных лобби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Расписание турниров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Лидерборды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Управлять пользователями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Авторизация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Блокировки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Анти ддос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История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Рейтинги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Аккаунт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Персональные настройки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Платежи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Траты/поступления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Ачивки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Миссии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Управлять залами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Столы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Лобби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Игроки/Пары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Управлять расписаниями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Создавать турниры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Публиковать турниры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Публиковать результаты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Управлять игрой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Управлять рассадкой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Управлять торговлей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Управлять розыгрышем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Формировать протокол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Управлять клиент-серверным взаимодействием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Отправлять сообщения клиентам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Принимать сообщения от клиентов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Участие сущностей в функциях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MainLobby - 1.1 , Hall - 1.2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