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ind w:hanging="0" w:left="0" w:right="0"/>
        <w:jc w:val="center"/>
      </w:pPr>
      <w:r>
        <w:rPr>
          <w:b/>
        </w:rPr>
        <w:t>BNL BUDGET JUSTIFICATION</w:t>
      </w:r>
    </w:p>
    <w:p>
      <w:pPr>
        <w:pStyle w:val="style29"/>
        <w:jc w:val="center"/>
      </w:pPr>
      <w:r>
        <w:rPr>
          <w:b/>
        </w:rPr>
        <w:t>LAB 12-751 Early Career Awards: Measuring Dark Energy with Gravitational Lensing in the Dark Energy Survey</w:t>
      </w:r>
    </w:p>
    <w:p>
      <w:pPr>
        <w:pStyle w:val="style0"/>
        <w:numPr>
          <w:ilvl w:val="0"/>
          <w:numId w:val="3"/>
        </w:numPr>
      </w:pPr>
      <w:r>
        <w:rPr>
          <w:b/>
          <w:iCs/>
          <w:sz w:val="20"/>
          <w:szCs w:val="20"/>
        </w:rPr>
        <w:t>Senior Personnel:</w:t>
        <w:tab/>
        <w:tab/>
        <w:tab/>
        <w:tab/>
        <w:tab/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Erin Sheldon, Physicist, Brookhaven National Laboratory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Will develop software pipelines to measure gravitational shear,execute these on simulations and DES data, and analyse the results to constrain cosmology.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All salaries include an escalation rate of 3.6% in years 2-5.</w:t>
      </w:r>
    </w:p>
    <w:p>
      <w:pPr>
        <w:pStyle w:val="style0"/>
        <w:numPr>
          <w:ilvl w:val="0"/>
          <w:numId w:val="3"/>
        </w:numPr>
      </w:pPr>
      <w:r>
        <w:rPr>
          <w:b/>
          <w:iCs/>
          <w:sz w:val="20"/>
          <w:szCs w:val="20"/>
        </w:rPr>
        <w:t>Other Personnel:</w:t>
        <w:tab/>
        <w:tab/>
        <w:tab/>
        <w:tab/>
        <w:tab/>
        <w:tab/>
      </w:r>
    </w:p>
    <w:p>
      <w:pPr>
        <w:pStyle w:val="style36"/>
        <w:numPr>
          <w:ilvl w:val="0"/>
          <w:numId w:val="4"/>
        </w:numPr>
      </w:pPr>
      <w:r>
        <w:rPr>
          <w:iCs/>
          <w:sz w:val="20"/>
          <w:szCs w:val="20"/>
        </w:rPr>
        <w:t>Research Associate during each of the five years.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The RA will process data, develop measurement algorithms, and publish constraints on Dark Energy.</w:t>
      </w:r>
    </w:p>
    <w:p>
      <w:pPr>
        <w:pStyle w:val="style0"/>
        <w:ind w:hanging="0" w:left="360" w:right="0"/>
      </w:pPr>
      <w:r>
        <w:rPr>
          <w:iCs/>
          <w:sz w:val="20"/>
          <w:szCs w:val="20"/>
        </w:rPr>
        <w:t>All salaries include an escalation rate of 3.6% in years 2-5.</w:t>
      </w:r>
    </w:p>
    <w:p>
      <w:pPr>
        <w:pStyle w:val="style0"/>
        <w:numPr>
          <w:ilvl w:val="0"/>
          <w:numId w:val="3"/>
        </w:numPr>
      </w:pPr>
      <w:r>
        <w:rPr>
          <w:b/>
          <w:sz w:val="20"/>
          <w:szCs w:val="20"/>
        </w:rPr>
        <w:t>Equipment:</w:t>
      </w:r>
      <w:r>
        <w:rPr>
          <w:b/>
          <w:i/>
          <w:sz w:val="20"/>
          <w:szCs w:val="20"/>
        </w:rPr>
        <w:t xml:space="preserve">  </w:t>
      </w:r>
      <w:r>
        <w:rPr>
          <w:b/>
          <w:sz w:val="20"/>
          <w:szCs w:val="20"/>
        </w:rPr>
        <w:t xml:space="preserve"> </w:t>
        <w:tab/>
        <w:tab/>
        <w:tab/>
        <w:tab/>
        <w:tab/>
        <w:tab/>
        <w:tab/>
      </w:r>
    </w:p>
    <w:p>
      <w:pPr>
        <w:pStyle w:val="style0"/>
        <w:ind w:firstLine="360" w:left="0" w:right="0"/>
      </w:pPr>
      <w:r>
        <w:rPr>
          <w:sz w:val="20"/>
          <w:szCs w:val="20"/>
        </w:rPr>
        <w:t xml:space="preserve">13 computers approximately $10,600 each, plus overhead.  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>This price per computer  is higher than standard due to the inclusion of three high performance GPUs in each machine.</w:t>
      </w:r>
    </w:p>
    <w:p>
      <w:pPr>
        <w:pStyle w:val="style0"/>
        <w:ind w:firstLine="360" w:left="0" w:right="0"/>
      </w:pPr>
      <w:r>
        <w:rPr>
          <w:sz w:val="20"/>
          <w:szCs w:val="20"/>
        </w:rPr>
        <w:t>1 personal computer for use by a research associate hired in the third year, fully dedicated for work on this Early Career award.</w:t>
      </w:r>
    </w:p>
    <w:p>
      <w:pPr>
        <w:pStyle w:val="style36"/>
        <w:numPr>
          <w:ilvl w:val="0"/>
          <w:numId w:val="3"/>
        </w:numPr>
      </w:pPr>
      <w:r>
        <w:rPr>
          <w:b/>
          <w:sz w:val="20"/>
          <w:szCs w:val="20"/>
        </w:rPr>
        <w:t>Travel:</w:t>
      </w:r>
    </w:p>
    <w:p>
      <w:pPr>
        <w:pStyle w:val="style0"/>
        <w:ind w:hanging="0" w:left="720" w:right="0"/>
      </w:pPr>
      <w:r>
        <w:rPr>
          <w:sz w:val="20"/>
          <w:szCs w:val="20"/>
        </w:rPr>
        <w:t>Foreign: None</w:t>
      </w:r>
    </w:p>
    <w:p>
      <w:pPr>
        <w:pStyle w:val="style0"/>
        <w:ind w:hanging="0" w:left="720" w:right="0"/>
      </w:pPr>
      <w:r>
        <w:rPr>
          <w:sz w:val="20"/>
          <w:szCs w:val="20"/>
        </w:rPr>
        <w:t>Domestic: One trip per year for Sheldon and research associate inside the US for a Dark Energy Survey collaboration meeting.  Three weeks per year spent at a summer institute such as the Aspen Institute for Physics, one person.  Travel to visit collaborators at the University of Pennsylvania and at SLAC, Sheldon and research associate</w:t>
      </w:r>
    </w:p>
    <w:p>
      <w:pPr>
        <w:pStyle w:val="style0"/>
        <w:ind w:hanging="0" w:left="0" w:right="0"/>
      </w:pPr>
      <w:r>
        <w:rPr>
          <w:sz w:val="20"/>
          <w:szCs w:val="20"/>
        </w:rPr>
        <w:tab/>
        <w:t>Two to three trips to cosmology conferences per year for Sheldon and research associate.</w:t>
      </w:r>
      <w:r>
        <w:rPr>
          <w:b/>
          <w:sz w:val="20"/>
          <w:szCs w:val="20"/>
        </w:rPr>
        <w:tab/>
        <w:tab/>
      </w:r>
    </w:p>
    <w:p>
      <w:pPr>
        <w:pStyle w:val="style36"/>
        <w:numPr>
          <w:ilvl w:val="0"/>
          <w:numId w:val="3"/>
        </w:numPr>
      </w:pPr>
      <w:r>
        <w:rPr>
          <w:b/>
          <w:sz w:val="20"/>
          <w:szCs w:val="20"/>
        </w:rPr>
        <w:t>Other Direct Costs:</w:t>
      </w:r>
    </w:p>
    <w:p>
      <w:pPr>
        <w:pStyle w:val="style0"/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None</w:t>
      </w:r>
      <w:r>
        <w:rPr>
          <w:iCs/>
          <w:sz w:val="20"/>
          <w:szCs w:val="20"/>
        </w:rPr>
        <w:t xml:space="preserve"> </w:t>
      </w:r>
    </w:p>
    <w:p>
      <w:pPr>
        <w:pStyle w:val="style0"/>
        <w:ind w:firstLine="360" w:left="0" w:right="0"/>
      </w:pPr>
      <w:r>
        <w:rPr>
          <w:b/>
          <w:i/>
          <w:sz w:val="20"/>
          <w:szCs w:val="20"/>
        </w:rPr>
        <w:t>F.</w:t>
      </w:r>
      <w:r>
        <w:rPr>
          <w:b/>
          <w:sz w:val="20"/>
          <w:szCs w:val="20"/>
        </w:rPr>
        <w:t xml:space="preserve">  Indirect Costs:</w:t>
        <w:tab/>
        <w:tab/>
        <w:tab/>
        <w:tab/>
        <w:tab/>
        <w:tab/>
        <w:tab/>
      </w:r>
    </w:p>
    <w:p>
      <w:pPr>
        <w:pStyle w:val="style34"/>
        <w:ind w:firstLine="360" w:left="360" w:right="0"/>
      </w:pPr>
      <w:r>
        <w:rPr>
          <w:i/>
          <w:iCs/>
          <w:sz w:val="20"/>
          <w:szCs w:val="20"/>
          <w:u w:val="single"/>
        </w:rPr>
        <w:t>Materials Burden</w:t>
      </w:r>
      <w:r>
        <w:rPr>
          <w:sz w:val="20"/>
          <w:szCs w:val="20"/>
        </w:rPr>
        <w:t xml:space="preserve"> – This burden is calculated at the rate of 7.5% on the total cost for materials, supplies, travel and subcontracts.  This includes $4,000 for postdoc relocation in year 3.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Organizational Burden</w:t>
      </w:r>
      <w:r>
        <w:rPr>
          <w:sz w:val="20"/>
          <w:szCs w:val="20"/>
        </w:rPr>
        <w:t>: This burden is calculated at the rate of 12.6% of Total Salary plus Fringe Benefits.  This expense covers the costs for Departmental Management, financial and business management support services and environmental safety and health facility support services.</w:t>
      </w:r>
    </w:p>
    <w:p>
      <w:pPr>
        <w:pStyle w:val="style0"/>
        <w:ind w:firstLine="360" w:left="360" w:right="0"/>
      </w:pPr>
      <w:r>
        <w:rPr>
          <w:i/>
          <w:iCs/>
          <w:sz w:val="20"/>
          <w:szCs w:val="20"/>
          <w:u w:val="single"/>
        </w:rPr>
        <w:t>Space Charge</w:t>
      </w:r>
      <w:r>
        <w:rPr>
          <w:sz w:val="20"/>
          <w:szCs w:val="20"/>
        </w:rPr>
        <w:t>:  This charge is a direct charge for office space determined by average square footage of an office. This expense covers the cost for the maintenance of building space and equipment.</w:t>
      </w:r>
    </w:p>
    <w:p>
      <w:pPr>
        <w:pStyle w:val="style34"/>
        <w:ind w:firstLine="360" w:left="360" w:right="0"/>
      </w:pPr>
      <w:r>
        <w:rPr>
          <w:i/>
          <w:iCs/>
          <w:sz w:val="20"/>
          <w:szCs w:val="20"/>
          <w:u w:val="single"/>
        </w:rPr>
        <w:t>Electric Power</w:t>
      </w:r>
      <w:r>
        <w:rPr>
          <w:sz w:val="20"/>
          <w:szCs w:val="20"/>
        </w:rPr>
        <w:t>: The cost for electric power is calculated at the rate of 1.92% of Total Salary plus Fringe Benefits.  Note:  Electric Power is exempt from BNL G&amp;A.</w:t>
      </w:r>
    </w:p>
    <w:p>
      <w:pPr>
        <w:pStyle w:val="style0"/>
        <w:spacing w:after="200" w:before="0"/>
        <w:ind w:firstLine="360" w:left="360" w:right="0"/>
      </w:pPr>
      <w:r>
        <w:rPr>
          <w:i/>
          <w:iCs/>
          <w:sz w:val="20"/>
          <w:szCs w:val="20"/>
          <w:u w:val="single"/>
        </w:rPr>
        <w:t>General and Administrative (G&amp;A) Overhead</w:t>
      </w:r>
      <w:r>
        <w:rPr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is assessed on all BNL research activities as a percentage rate against total modified costs less electric power.  G&amp;A consists of the following segments:  Traditional G&amp;A (8.25%), Common Support G&amp;A (29.9%), and LDRD burden (5%). </w:t>
      </w:r>
      <w:bookmarkStart w:id="0" w:name="_GoBack"/>
      <w:bookmarkEnd w:id="0"/>
      <w:r>
        <w:rPr>
          <w:b/>
          <w:sz w:val="20"/>
          <w:szCs w:val="20"/>
        </w:rPr>
        <w:tab/>
        <w:tab/>
        <w:tab/>
        <w:tab/>
        <w:tab/>
        <w:tab/>
        <w:tab/>
      </w:r>
    </w:p>
    <w:sectPr>
      <w:type w:val="nextPage"/>
      <w:pgSz w:h="15840" w:w="12240"/>
      <w:pgMar w:bottom="720" w:footer="0" w:gutter="0" w:header="0" w:left="720" w:right="720" w:top="720"/>
      <w:pgNumType w:fmt="decimal"/>
      <w:formProt w:val="false"/>
      <w:textDirection w:val="lrTb"/>
      <w:docGrid w:charSpace="-675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0" w:left="360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pos="720" w:val="num"/>
        </w:tabs>
        <w:ind w:hanging="360" w:left="720"/>
      </w:pPr>
      <w:rPr>
        <w:i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2.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2.%3.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2.%3.%4.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2.%3.%4.%5.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2.%3.%4.%5.%6.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2.%3.%4.%5.%6.%7.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2.%3.%4.%5.%6.%7.%8.%9."/>
      <w:lvlJc w:val="right"/>
      <w:pPr>
        <w:tabs>
          <w:tab w:pos="6480" w:val="num"/>
        </w:tabs>
        <w:ind w:hanging="180" w:left="6480"/>
      </w:pPr>
    </w:lvl>
  </w:abstractNum>
  <w:abstractNum w:abstractNumId="4">
    <w:lvl w:ilvl="0">
      <w:start w:val="1"/>
      <w:numFmt w:val="decimal"/>
      <w:lvlText w:val="(%1)"/>
      <w:lvlJc w:val="left"/>
      <w:pPr>
        <w:ind w:hanging="360" w:left="720"/>
      </w:pPr>
      <w:rPr>
        <w:sz w:val="20"/>
      </w:r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2.%3."/>
      <w:lvlJc w:val="right"/>
      <w:pPr>
        <w:ind w:hanging="180" w:left="2160"/>
      </w:pPr>
    </w:lvl>
    <w:lvl w:ilvl="3">
      <w:start w:val="1"/>
      <w:numFmt w:val="decimal"/>
      <w:lvlText w:val="%2.%3.%4."/>
      <w:lvlJc w:val="left"/>
      <w:pPr>
        <w:ind w:hanging="360" w:left="2880"/>
      </w:pPr>
    </w:lvl>
    <w:lvl w:ilvl="4">
      <w:start w:val="1"/>
      <w:numFmt w:val="lowerLetter"/>
      <w:lvlText w:val="%2.%3.%4.%5."/>
      <w:lvlJc w:val="left"/>
      <w:pPr>
        <w:ind w:hanging="360" w:left="3600"/>
      </w:pPr>
    </w:lvl>
    <w:lvl w:ilvl="5">
      <w:start w:val="1"/>
      <w:numFmt w:val="lowerRoman"/>
      <w:lvlText w:val="%2.%3.%4.%5.%6."/>
      <w:lvlJc w:val="right"/>
      <w:pPr>
        <w:ind w:hanging="180" w:left="4320"/>
      </w:pPr>
    </w:lvl>
    <w:lvl w:ilvl="6">
      <w:start w:val="1"/>
      <w:numFmt w:val="decimal"/>
      <w:lvlText w:val="%2.%3.%4.%5.%6.%7."/>
      <w:lvlJc w:val="left"/>
      <w:pPr>
        <w:ind w:hanging="360" w:left="5040"/>
      </w:pPr>
    </w:lvl>
    <w:lvl w:ilvl="7">
      <w:start w:val="1"/>
      <w:numFmt w:val="lowerLetter"/>
      <w:lvlText w:val="%2.%3.%4.%5.%6.%7.%8."/>
      <w:lvlJc w:val="left"/>
      <w:pPr>
        <w:ind w:hanging="360" w:left="5760"/>
      </w:pPr>
    </w:lvl>
    <w:lvl w:ilvl="8">
      <w:start w:val="1"/>
      <w:numFmt w:val="lowerRoman"/>
      <w:lvlText w:val="%2.%3.%4.%5.%6.%7.%8.%9."/>
      <w:lvlJc w:val="right"/>
      <w:pPr>
        <w:ind w:hanging="180" w:left="6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Times New Roman" w:cs="Times New Roman" w:eastAsia="Times New Roman" w:hAnsi="Times New Roman"/>
      <w:color w:val="00000A"/>
      <w:sz w:val="24"/>
      <w:szCs w:val="24"/>
      <w:lang w:bidi="ar-SA" w:eastAsia="en-US" w:val="en-US"/>
    </w:rPr>
  </w:style>
  <w:style w:styleId="style1" w:type="paragraph">
    <w:name w:val="Heading 1"/>
    <w:basedOn w:val="style0"/>
    <w:next w:val="style29"/>
    <w:pPr>
      <w:keepNext/>
      <w:numPr>
        <w:ilvl w:val="0"/>
        <w:numId w:val="1"/>
      </w:numPr>
      <w:ind w:hanging="0" w:left="360" w:right="0"/>
      <w:outlineLvl w:val="0"/>
    </w:pPr>
    <w:rPr>
      <w:u w:val="single"/>
    </w:rPr>
  </w:style>
  <w:style w:styleId="style2" w:type="paragraph">
    <w:name w:val="Heading 2"/>
    <w:basedOn w:val="style0"/>
    <w:next w:val="style29"/>
    <w:pPr>
      <w:keepNext/>
      <w:numPr>
        <w:ilvl w:val="1"/>
        <w:numId w:val="1"/>
      </w:numPr>
      <w:ind w:hanging="0" w:left="360" w:right="0"/>
      <w:outlineLvl w:val="1"/>
    </w:pPr>
    <w:rPr>
      <w:i/>
      <w:iCs/>
      <w:u w:val="single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b/>
      <w:i/>
      <w:u w:val="single"/>
    </w:rPr>
  </w:style>
  <w:style w:styleId="style17" w:type="character">
    <w:name w:val="ListLabel 2"/>
    <w:next w:val="style17"/>
    <w:rPr>
      <w:b/>
      <w:i/>
    </w:rPr>
  </w:style>
  <w:style w:styleId="style18" w:type="character">
    <w:name w:val="ListLabel 3"/>
    <w:next w:val="style18"/>
    <w:rPr>
      <w:i/>
    </w:rPr>
  </w:style>
  <w:style w:styleId="style19" w:type="character">
    <w:name w:val="ListLabel 4"/>
    <w:next w:val="style19"/>
    <w:rPr>
      <w:rFonts w:cs="Times New Roman" w:eastAsia="Times New Roman"/>
      <w:i/>
    </w:rPr>
  </w:style>
  <w:style w:styleId="style20" w:type="character">
    <w:name w:val="ListLabel 5"/>
    <w:next w:val="style20"/>
    <w:rPr>
      <w:i/>
    </w:rPr>
  </w:style>
  <w:style w:styleId="style21" w:type="character">
    <w:name w:val="ListLabel 6"/>
    <w:next w:val="style21"/>
    <w:rPr>
      <w:sz w:val="20"/>
    </w:rPr>
  </w:style>
  <w:style w:styleId="style22" w:type="character">
    <w:name w:val="ListLabel 7"/>
    <w:next w:val="style22"/>
    <w:rPr>
      <w:i/>
    </w:rPr>
  </w:style>
  <w:style w:styleId="style23" w:type="character">
    <w:name w:val="ListLabel 8"/>
    <w:next w:val="style23"/>
    <w:rPr>
      <w:sz w:val="20"/>
    </w:rPr>
  </w:style>
  <w:style w:styleId="style24" w:type="character">
    <w:name w:val="ListLabel 9"/>
    <w:next w:val="style24"/>
    <w:rPr>
      <w:i/>
    </w:rPr>
  </w:style>
  <w:style w:styleId="style25" w:type="character">
    <w:name w:val="ListLabel 10"/>
    <w:next w:val="style25"/>
    <w:rPr>
      <w:sz w:val="20"/>
    </w:rPr>
  </w:style>
  <w:style w:styleId="style26" w:type="character">
    <w:name w:val="ListLabel 11"/>
    <w:next w:val="style26"/>
    <w:rPr>
      <w:i/>
    </w:rPr>
  </w:style>
  <w:style w:styleId="style27" w:type="character">
    <w:name w:val="ListLabel 12"/>
    <w:next w:val="style27"/>
    <w:rPr>
      <w:sz w:val="20"/>
    </w:rPr>
  </w:style>
  <w:style w:styleId="style28" w:type="paragraph">
    <w:name w:val="Heading"/>
    <w:basedOn w:val="style0"/>
    <w:next w:val="style29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3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</w:rPr>
  </w:style>
  <w:style w:styleId="style34" w:type="paragraph">
    <w:name w:val="Text body indent"/>
    <w:basedOn w:val="style0"/>
    <w:next w:val="style34"/>
    <w:pPr>
      <w:ind w:hanging="0" w:left="360" w:right="0"/>
    </w:pPr>
    <w:rPr/>
  </w:style>
  <w:style w:styleId="style35" w:type="paragraph">
    <w:name w:val="Balloon Text"/>
    <w:basedOn w:val="style0"/>
    <w:next w:val="style35"/>
    <w:pPr/>
    <w:rPr>
      <w:rFonts w:ascii="Tahoma" w:cs="Tahoma" w:hAnsi="Tahoma"/>
      <w:sz w:val="16"/>
      <w:szCs w:val="16"/>
    </w:rPr>
  </w:style>
  <w:style w:styleId="style36" w:type="paragraph">
    <w:name w:val="List Paragraph"/>
    <w:basedOn w:val="style0"/>
    <w:next w:val="style36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2012-11-08T14:14:00.00Z</dcterms:created>
  <dc:creator>BJ Carreras</dc:creator>
  <cp:lastModifiedBy>Geib, Bridget T</cp:lastModifiedBy>
  <cp:lastPrinted>2012-11-06T14:45:00.00Z</cp:lastPrinted>
  <dcterms:modified xsi:type="dcterms:W3CDTF">2012-11-08T14:19:00.00Z</dcterms:modified>
  <cp:revision>4</cp:revision>
  <dc:title>Senior Personnel</dc:title>
</cp:coreProperties>
</file>