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2E1" w:rsidRPr="000C42E1" w:rsidRDefault="000C42E1" w:rsidP="000C42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0C42E1">
        <w:rPr>
          <w:rFonts w:ascii="Times New Roman" w:eastAsia="Times New Roman" w:hAnsi="Times New Roman" w:cs="Times New Roman"/>
          <w:b/>
          <w:bCs/>
          <w:kern w:val="36"/>
          <w:sz w:val="48"/>
          <w:szCs w:val="48"/>
          <w:lang w:val="en-US"/>
        </w:rPr>
        <w:t>Global Maritime Connectivity Analysis: Executive Summary</w:t>
      </w:r>
    </w:p>
    <w:p w:rsidR="000C42E1" w:rsidRPr="000C42E1" w:rsidRDefault="000C42E1" w:rsidP="000C42E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C42E1">
        <w:rPr>
          <w:rFonts w:ascii="Times New Roman" w:eastAsia="Times New Roman" w:hAnsi="Times New Roman" w:cs="Times New Roman"/>
          <w:b/>
          <w:bCs/>
          <w:sz w:val="36"/>
          <w:szCs w:val="36"/>
          <w:lang w:val="en-US"/>
        </w:rPr>
        <w:t>Why This Matters</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sz w:val="24"/>
          <w:szCs w:val="24"/>
          <w:lang w:val="en-US"/>
        </w:rPr>
        <w:t>Maritime shipping moves over 80% of global trade by volume. Countries with better shipping connectivity enjoy lower trade costs, faster delivery times, and stronger economic growth. This analysis examines 19 years of data (2006-2025) covering 191 economies to identify where global maritime networks are strengthening, weakening, and creating opportunities.</w:t>
      </w:r>
    </w:p>
    <w:p w:rsidR="000C42E1" w:rsidRPr="000C42E1" w:rsidRDefault="000C42E1" w:rsidP="000C42E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C42E1">
        <w:rPr>
          <w:rFonts w:ascii="Times New Roman" w:eastAsia="Times New Roman" w:hAnsi="Times New Roman" w:cs="Times New Roman"/>
          <w:b/>
          <w:bCs/>
          <w:sz w:val="36"/>
          <w:szCs w:val="36"/>
          <w:lang w:val="en-US"/>
        </w:rPr>
        <w:t>Key Findings</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b/>
          <w:bCs/>
          <w:sz w:val="24"/>
          <w:szCs w:val="24"/>
          <w:lang w:val="en-US"/>
        </w:rPr>
        <w:t>Global connectivity is accelerating.</w:t>
      </w:r>
      <w:r w:rsidRPr="000C42E1">
        <w:rPr>
          <w:rFonts w:ascii="Times New Roman" w:eastAsia="Times New Roman" w:hAnsi="Times New Roman" w:cs="Times New Roman"/>
          <w:sz w:val="24"/>
          <w:szCs w:val="24"/>
          <w:lang w:val="en-US"/>
        </w:rPr>
        <w:t xml:space="preserve"> The average Liner Shipping Connectivity Index (LSCI) has grown from 96 in 2006 to 105 in 2025, crossing the symbolic 100-mark in 2023. While COVID-19 caused a temporary dip in 2020-2021, the recovery has been strong, with 2025 showing the highest connectivity levels on record.</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b/>
          <w:bCs/>
          <w:sz w:val="24"/>
          <w:szCs w:val="24"/>
          <w:lang w:val="en-US"/>
        </w:rPr>
        <w:t>Asia dominates, but the gap is widening.</w:t>
      </w:r>
      <w:r w:rsidRPr="000C42E1">
        <w:rPr>
          <w:rFonts w:ascii="Times New Roman" w:eastAsia="Times New Roman" w:hAnsi="Times New Roman" w:cs="Times New Roman"/>
          <w:sz w:val="24"/>
          <w:szCs w:val="24"/>
          <w:lang w:val="en-US"/>
        </w:rPr>
        <w:t xml:space="preserve"> Asia maintains the highest average connectivity at 192, more than double Europe's 132. China leads globally with an extraordinary average LSCI of</w:t>
      </w:r>
      <w:r>
        <w:rPr>
          <w:rFonts w:ascii="Times New Roman" w:eastAsia="Times New Roman" w:hAnsi="Times New Roman" w:cs="Times New Roman"/>
          <w:sz w:val="24"/>
          <w:szCs w:val="24"/>
          <w:lang w:val="en-US"/>
        </w:rPr>
        <w:t xml:space="preserve"> almost</w:t>
      </w:r>
      <w:r w:rsidRPr="000C42E1">
        <w:rPr>
          <w:rFonts w:ascii="Times New Roman" w:eastAsia="Times New Roman" w:hAnsi="Times New Roman" w:cs="Times New Roman"/>
          <w:sz w:val="24"/>
          <w:szCs w:val="24"/>
          <w:lang w:val="en-US"/>
        </w:rPr>
        <w:t xml:space="preserve"> 958, followed by Singapore at 568. These two economies alone handle a disproportionate share of global container traffic, highlighting their critical role in supply chains.</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b/>
          <w:bCs/>
          <w:sz w:val="24"/>
          <w:szCs w:val="24"/>
          <w:lang w:val="en-US"/>
        </w:rPr>
        <w:t>Emerging markets show dramatic growth potential.</w:t>
      </w:r>
      <w:r w:rsidRPr="000C42E1">
        <w:rPr>
          <w:rFonts w:ascii="Times New Roman" w:eastAsia="Times New Roman" w:hAnsi="Times New Roman" w:cs="Times New Roman"/>
          <w:sz w:val="24"/>
          <w:szCs w:val="24"/>
          <w:lang w:val="en-US"/>
        </w:rPr>
        <w:t xml:space="preserve"> Iraq leads all economies with a 13.5% compound annual growth rate, followed by Morocco (7.3%) and Timor-Leste (7.1%). These markets are investing heavily in port infrastructure and capturing new trade routes, presenting opportunities for shipping companies, logistics providers, and investors looking for the next generation of maritime hubs.</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b/>
          <w:bCs/>
          <w:sz w:val="24"/>
          <w:szCs w:val="24"/>
          <w:lang w:val="en-US"/>
        </w:rPr>
        <w:t>Some economies are losing ground.</w:t>
      </w:r>
      <w:r w:rsidRPr="000C42E1">
        <w:rPr>
          <w:rFonts w:ascii="Times New Roman" w:eastAsia="Times New Roman" w:hAnsi="Times New Roman" w:cs="Times New Roman"/>
          <w:sz w:val="24"/>
          <w:szCs w:val="24"/>
          <w:lang w:val="en-US"/>
        </w:rPr>
        <w:t xml:space="preserve"> Venezuela (-5.6% CAGR), Ukraine (-4.5%), and Yemen (-4.3%) have experienced significant connectivity declines due to political instability, conflict, and economic sanctions. Even established markets like Germany (-2.1%) and Hong Kong (-2.2%) show negative growth, suggesting structural shifts in global shipping patterns and potential route optimization opportunities.</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b/>
          <w:bCs/>
          <w:sz w:val="24"/>
          <w:szCs w:val="24"/>
          <w:lang w:val="en-US"/>
        </w:rPr>
        <w:t>Africa is on the move, but starting from behind.</w:t>
      </w:r>
      <w:r w:rsidRPr="000C42E1">
        <w:rPr>
          <w:rFonts w:ascii="Times New Roman" w:eastAsia="Times New Roman" w:hAnsi="Times New Roman" w:cs="Times New Roman"/>
          <w:sz w:val="24"/>
          <w:szCs w:val="24"/>
          <w:lang w:val="en-US"/>
        </w:rPr>
        <w:t xml:space="preserve"> African connectivity improved 35% from 2006 to 2025, yet the continent's average LSCI of 54 remains the second-lowest globally. Egypt (229), Morocco (187), and South Africa (129) lead the region, but many African nations still have limited or no regular container shipping services. This infrastructure gap represents both a challenge and an investment opportunity.</w:t>
      </w:r>
    </w:p>
    <w:p w:rsidR="000C42E1" w:rsidRPr="000C42E1" w:rsidRDefault="000C42E1" w:rsidP="000C42E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C42E1">
        <w:rPr>
          <w:rFonts w:ascii="Times New Roman" w:eastAsia="Times New Roman" w:hAnsi="Times New Roman" w:cs="Times New Roman"/>
          <w:b/>
          <w:bCs/>
          <w:sz w:val="36"/>
          <w:szCs w:val="36"/>
          <w:lang w:val="en-US"/>
        </w:rPr>
        <w:t>Strategic Implications</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b/>
          <w:bCs/>
          <w:sz w:val="24"/>
          <w:szCs w:val="24"/>
          <w:lang w:val="en-US"/>
        </w:rPr>
        <w:lastRenderedPageBreak/>
        <w:t>For shipping lines:</w:t>
      </w:r>
      <w:r w:rsidRPr="000C42E1">
        <w:rPr>
          <w:rFonts w:ascii="Times New Roman" w:eastAsia="Times New Roman" w:hAnsi="Times New Roman" w:cs="Times New Roman"/>
          <w:sz w:val="24"/>
          <w:szCs w:val="24"/>
          <w:lang w:val="en-US"/>
        </w:rPr>
        <w:t xml:space="preserve"> Focus expansion on high-growth emerging markets while maintaining presence in established hubs. Iraq, Morocco, and Southeast Asian economies offer the best growth prospects.</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b/>
          <w:bCs/>
          <w:sz w:val="24"/>
          <w:szCs w:val="24"/>
          <w:lang w:val="en-US"/>
        </w:rPr>
        <w:t>For port operators:</w:t>
      </w:r>
      <w:r w:rsidRPr="000C42E1">
        <w:rPr>
          <w:rFonts w:ascii="Times New Roman" w:eastAsia="Times New Roman" w:hAnsi="Times New Roman" w:cs="Times New Roman"/>
          <w:sz w:val="24"/>
          <w:szCs w:val="24"/>
          <w:lang w:val="en-US"/>
        </w:rPr>
        <w:t xml:space="preserve"> Infrastructure investments in Africa and underserved regions could capture first-mover advantages as global trade patterns shift toward nearshoring and regional supply chains.</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b/>
          <w:bCs/>
          <w:sz w:val="24"/>
          <w:szCs w:val="24"/>
          <w:lang w:val="en-US"/>
        </w:rPr>
        <w:t>For supply chain managers:</w:t>
      </w:r>
      <w:r w:rsidRPr="000C42E1">
        <w:rPr>
          <w:rFonts w:ascii="Times New Roman" w:eastAsia="Times New Roman" w:hAnsi="Times New Roman" w:cs="Times New Roman"/>
          <w:sz w:val="24"/>
          <w:szCs w:val="24"/>
          <w:lang w:val="en-US"/>
        </w:rPr>
        <w:t xml:space="preserve"> Diversification is critical. Over-reliance on a few mega-hubs (China, Singapore) creates concentration risk. Secondary hubs in stable, growing markets offer resilience without sacrificing connectivity.</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b/>
          <w:bCs/>
          <w:sz w:val="24"/>
          <w:szCs w:val="24"/>
          <w:lang w:val="en-US"/>
        </w:rPr>
        <w:t>For policymakers:</w:t>
      </w:r>
      <w:r w:rsidRPr="000C42E1">
        <w:rPr>
          <w:rFonts w:ascii="Times New Roman" w:eastAsia="Times New Roman" w:hAnsi="Times New Roman" w:cs="Times New Roman"/>
          <w:sz w:val="24"/>
          <w:szCs w:val="24"/>
          <w:lang w:val="en-US"/>
        </w:rPr>
        <w:t xml:space="preserve"> Maritime connectivity directly correlates with trade competitiveness. Countries investing in port infrastructure, regulatory efficiency, and multimodal transport links see measurable connectivity gains within 3-5 years.</w:t>
      </w:r>
    </w:p>
    <w:p w:rsidR="000C42E1" w:rsidRPr="000C42E1" w:rsidRDefault="000C42E1" w:rsidP="000C42E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C42E1">
        <w:rPr>
          <w:rFonts w:ascii="Times New Roman" w:eastAsia="Times New Roman" w:hAnsi="Times New Roman" w:cs="Times New Roman"/>
          <w:b/>
          <w:bCs/>
          <w:sz w:val="36"/>
          <w:szCs w:val="36"/>
          <w:lang w:val="en-US"/>
        </w:rPr>
        <w:t>Bottom Line</w: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sz w:val="24"/>
          <w:szCs w:val="24"/>
          <w:lang w:val="en-US"/>
        </w:rPr>
        <w:t>Global maritime connectivity is not static. New winners are emerging while traditional players face challenges. Understanding these shifts is essential for anyone involved in international trade, logistics, or maritime investment. The data shows clear patterns: infrastructure investment drives connectivity, connectivity enables trade, and trade drives economic growth. The question isn't whether maritime connectivity matters—it's whether you're positioned to capitalize on the changes already underway.</w:t>
      </w:r>
    </w:p>
    <w:p w:rsidR="000C42E1" w:rsidRPr="000C42E1" w:rsidRDefault="000C42E1" w:rsidP="000C42E1">
      <w:pPr>
        <w:spacing w:after="0"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sz w:val="24"/>
          <w:szCs w:val="24"/>
          <w:lang w:val="en-US"/>
        </w:rPr>
        <w:pict>
          <v:rect id="_x0000_i1025" style="width:0;height:1.5pt" o:hralign="center" o:hrstd="t" o:hr="t" fillcolor="#a0a0a0" stroked="f"/>
        </w:pict>
      </w:r>
    </w:p>
    <w:p w:rsidR="000C42E1" w:rsidRPr="000C42E1" w:rsidRDefault="000C42E1" w:rsidP="000C42E1">
      <w:pPr>
        <w:spacing w:before="100" w:beforeAutospacing="1" w:after="100" w:afterAutospacing="1" w:line="240" w:lineRule="auto"/>
        <w:rPr>
          <w:rFonts w:ascii="Times New Roman" w:eastAsia="Times New Roman" w:hAnsi="Times New Roman" w:cs="Times New Roman"/>
          <w:sz w:val="24"/>
          <w:szCs w:val="24"/>
          <w:lang w:val="en-US"/>
        </w:rPr>
      </w:pPr>
      <w:r w:rsidRPr="000C42E1">
        <w:rPr>
          <w:rFonts w:ascii="Times New Roman" w:eastAsia="Times New Roman" w:hAnsi="Times New Roman" w:cs="Times New Roman"/>
          <w:b/>
          <w:bCs/>
          <w:sz w:val="24"/>
          <w:szCs w:val="24"/>
          <w:lang w:val="en-US"/>
        </w:rPr>
        <w:t>Data Source:</w:t>
      </w:r>
      <w:r w:rsidRPr="000C42E1">
        <w:rPr>
          <w:rFonts w:ascii="Times New Roman" w:eastAsia="Times New Roman" w:hAnsi="Times New Roman" w:cs="Times New Roman"/>
          <w:sz w:val="24"/>
          <w:szCs w:val="24"/>
          <w:lang w:val="en-US"/>
        </w:rPr>
        <w:t xml:space="preserve"> UNCTAD Liner Shipping Connectivity Index (LSCI), 2006-2025</w:t>
      </w:r>
      <w:r w:rsidRPr="000C42E1">
        <w:rPr>
          <w:rFonts w:ascii="Times New Roman" w:eastAsia="Times New Roman" w:hAnsi="Times New Roman" w:cs="Times New Roman"/>
          <w:sz w:val="24"/>
          <w:szCs w:val="24"/>
          <w:lang w:val="en-US"/>
        </w:rPr>
        <w:br/>
      </w:r>
      <w:r w:rsidRPr="000C42E1">
        <w:rPr>
          <w:rFonts w:ascii="Times New Roman" w:eastAsia="Times New Roman" w:hAnsi="Times New Roman" w:cs="Times New Roman"/>
          <w:b/>
          <w:bCs/>
          <w:sz w:val="24"/>
          <w:szCs w:val="24"/>
          <w:lang w:val="en-US"/>
        </w:rPr>
        <w:t>Methodology:</w:t>
      </w:r>
      <w:r w:rsidRPr="000C42E1">
        <w:rPr>
          <w:rFonts w:ascii="Times New Roman" w:eastAsia="Times New Roman" w:hAnsi="Times New Roman" w:cs="Times New Roman"/>
          <w:sz w:val="24"/>
          <w:szCs w:val="24"/>
          <w:lang w:val="en-US"/>
        </w:rPr>
        <w:t xml:space="preserve"> SQL-based analysis of quarterly LSCI data across 191 economies, with growth rates calculated using compound annual growth rate (CAGR) methodology</w:t>
      </w:r>
      <w:r w:rsidRPr="000C42E1">
        <w:rPr>
          <w:rFonts w:ascii="Times New Roman" w:eastAsia="Times New Roman" w:hAnsi="Times New Roman" w:cs="Times New Roman"/>
          <w:sz w:val="24"/>
          <w:szCs w:val="24"/>
          <w:lang w:val="en-US"/>
        </w:rPr>
        <w:br/>
      </w:r>
      <w:r w:rsidRPr="000C42E1">
        <w:rPr>
          <w:rFonts w:ascii="Times New Roman" w:eastAsia="Times New Roman" w:hAnsi="Times New Roman" w:cs="Times New Roman"/>
          <w:b/>
          <w:bCs/>
          <w:sz w:val="24"/>
          <w:szCs w:val="24"/>
          <w:lang w:val="en-US"/>
        </w:rPr>
        <w:t>Full analysis and interactive dashboard:</w:t>
      </w:r>
      <w:r w:rsidRPr="000C42E1">
        <w:rPr>
          <w:rFonts w:ascii="Times New Roman" w:eastAsia="Times New Roman" w:hAnsi="Times New Roman" w:cs="Times New Roman"/>
          <w:sz w:val="24"/>
          <w:szCs w:val="24"/>
          <w:lang w:val="en-US"/>
        </w:rPr>
        <w:t xml:space="preserve"> </w:t>
      </w:r>
      <w:hyperlink r:id="rId4" w:history="1">
        <w:r w:rsidR="00220FE0" w:rsidRPr="00220FE0">
          <w:rPr>
            <w:rStyle w:val="Hyperlink"/>
            <w:rFonts w:ascii="Times New Roman" w:eastAsia="Times New Roman" w:hAnsi="Times New Roman" w:cs="Times New Roman"/>
            <w:sz w:val="24"/>
            <w:szCs w:val="24"/>
            <w:lang w:val="en-US"/>
          </w:rPr>
          <w:t>GitHub</w:t>
        </w:r>
      </w:hyperlink>
      <w:bookmarkStart w:id="0" w:name="_GoBack"/>
      <w:bookmarkEnd w:id="0"/>
    </w:p>
    <w:p w:rsidR="00A46484" w:rsidRPr="00A46484" w:rsidRDefault="00A46484">
      <w:pPr>
        <w:rPr>
          <w:lang w:val="en-US"/>
        </w:rPr>
      </w:pPr>
    </w:p>
    <w:sectPr w:rsidR="00A46484" w:rsidRPr="00A464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484"/>
    <w:rsid w:val="000C42E1"/>
    <w:rsid w:val="001046EE"/>
    <w:rsid w:val="00220FE0"/>
    <w:rsid w:val="00A46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6C3B"/>
  <w15:chartTrackingRefBased/>
  <w15:docId w15:val="{77B4E2F3-8206-4E86-9467-2C7E8D5A1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0F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228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Grace-NK/global-maritime-connectivity-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2025-11-28T12:17:00Z</dcterms:created>
  <dcterms:modified xsi:type="dcterms:W3CDTF">2025-11-28T12:26:00Z</dcterms:modified>
</cp:coreProperties>
</file>