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61F1" w:rsidRPr="00DE61F1" w:rsidRDefault="00DE61F1" w:rsidP="004F6171">
      <w:pPr>
        <w:pStyle w:val="Heading1"/>
        <w:rPr>
          <w:rFonts w:eastAsia="Times New Roman"/>
        </w:rPr>
      </w:pPr>
      <w:r w:rsidRPr="00DE61F1">
        <w:rPr>
          <w:rFonts w:eastAsia="Times New Roman"/>
        </w:rPr>
        <w:t>Discussion</w:t>
      </w:r>
    </w:p>
    <w:p w:rsidR="00DE61F1" w:rsidRPr="00DE61F1" w:rsidRDefault="00DE61F1" w:rsidP="007C3B81">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This study developed a discrete-event simulation model of a Critical Care Unit (CCU) based on the framework proposed by Griffiths et al. (2010) [1]. The model produced a baseline occupancy of 87% and approximately 390 elective cancellations annually under a 24-bed configuration, compared to 82% occupancy and 57 cancellations reported in the original study [1]</w:t>
      </w:r>
      <w:r w:rsidR="0027616B">
        <w:rPr>
          <w:rFonts w:ascii="Arial" w:eastAsia="Times New Roman" w:hAnsi="Arial" w:cs="Arial"/>
          <w:kern w:val="0"/>
          <w:szCs w:val="24"/>
          <w14:ligatures w14:val="none"/>
        </w:rPr>
        <w:t>. While the overall conclusion t</w:t>
      </w:r>
      <w:r w:rsidRPr="00DE61F1">
        <w:rPr>
          <w:rFonts w:ascii="Arial" w:eastAsia="Times New Roman" w:hAnsi="Arial" w:cs="Arial"/>
          <w:kern w:val="0"/>
          <w:szCs w:val="24"/>
          <w14:ligatures w14:val="none"/>
        </w:rPr>
        <w:t xml:space="preserve">hat 24 beds </w:t>
      </w:r>
      <w:r w:rsidR="0027616B">
        <w:rPr>
          <w:rFonts w:ascii="Arial" w:eastAsia="Times New Roman" w:hAnsi="Arial" w:cs="Arial"/>
          <w:kern w:val="0"/>
          <w:szCs w:val="24"/>
          <w14:ligatures w14:val="none"/>
        </w:rPr>
        <w:t xml:space="preserve">are insufficient to meet demand </w:t>
      </w:r>
      <w:r w:rsidRPr="00DE61F1">
        <w:rPr>
          <w:rFonts w:ascii="Arial" w:eastAsia="Times New Roman" w:hAnsi="Arial" w:cs="Arial"/>
          <w:kern w:val="0"/>
          <w:szCs w:val="24"/>
          <w14:ligatures w14:val="none"/>
        </w:rPr>
        <w:t>is consistent, the divergence in quantitative outputs highlights key challenges in reproducing published simulation models.</w:t>
      </w:r>
    </w:p>
    <w:p w:rsidR="00DE61F1" w:rsidRPr="00DE61F1" w:rsidRDefault="00DE61F1" w:rsidP="007C3B81">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A primary limitation arises from the under-specification of modelling assumptions in the original paper. Although Griffiths et al. (2010) provide an overview of system structure, several critical components are not fully defined. In particular, elective patient scheduling is insufficiently described. While elective admissions are reported to cluster between Tuesday and Friday, the paper does not specify session sizes, timing, or inter-arrival structure. This is critical, as arrival clustering strongly influences system performance; small differences in scheduling can produce large variations in cancellations in capacity-constrained systems [3].</w:t>
      </w:r>
    </w:p>
    <w:p w:rsidR="00DE61F1" w:rsidRPr="00DE61F1" w:rsidRDefault="00DE61F1" w:rsidP="007C3B81">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 xml:space="preserve">A second source of discrepancy relates to distributional assumptions. The original study </w:t>
      </w:r>
      <w:proofErr w:type="spellStart"/>
      <w:r w:rsidRPr="00DE61F1">
        <w:rPr>
          <w:rFonts w:ascii="Arial" w:eastAsia="Times New Roman" w:hAnsi="Arial" w:cs="Arial"/>
          <w:kern w:val="0"/>
          <w:szCs w:val="24"/>
          <w14:ligatures w14:val="none"/>
        </w:rPr>
        <w:t>utilised</w:t>
      </w:r>
      <w:proofErr w:type="spellEnd"/>
      <w:r w:rsidRPr="00DE61F1">
        <w:rPr>
          <w:rFonts w:ascii="Arial" w:eastAsia="Times New Roman" w:hAnsi="Arial" w:cs="Arial"/>
          <w:kern w:val="0"/>
          <w:szCs w:val="24"/>
          <w14:ligatures w14:val="none"/>
        </w:rPr>
        <w:t xml:space="preserve"> </w:t>
      </w:r>
      <w:proofErr w:type="spellStart"/>
      <w:r w:rsidRPr="00DE61F1">
        <w:rPr>
          <w:rFonts w:ascii="Arial" w:eastAsia="Times New Roman" w:hAnsi="Arial" w:cs="Arial"/>
          <w:kern w:val="0"/>
          <w:szCs w:val="24"/>
          <w:highlight w:val="yellow"/>
          <w14:ligatures w14:val="none"/>
        </w:rPr>
        <w:t>hyperexponential</w:t>
      </w:r>
      <w:proofErr w:type="spellEnd"/>
      <w:r w:rsidRPr="00DE61F1">
        <w:rPr>
          <w:rFonts w:ascii="Arial" w:eastAsia="Times New Roman" w:hAnsi="Arial" w:cs="Arial"/>
          <w:kern w:val="0"/>
          <w:szCs w:val="24"/>
          <w:highlight w:val="yellow"/>
          <w14:ligatures w14:val="none"/>
        </w:rPr>
        <w:t xml:space="preserve"> distributions</w:t>
      </w:r>
      <w:r w:rsidRPr="00DE61F1">
        <w:rPr>
          <w:rFonts w:ascii="Arial" w:eastAsia="Times New Roman" w:hAnsi="Arial" w:cs="Arial"/>
          <w:kern w:val="0"/>
          <w:szCs w:val="24"/>
          <w14:ligatures w14:val="none"/>
        </w:rPr>
        <w:t xml:space="preserve"> for length of stay (LOS), but did not report full </w:t>
      </w:r>
      <w:proofErr w:type="spellStart"/>
      <w:r w:rsidRPr="00DE61F1">
        <w:rPr>
          <w:rFonts w:ascii="Arial" w:eastAsia="Times New Roman" w:hAnsi="Arial" w:cs="Arial"/>
          <w:kern w:val="0"/>
          <w:szCs w:val="24"/>
          <w14:ligatures w14:val="none"/>
        </w:rPr>
        <w:t>parameterisation</w:t>
      </w:r>
      <w:proofErr w:type="spellEnd"/>
      <w:r w:rsidRPr="00DE61F1">
        <w:rPr>
          <w:rFonts w:ascii="Arial" w:eastAsia="Times New Roman" w:hAnsi="Arial" w:cs="Arial"/>
          <w:kern w:val="0"/>
          <w:szCs w:val="24"/>
          <w14:ligatures w14:val="none"/>
        </w:rPr>
        <w:t xml:space="preserve"> or fitting procedures [1]. In this model, lognormal distributions were used as a simplification. While this improves transparency and reproducibility, it alters variance and tail </w:t>
      </w:r>
      <w:proofErr w:type="spellStart"/>
      <w:r w:rsidRPr="00DE61F1">
        <w:rPr>
          <w:rFonts w:ascii="Arial" w:eastAsia="Times New Roman" w:hAnsi="Arial" w:cs="Arial"/>
          <w:kern w:val="0"/>
          <w:szCs w:val="24"/>
          <w14:ligatures w14:val="none"/>
        </w:rPr>
        <w:t>behaviour</w:t>
      </w:r>
      <w:proofErr w:type="spellEnd"/>
      <w:r w:rsidRPr="00DE61F1">
        <w:rPr>
          <w:rFonts w:ascii="Arial" w:eastAsia="Times New Roman" w:hAnsi="Arial" w:cs="Arial"/>
          <w:kern w:val="0"/>
          <w:szCs w:val="24"/>
          <w14:ligatures w14:val="none"/>
        </w:rPr>
        <w:t>, which are key determinants of congestion and bed blocking [4]. Consequently, differences in LOS distributions contribute directly to variations in occupancy and cancellation rates.</w:t>
      </w:r>
    </w:p>
    <w:p w:rsidR="00DE61F1" w:rsidRPr="00DE61F1" w:rsidRDefault="00DE61F1" w:rsidP="007C3B81">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 xml:space="preserve">Further divergence arises from incomplete specification of queueing rules and operational logic. Although emergency patients are </w:t>
      </w:r>
      <w:proofErr w:type="spellStart"/>
      <w:r w:rsidRPr="00DE61F1">
        <w:rPr>
          <w:rFonts w:ascii="Arial" w:eastAsia="Times New Roman" w:hAnsi="Arial" w:cs="Arial"/>
          <w:kern w:val="0"/>
          <w:szCs w:val="24"/>
          <w14:ligatures w14:val="none"/>
        </w:rPr>
        <w:t>prioritised</w:t>
      </w:r>
      <w:proofErr w:type="spellEnd"/>
      <w:r w:rsidRPr="00DE61F1">
        <w:rPr>
          <w:rFonts w:ascii="Arial" w:eastAsia="Times New Roman" w:hAnsi="Arial" w:cs="Arial"/>
          <w:kern w:val="0"/>
          <w:szCs w:val="24"/>
          <w14:ligatures w14:val="none"/>
        </w:rPr>
        <w:t xml:space="preserve"> over elective cases [1], the paper does not define the full queueing discipline, handling of simultaneous arrivals, or bed allocation rules. Additionally, i</w:t>
      </w:r>
      <w:r w:rsidR="0027616B">
        <w:rPr>
          <w:rFonts w:ascii="Arial" w:eastAsia="Times New Roman" w:hAnsi="Arial" w:cs="Arial"/>
          <w:kern w:val="0"/>
          <w:szCs w:val="24"/>
          <w14:ligatures w14:val="none"/>
        </w:rPr>
        <w:t xml:space="preserve">mplementation-level assumptions </w:t>
      </w:r>
      <w:r w:rsidRPr="00DE61F1">
        <w:rPr>
          <w:rFonts w:ascii="Arial" w:eastAsia="Times New Roman" w:hAnsi="Arial" w:cs="Arial"/>
          <w:kern w:val="0"/>
          <w:szCs w:val="24"/>
          <w14:ligatures w14:val="none"/>
        </w:rPr>
        <w:t>such as discharg</w:t>
      </w:r>
      <w:r w:rsidR="0027616B">
        <w:rPr>
          <w:rFonts w:ascii="Arial" w:eastAsia="Times New Roman" w:hAnsi="Arial" w:cs="Arial"/>
          <w:kern w:val="0"/>
          <w:szCs w:val="24"/>
          <w14:ligatures w14:val="none"/>
        </w:rPr>
        <w:t xml:space="preserve">e timing and cleaning processes </w:t>
      </w:r>
      <w:r w:rsidRPr="00DE61F1">
        <w:rPr>
          <w:rFonts w:ascii="Arial" w:eastAsia="Times New Roman" w:hAnsi="Arial" w:cs="Arial"/>
          <w:kern w:val="0"/>
          <w:szCs w:val="24"/>
          <w14:ligatures w14:val="none"/>
        </w:rPr>
        <w:t>must be inferred. Such details, while seemingly minor, can significantly influence system dynamics and outcomes [5].</w:t>
      </w:r>
    </w:p>
    <w:p w:rsidR="00DE61F1" w:rsidRPr="00DE61F1" w:rsidRDefault="00DE61F1" w:rsidP="007C3B81">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highlight w:val="yellow"/>
          <w14:ligatures w14:val="none"/>
        </w:rPr>
        <w:t>Methodological simplifications</w:t>
      </w:r>
      <w:r w:rsidRPr="00DE61F1">
        <w:rPr>
          <w:rFonts w:ascii="Arial" w:eastAsia="Times New Roman" w:hAnsi="Arial" w:cs="Arial"/>
          <w:kern w:val="0"/>
          <w:szCs w:val="24"/>
          <w14:ligatures w14:val="none"/>
        </w:rPr>
        <w:t xml:space="preserve"> in the present model also contribute to differences. The model enforces a strict 24-bed capacity, whereas the original study notes occasional use of overflow beds during peak demand [1]. Excluding this flexibility leads to a more constrained system and higher cancellation rates. Similarly, modelling LOS using theoretical distributions rather than empirical sampling may fail to capture time-of-day discharge patterns, further increasing congestion.</w:t>
      </w:r>
    </w:p>
    <w:p w:rsidR="00DE61F1" w:rsidRPr="00DE61F1" w:rsidRDefault="00DE61F1" w:rsidP="007C3B81">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 xml:space="preserve">These findings highlight the sensitivity of healthcare systems operating near capacity thresholds. </w:t>
      </w:r>
      <w:r w:rsidRPr="00DE61F1">
        <w:rPr>
          <w:rFonts w:ascii="Arial" w:eastAsia="Times New Roman" w:hAnsi="Arial" w:cs="Arial"/>
          <w:kern w:val="0"/>
          <w:szCs w:val="24"/>
          <w:highlight w:val="yellow"/>
          <w14:ligatures w14:val="none"/>
        </w:rPr>
        <w:t xml:space="preserve">As shown in previous studies, systems exceeding 80–85% </w:t>
      </w:r>
      <w:proofErr w:type="spellStart"/>
      <w:r w:rsidRPr="00DE61F1">
        <w:rPr>
          <w:rFonts w:ascii="Arial" w:eastAsia="Times New Roman" w:hAnsi="Arial" w:cs="Arial"/>
          <w:kern w:val="0"/>
          <w:szCs w:val="24"/>
          <w:highlight w:val="yellow"/>
          <w14:ligatures w14:val="none"/>
        </w:rPr>
        <w:t>utilisation</w:t>
      </w:r>
      <w:proofErr w:type="spellEnd"/>
      <w:r w:rsidRPr="00DE61F1">
        <w:rPr>
          <w:rFonts w:ascii="Arial" w:eastAsia="Times New Roman" w:hAnsi="Arial" w:cs="Arial"/>
          <w:kern w:val="0"/>
          <w:szCs w:val="24"/>
          <w:highlight w:val="yellow"/>
          <w14:ligatures w14:val="none"/>
        </w:rPr>
        <w:t xml:space="preserve"> experience nonlinear increases in delays and cancellations [2</w:t>
      </w:r>
      <w:proofErr w:type="gramStart"/>
      <w:r w:rsidRPr="00DE61F1">
        <w:rPr>
          <w:rFonts w:ascii="Arial" w:eastAsia="Times New Roman" w:hAnsi="Arial" w:cs="Arial"/>
          <w:kern w:val="0"/>
          <w:szCs w:val="24"/>
          <w:highlight w:val="yellow"/>
          <w14:ligatures w14:val="none"/>
        </w:rPr>
        <w:t>][</w:t>
      </w:r>
      <w:proofErr w:type="gramEnd"/>
      <w:r w:rsidRPr="00DE61F1">
        <w:rPr>
          <w:rFonts w:ascii="Arial" w:eastAsia="Times New Roman" w:hAnsi="Arial" w:cs="Arial"/>
          <w:kern w:val="0"/>
          <w:szCs w:val="24"/>
          <w:highlight w:val="yellow"/>
          <w14:ligatures w14:val="none"/>
        </w:rPr>
        <w:t>6].</w:t>
      </w:r>
      <w:r w:rsidRPr="00DE61F1">
        <w:rPr>
          <w:rFonts w:ascii="Arial" w:eastAsia="Times New Roman" w:hAnsi="Arial" w:cs="Arial"/>
          <w:kern w:val="0"/>
          <w:szCs w:val="24"/>
          <w14:ligatures w14:val="none"/>
        </w:rPr>
        <w:t xml:space="preserve"> The discrepancy between this model and the original study therefore reflects both structural uncertainty and inherent system sensitivity, rather than model error.</w:t>
      </w:r>
      <w:bookmarkStart w:id="0" w:name="_GoBack"/>
      <w:bookmarkEnd w:id="0"/>
    </w:p>
    <w:p w:rsidR="00DE61F1" w:rsidRPr="00DE61F1" w:rsidRDefault="00DE61F1" w:rsidP="007C3B81">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lastRenderedPageBreak/>
        <w:t xml:space="preserve">More broadly, this study underscores the challenges of reproducibility in healthcare simulation research. Incomplete reporting of model assumptions limits the ability to replicate results, as noted by Zhang et al. </w:t>
      </w:r>
      <w:r w:rsidR="0027616B">
        <w:rPr>
          <w:rFonts w:ascii="Arial" w:eastAsia="Times New Roman" w:hAnsi="Arial" w:cs="Arial"/>
          <w:kern w:val="0"/>
          <w:szCs w:val="24"/>
          <w14:ligatures w14:val="none"/>
        </w:rPr>
        <w:t>(2020) and Sargent (2011) [2]</w:t>
      </w:r>
      <w:r w:rsidRPr="00DE61F1">
        <w:rPr>
          <w:rFonts w:ascii="Arial" w:eastAsia="Times New Roman" w:hAnsi="Arial" w:cs="Arial"/>
          <w:kern w:val="0"/>
          <w:szCs w:val="24"/>
          <w14:ligatures w14:val="none"/>
        </w:rPr>
        <w:t xml:space="preserve">. The differences observed here demonstrate that approximate alignment, supported by logical </w:t>
      </w:r>
      <w:proofErr w:type="spellStart"/>
      <w:r w:rsidRPr="00DE61F1">
        <w:rPr>
          <w:rFonts w:ascii="Arial" w:eastAsia="Times New Roman" w:hAnsi="Arial" w:cs="Arial"/>
          <w:kern w:val="0"/>
          <w:szCs w:val="24"/>
          <w14:ligatures w14:val="none"/>
        </w:rPr>
        <w:t>behaviour</w:t>
      </w:r>
      <w:proofErr w:type="spellEnd"/>
      <w:r w:rsidRPr="00DE61F1">
        <w:rPr>
          <w:rFonts w:ascii="Arial" w:eastAsia="Times New Roman" w:hAnsi="Arial" w:cs="Arial"/>
          <w:kern w:val="0"/>
          <w:szCs w:val="24"/>
          <w14:ligatures w14:val="none"/>
        </w:rPr>
        <w:t xml:space="preserve"> and sensitivity testing, provides stronger evidence of validity than exact numerical replication.</w:t>
      </w:r>
    </w:p>
    <w:p w:rsidR="00DE61F1" w:rsidRPr="00DE61F1" w:rsidRDefault="00DE61F1" w:rsidP="004F6171">
      <w:pPr>
        <w:pStyle w:val="Heading1"/>
        <w:rPr>
          <w:rFonts w:eastAsia="Times New Roman"/>
        </w:rPr>
      </w:pPr>
      <w:r w:rsidRPr="00DE61F1">
        <w:rPr>
          <w:rFonts w:eastAsia="Times New Roman"/>
        </w:rPr>
        <w:t>Conclusion</w:t>
      </w:r>
    </w:p>
    <w:p w:rsidR="00DE61F1" w:rsidRPr="00DE61F1" w:rsidRDefault="00DE61F1" w:rsidP="00321647">
      <w:pPr>
        <w:spacing w:before="100" w:beforeAutospacing="1" w:after="100" w:afterAutospacing="1" w:line="276" w:lineRule="auto"/>
        <w:rPr>
          <w:rFonts w:ascii="Arial" w:eastAsia="Times New Roman" w:hAnsi="Arial" w:cs="Arial"/>
          <w:kern w:val="0"/>
          <w:szCs w:val="24"/>
          <w14:ligatures w14:val="none"/>
        </w:rPr>
      </w:pPr>
      <w:r w:rsidRPr="00DE61F1">
        <w:rPr>
          <w:rFonts w:ascii="Arial" w:eastAsia="Times New Roman" w:hAnsi="Arial" w:cs="Arial"/>
          <w:kern w:val="0"/>
          <w:szCs w:val="24"/>
          <w14:ligatures w14:val="none"/>
        </w:rPr>
        <w:t xml:space="preserve">Despite quantitative differences, the model successfully reproduces the key finding that a 24-bed CCU operates under significant capacity pressure. The divergence in results is primarily attributable to under-specification of elective scheduling, differences in distributional assumptions, and the exclusion of overflow capacity. These findings </w:t>
      </w:r>
      <w:proofErr w:type="spellStart"/>
      <w:r w:rsidRPr="00DE61F1">
        <w:rPr>
          <w:rFonts w:ascii="Arial" w:eastAsia="Times New Roman" w:hAnsi="Arial" w:cs="Arial"/>
          <w:kern w:val="0"/>
          <w:szCs w:val="24"/>
          <w14:ligatures w14:val="none"/>
        </w:rPr>
        <w:t>emphasise</w:t>
      </w:r>
      <w:proofErr w:type="spellEnd"/>
      <w:r w:rsidRPr="00DE61F1">
        <w:rPr>
          <w:rFonts w:ascii="Arial" w:eastAsia="Times New Roman" w:hAnsi="Arial" w:cs="Arial"/>
          <w:kern w:val="0"/>
          <w:szCs w:val="24"/>
          <w14:ligatures w14:val="none"/>
        </w:rPr>
        <w:t xml:space="preserve"> the importance of transparent reporting in simulation studies and demonstrate how small modelling differences can substantially affect outcomes in highly constrained healthcare systems.</w:t>
      </w:r>
    </w:p>
    <w:p w:rsidR="00B8547F" w:rsidRPr="00DE61F1" w:rsidRDefault="00B8547F">
      <w:pPr>
        <w:rPr>
          <w:rFonts w:ascii="Arial" w:hAnsi="Arial" w:cs="Arial"/>
        </w:rPr>
      </w:pPr>
    </w:p>
    <w:sectPr w:rsidR="00B8547F" w:rsidRPr="00DE61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474"/>
    <w:rsid w:val="00264B7E"/>
    <w:rsid w:val="0027616B"/>
    <w:rsid w:val="00321647"/>
    <w:rsid w:val="004F6171"/>
    <w:rsid w:val="007C3B81"/>
    <w:rsid w:val="009642C8"/>
    <w:rsid w:val="009D6474"/>
    <w:rsid w:val="00B8547F"/>
    <w:rsid w:val="00BE5CE7"/>
    <w:rsid w:val="00DE61F1"/>
    <w:rsid w:val="00F215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BFE97"/>
  <w15:chartTrackingRefBased/>
  <w15:docId w15:val="{37E12149-A275-498A-A78B-EE79C8839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4F617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E61F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E61F1"/>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DE61F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4F6171"/>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319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621</Words>
  <Characters>3540</Characters>
  <Application>Microsoft Office Word</Application>
  <DocSecurity>0</DocSecurity>
  <Lines>29</Lines>
  <Paragraphs>8</Paragraphs>
  <ScaleCrop>false</ScaleCrop>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11</cp:revision>
  <dcterms:created xsi:type="dcterms:W3CDTF">2026-03-25T23:12:00Z</dcterms:created>
  <dcterms:modified xsi:type="dcterms:W3CDTF">2026-03-25T23:20:00Z</dcterms:modified>
</cp:coreProperties>
</file>