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47F" w:rsidRDefault="006E28EA" w:rsidP="006E28EA">
      <w:pPr>
        <w:pStyle w:val="Heading1"/>
      </w:pPr>
      <w:r>
        <w:t xml:space="preserve">Discussion </w:t>
      </w:r>
    </w:p>
    <w:p w:rsidR="006E28EA" w:rsidRPr="006E28EA" w:rsidRDefault="006E28EA" w:rsidP="006E28EA">
      <w:pPr>
        <w:pStyle w:val="NormalWeb"/>
        <w:spacing w:line="276" w:lineRule="auto"/>
        <w:rPr>
          <w:rFonts w:ascii="Arial" w:hAnsi="Arial" w:cs="Arial"/>
          <w:sz w:val="22"/>
        </w:rPr>
      </w:pPr>
      <w:r w:rsidRPr="006E28EA">
        <w:rPr>
          <w:rFonts w:ascii="Arial" w:hAnsi="Arial" w:cs="Arial"/>
          <w:sz w:val="22"/>
        </w:rPr>
        <w:t>This study developed a discrete-event simulation model of a Critical Care Unit (CCU) based on the framework proposed by Griffiths et al. [1]. The model produced a baseline occupancy of 87% and approximately 390 elective cancellations annually under a 24-bed configuration, compared to 82% occupancy and 57 cancellations reported in the original study [1]. While the overall conclusion that 24 beds are insufficient to meet demand is consistent, the divergence in quantitative outputs highlights key challenges in reproducing published simulation models.</w:t>
      </w:r>
    </w:p>
    <w:p w:rsidR="006E28EA" w:rsidRDefault="006E28EA" w:rsidP="006E28EA">
      <w:pPr>
        <w:pStyle w:val="NormalWeb"/>
        <w:spacing w:line="276" w:lineRule="auto"/>
      </w:pPr>
      <w:r w:rsidRPr="006E28EA">
        <w:rPr>
          <w:rFonts w:ascii="Arial" w:hAnsi="Arial" w:cs="Arial"/>
          <w:sz w:val="22"/>
        </w:rPr>
        <w:t>A primary limitation arises from the under-specification of modelling assumptions in the original study. Although Griffiths et al. describe elective arrivals as time-dependent and provide an approximate normal distribution for arrival times [1], the operational implementation of this process is not fully specified. In particular, session sizes, scheduling structure, and the mechanism used to generate clustered arrivals are not clearly defined. This is critical, as arrival processes are a dominant driver of system dynamics in discrete-event simulation, particularly in healthcare systems</w:t>
      </w:r>
      <w:r w:rsidR="00F508B7">
        <w:rPr>
          <w:rFonts w:ascii="Arial" w:hAnsi="Arial" w:cs="Arial"/>
          <w:sz w:val="22"/>
        </w:rPr>
        <w:t xml:space="preserve"> with time-dependent demand [2</w:t>
      </w:r>
      <w:r w:rsidRPr="006E28EA">
        <w:rPr>
          <w:rFonts w:ascii="Arial" w:hAnsi="Arial" w:cs="Arial"/>
          <w:sz w:val="22"/>
        </w:rPr>
        <w:t>]. Elective scheduling strongly shapes arrival clustering, which in turn drives congestion and cancellation rates in capacity-constrained systems. Differences in how this process is implemented are therefore likely to contribute to the higher cancellation rates observed in this model</w:t>
      </w:r>
      <w:r>
        <w:t>.</w:t>
      </w:r>
    </w:p>
    <w:p w:rsidR="00685DA1" w:rsidRDefault="00685DA1" w:rsidP="00685DA1">
      <w:pPr>
        <w:pStyle w:val="NormalWeb"/>
        <w:spacing w:line="276" w:lineRule="auto"/>
        <w:rPr>
          <w:rFonts w:ascii="Arial" w:hAnsi="Arial" w:cs="Arial"/>
          <w:sz w:val="22"/>
        </w:rPr>
      </w:pPr>
      <w:r w:rsidRPr="00685DA1">
        <w:rPr>
          <w:rFonts w:ascii="Arial" w:hAnsi="Arial" w:cs="Arial"/>
          <w:sz w:val="22"/>
        </w:rPr>
        <w:t xml:space="preserve">A second source of discrepancy relates to distributional assumptions. The original study </w:t>
      </w:r>
      <w:proofErr w:type="spellStart"/>
      <w:r w:rsidRPr="00685DA1">
        <w:rPr>
          <w:rFonts w:ascii="Arial" w:hAnsi="Arial" w:cs="Arial"/>
          <w:sz w:val="22"/>
        </w:rPr>
        <w:t>utilised</w:t>
      </w:r>
      <w:proofErr w:type="spellEnd"/>
      <w:r w:rsidRPr="00685DA1">
        <w:rPr>
          <w:rFonts w:ascii="Arial" w:hAnsi="Arial" w:cs="Arial"/>
          <w:sz w:val="22"/>
        </w:rPr>
        <w:t xml:space="preserve"> </w:t>
      </w:r>
      <w:proofErr w:type="spellStart"/>
      <w:r w:rsidRPr="00685DA1">
        <w:rPr>
          <w:rFonts w:ascii="Arial" w:hAnsi="Arial" w:cs="Arial"/>
          <w:sz w:val="22"/>
        </w:rPr>
        <w:t>hyperexponential</w:t>
      </w:r>
      <w:proofErr w:type="spellEnd"/>
      <w:r w:rsidRPr="00685DA1">
        <w:rPr>
          <w:rFonts w:ascii="Arial" w:hAnsi="Arial" w:cs="Arial"/>
          <w:sz w:val="22"/>
        </w:rPr>
        <w:t xml:space="preserve"> distributions for several length-of-stay (LOS) groups, but did not report the full </w:t>
      </w:r>
      <w:proofErr w:type="spellStart"/>
      <w:r w:rsidRPr="00685DA1">
        <w:rPr>
          <w:rFonts w:ascii="Arial" w:hAnsi="Arial" w:cs="Arial"/>
          <w:sz w:val="22"/>
        </w:rPr>
        <w:t>parameterisation</w:t>
      </w:r>
      <w:proofErr w:type="spellEnd"/>
      <w:r w:rsidRPr="00685DA1">
        <w:rPr>
          <w:rFonts w:ascii="Arial" w:hAnsi="Arial" w:cs="Arial"/>
          <w:sz w:val="22"/>
        </w:rPr>
        <w:t xml:space="preserve"> required for replication, such as phase probabilities and rate parameters [1]. In the present model, LOS was represented using lognormal distributions as a simplification of this multi-phase structure. While this improves transparency and reproducibility, it reduces flexibility in capturing the high variability and extreme values characteristic of LOS data. LOS distributions are known to exhibit heavy-tailed behaviour and high variability, which are key determinants of conge</w:t>
      </w:r>
      <w:r w:rsidR="00B9195E">
        <w:rPr>
          <w:rFonts w:ascii="Arial" w:hAnsi="Arial" w:cs="Arial"/>
          <w:sz w:val="22"/>
        </w:rPr>
        <w:t>stion in healthcare systems [4</w:t>
      </w:r>
      <w:r w:rsidRPr="00685DA1">
        <w:rPr>
          <w:rFonts w:ascii="Arial" w:hAnsi="Arial" w:cs="Arial"/>
          <w:sz w:val="22"/>
        </w:rPr>
        <w:t>]. Consequently, variation in LOS modelling is likely to contribute directly to the higher occupancy and cancellation rates observed.</w:t>
      </w:r>
    </w:p>
    <w:p w:rsidR="00E41939" w:rsidRPr="00E41939" w:rsidRDefault="00E41939" w:rsidP="00E41939">
      <w:pPr>
        <w:pStyle w:val="NormalWeb"/>
        <w:spacing w:line="276" w:lineRule="auto"/>
        <w:rPr>
          <w:rFonts w:ascii="Arial" w:hAnsi="Arial" w:cs="Arial"/>
          <w:sz w:val="22"/>
        </w:rPr>
      </w:pPr>
      <w:r w:rsidRPr="00E41939">
        <w:rPr>
          <w:rFonts w:ascii="Arial" w:hAnsi="Arial" w:cs="Arial"/>
          <w:sz w:val="22"/>
        </w:rPr>
        <w:t xml:space="preserve">Further divergence arises from incomplete specification of queueing rules and operational logic. Although emergency patients are </w:t>
      </w:r>
      <w:proofErr w:type="spellStart"/>
      <w:r w:rsidRPr="00E41939">
        <w:rPr>
          <w:rFonts w:ascii="Arial" w:hAnsi="Arial" w:cs="Arial"/>
          <w:sz w:val="22"/>
        </w:rPr>
        <w:t>prioritised</w:t>
      </w:r>
      <w:proofErr w:type="spellEnd"/>
      <w:r w:rsidRPr="00E41939">
        <w:rPr>
          <w:rFonts w:ascii="Arial" w:hAnsi="Arial" w:cs="Arial"/>
          <w:sz w:val="22"/>
        </w:rPr>
        <w:t xml:space="preserve"> over elective cases [1], the queueing discipline is only partially specified. The original study does not define ordering within queues, handling of simultaneous arrivals, or detailed bed allocation logic. Additionally, implementation-level assumptions such as discharge timing and cleaning processes require interpretation, as these are not fully </w:t>
      </w:r>
      <w:proofErr w:type="spellStart"/>
      <w:r w:rsidRPr="00E41939">
        <w:rPr>
          <w:rFonts w:ascii="Arial" w:hAnsi="Arial" w:cs="Arial"/>
          <w:sz w:val="22"/>
        </w:rPr>
        <w:t>parameterised</w:t>
      </w:r>
      <w:proofErr w:type="spellEnd"/>
      <w:r w:rsidRPr="00E41939">
        <w:rPr>
          <w:rFonts w:ascii="Arial" w:hAnsi="Arial" w:cs="Arial"/>
          <w:sz w:val="22"/>
        </w:rPr>
        <w:t>. In discrete-event simulation, such implementation details can significantly affect system behaviour, particularly in high-utilisation environments where small differences in event timing p</w:t>
      </w:r>
      <w:r w:rsidR="00B26548">
        <w:rPr>
          <w:rFonts w:ascii="Arial" w:hAnsi="Arial" w:cs="Arial"/>
          <w:sz w:val="22"/>
        </w:rPr>
        <w:t>ropagate through the system [6</w:t>
      </w:r>
      <w:r w:rsidRPr="00E41939">
        <w:rPr>
          <w:rFonts w:ascii="Arial" w:hAnsi="Arial" w:cs="Arial"/>
          <w:sz w:val="22"/>
        </w:rPr>
        <w:t>].</w:t>
      </w:r>
    </w:p>
    <w:p w:rsidR="00E41939" w:rsidRPr="00E41939" w:rsidRDefault="00E41939" w:rsidP="00E41939">
      <w:pPr>
        <w:pStyle w:val="NormalWeb"/>
        <w:spacing w:line="276" w:lineRule="auto"/>
        <w:rPr>
          <w:rFonts w:ascii="Arial" w:hAnsi="Arial" w:cs="Arial"/>
          <w:sz w:val="22"/>
        </w:rPr>
      </w:pPr>
      <w:r w:rsidRPr="00E41939">
        <w:rPr>
          <w:rFonts w:ascii="Arial" w:hAnsi="Arial" w:cs="Arial"/>
          <w:sz w:val="22"/>
        </w:rPr>
        <w:t xml:space="preserve">Methodological simplifications in the present model also contribute to observed differences. The model enforces a strict 24-bed capacity, whereas the original study allows for occasional use of additional unfunded beds during peak demand, with up to 29 beds occupied in practice [1]. This effectively increases </w:t>
      </w:r>
      <w:proofErr w:type="spellStart"/>
      <w:r w:rsidRPr="00E41939">
        <w:rPr>
          <w:rFonts w:ascii="Arial" w:hAnsi="Arial" w:cs="Arial"/>
          <w:sz w:val="22"/>
        </w:rPr>
        <w:t>realised</w:t>
      </w:r>
      <w:proofErr w:type="spellEnd"/>
      <w:r w:rsidRPr="00E41939">
        <w:rPr>
          <w:rFonts w:ascii="Arial" w:hAnsi="Arial" w:cs="Arial"/>
          <w:sz w:val="22"/>
        </w:rPr>
        <w:t xml:space="preserve"> capacity and provides a buffer against demand surges. Excluding </w:t>
      </w:r>
      <w:r w:rsidRPr="00E41939">
        <w:rPr>
          <w:rFonts w:ascii="Arial" w:hAnsi="Arial" w:cs="Arial"/>
          <w:sz w:val="22"/>
        </w:rPr>
        <w:lastRenderedPageBreak/>
        <w:t xml:space="preserve">this flexibility results in a more constrained system and is likely to contribute to the higher cancellation rates observed. </w:t>
      </w:r>
      <w:bookmarkStart w:id="0" w:name="_GoBack"/>
      <w:bookmarkEnd w:id="0"/>
      <w:r w:rsidRPr="00E41939">
        <w:rPr>
          <w:rFonts w:ascii="Arial" w:hAnsi="Arial" w:cs="Arial"/>
          <w:sz w:val="22"/>
        </w:rPr>
        <w:t>This simplification may not fully capture time-dependent discharge patterns associated with clinical practices such as ward rounds, further increasing congestion within the system.</w:t>
      </w:r>
    </w:p>
    <w:p w:rsidR="0015383F" w:rsidRPr="00D17EB9" w:rsidRDefault="0015383F" w:rsidP="0015383F">
      <w:pPr>
        <w:pStyle w:val="NormalWeb"/>
        <w:spacing w:line="276" w:lineRule="auto"/>
        <w:rPr>
          <w:rFonts w:ascii="Arial" w:hAnsi="Arial" w:cs="Arial"/>
          <w:sz w:val="22"/>
        </w:rPr>
      </w:pPr>
      <w:r w:rsidRPr="0015383F">
        <w:rPr>
          <w:rFonts w:ascii="Arial" w:hAnsi="Arial" w:cs="Arial"/>
          <w:sz w:val="22"/>
        </w:rPr>
        <w:t>These findings highlight the sensitivity of healthcare systems operating near capacity thresholds. The discrepancy between this model and the original study therefore reflects both structural uncertainty and inherent system sensitivity, rather than model error.</w:t>
      </w:r>
      <w:r w:rsidR="00C1350C">
        <w:rPr>
          <w:rFonts w:ascii="Arial" w:hAnsi="Arial" w:cs="Arial"/>
          <w:sz w:val="22"/>
        </w:rPr>
        <w:t xml:space="preserve"> </w:t>
      </w:r>
      <w:r w:rsidRPr="0015383F">
        <w:rPr>
          <w:rFonts w:ascii="Arial" w:hAnsi="Arial" w:cs="Arial"/>
          <w:sz w:val="22"/>
        </w:rPr>
        <w:t>More broadly, this study underscores the challenges of reproducibility in healthcare simulation research. Incomplete reporting of model assumptions limits the ability to re</w:t>
      </w:r>
      <w:r w:rsidR="004E1835">
        <w:rPr>
          <w:rFonts w:ascii="Arial" w:hAnsi="Arial" w:cs="Arial"/>
          <w:sz w:val="22"/>
        </w:rPr>
        <w:t>plicate results reliably [6]</w:t>
      </w:r>
      <w:r w:rsidRPr="0015383F">
        <w:rPr>
          <w:rFonts w:ascii="Arial" w:hAnsi="Arial" w:cs="Arial"/>
          <w:sz w:val="22"/>
        </w:rPr>
        <w:t xml:space="preserve"> The differences observed here demonstrate that approximate </w:t>
      </w:r>
      <w:proofErr w:type="spellStart"/>
      <w:r w:rsidRPr="0015383F">
        <w:rPr>
          <w:rFonts w:ascii="Arial" w:hAnsi="Arial" w:cs="Arial"/>
          <w:sz w:val="22"/>
        </w:rPr>
        <w:t>behavioural</w:t>
      </w:r>
      <w:proofErr w:type="spellEnd"/>
      <w:r w:rsidRPr="0015383F">
        <w:rPr>
          <w:rFonts w:ascii="Arial" w:hAnsi="Arial" w:cs="Arial"/>
          <w:sz w:val="22"/>
        </w:rPr>
        <w:t xml:space="preserve"> alignment, supported by logical system dynamics and sensitivity analysis, provides stronger evidence of validity than exact numerical replication</w:t>
      </w:r>
      <w:r>
        <w:t>.</w:t>
      </w:r>
    </w:p>
    <w:p w:rsidR="00C719D5" w:rsidRDefault="00C719D5" w:rsidP="00C719D5">
      <w:pPr>
        <w:pStyle w:val="Heading1"/>
      </w:pPr>
      <w:r>
        <w:t xml:space="preserve">Conclusion </w:t>
      </w:r>
    </w:p>
    <w:p w:rsidR="00C719D5" w:rsidRPr="00DE61F1" w:rsidRDefault="00C719D5" w:rsidP="00C719D5">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Despite quantitative differences, the model successfully reproduces the key finding that a 24-bed CCU operates under significant capacity pressure. The divergence in results is primarily attributable to under-specification of elective scheduling, differences in distributional assumptions, and the exclusion of overflow capacity. These findings emphasise the importance of transparent reporting in simulation studies and demonstrate how small modelling differences can substantially affect outcomes in highly constrained healthcare systems.</w:t>
      </w:r>
    </w:p>
    <w:p w:rsidR="00C719D5" w:rsidRDefault="00C719D5" w:rsidP="0015383F">
      <w:pPr>
        <w:pStyle w:val="NormalWeb"/>
        <w:spacing w:line="276" w:lineRule="auto"/>
      </w:pPr>
    </w:p>
    <w:p w:rsidR="00E41939" w:rsidRPr="00685DA1" w:rsidRDefault="00E41939" w:rsidP="00685DA1">
      <w:pPr>
        <w:pStyle w:val="NormalWeb"/>
        <w:spacing w:line="276" w:lineRule="auto"/>
        <w:rPr>
          <w:rFonts w:ascii="Arial" w:hAnsi="Arial" w:cs="Arial"/>
          <w:sz w:val="22"/>
        </w:rPr>
      </w:pPr>
    </w:p>
    <w:p w:rsidR="006E28EA" w:rsidRPr="006E28EA" w:rsidRDefault="006E28EA" w:rsidP="006E28EA"/>
    <w:sectPr w:rsidR="006E28EA" w:rsidRPr="006E2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F8F"/>
    <w:rsid w:val="0015383F"/>
    <w:rsid w:val="004E1835"/>
    <w:rsid w:val="00652B48"/>
    <w:rsid w:val="00685DA1"/>
    <w:rsid w:val="006E28EA"/>
    <w:rsid w:val="00812825"/>
    <w:rsid w:val="009761F6"/>
    <w:rsid w:val="00A608C3"/>
    <w:rsid w:val="00B26548"/>
    <w:rsid w:val="00B8547F"/>
    <w:rsid w:val="00B9195E"/>
    <w:rsid w:val="00C1350C"/>
    <w:rsid w:val="00C719D5"/>
    <w:rsid w:val="00D17EB9"/>
    <w:rsid w:val="00E41939"/>
    <w:rsid w:val="00F508B7"/>
    <w:rsid w:val="00FB2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D810"/>
  <w15:chartTrackingRefBased/>
  <w15:docId w15:val="{96031234-83F7-4B36-ACE9-182801E4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28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8E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E28E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5097343">
      <w:bodyDiv w:val="1"/>
      <w:marLeft w:val="0"/>
      <w:marRight w:val="0"/>
      <w:marTop w:val="0"/>
      <w:marBottom w:val="0"/>
      <w:divBdr>
        <w:top w:val="none" w:sz="0" w:space="0" w:color="auto"/>
        <w:left w:val="none" w:sz="0" w:space="0" w:color="auto"/>
        <w:bottom w:val="none" w:sz="0" w:space="0" w:color="auto"/>
        <w:right w:val="none" w:sz="0" w:space="0" w:color="auto"/>
      </w:divBdr>
    </w:div>
    <w:div w:id="1390031211">
      <w:bodyDiv w:val="1"/>
      <w:marLeft w:val="0"/>
      <w:marRight w:val="0"/>
      <w:marTop w:val="0"/>
      <w:marBottom w:val="0"/>
      <w:divBdr>
        <w:top w:val="none" w:sz="0" w:space="0" w:color="auto"/>
        <w:left w:val="none" w:sz="0" w:space="0" w:color="auto"/>
        <w:bottom w:val="none" w:sz="0" w:space="0" w:color="auto"/>
        <w:right w:val="none" w:sz="0" w:space="0" w:color="auto"/>
      </w:divBdr>
    </w:div>
    <w:div w:id="171862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cp:revision>
  <dcterms:created xsi:type="dcterms:W3CDTF">2026-03-26T22:58:00Z</dcterms:created>
  <dcterms:modified xsi:type="dcterms:W3CDTF">2026-03-27T01:56:00Z</dcterms:modified>
</cp:coreProperties>
</file>