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E51C4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邮件主题：DA大数据计算及存储资源初步评估</w:t>
      </w:r>
    </w:p>
    <w:p w14:paraId="1D0592E5">
      <w:pPr>
        <w:pStyle w:val="2"/>
        <w:keepNext w:val="0"/>
        <w:keepLines w:val="0"/>
        <w:widowControl/>
        <w:suppressLineNumbers w:val="0"/>
      </w:pPr>
      <w:r>
        <w:t>Dear Stephen，</w:t>
      </w:r>
    </w:p>
    <w:p w14:paraId="4A80B0C6">
      <w:pPr>
        <w:pStyle w:val="2"/>
        <w:keepNext w:val="0"/>
        <w:keepLines w:val="0"/>
        <w:widowControl/>
        <w:suppressLineNumbers w:val="0"/>
      </w:pPr>
      <w:r>
        <w:t>为支持与Tech Team讨论DA后续资源需求，我根据现有重点表规模、日常任务以及即将接入的Web、App和小程序埋点数据，进行了初步评估。以下数字来自现有Hive元数据，后续需由Tech确认统计口径及更新时间。</w:t>
      </w:r>
    </w:p>
    <w:p w14:paraId="74194390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一、现有数据规模</w:t>
      </w:r>
    </w:p>
    <w:p w14:paraId="57823018">
      <w:pPr>
        <w:pStyle w:val="2"/>
        <w:keepNext w:val="0"/>
        <w:keepLines w:val="0"/>
        <w:widowControl/>
        <w:suppressLineNumbers w:val="0"/>
      </w:pPr>
      <w:r>
        <w:t>目前识别的重点表包括客户基本信息、客户标签、资金流水、CASA交易及账户表，初步统计如下：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5"/>
        <w:gridCol w:w="1265"/>
        <w:gridCol w:w="1387"/>
        <w:gridCol w:w="3915"/>
      </w:tblGrid>
      <w:tr w14:paraId="0B24D9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19EA49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数据</w:t>
            </w:r>
          </w:p>
        </w:tc>
        <w:tc>
          <w:tcPr>
            <w:tcW w:w="0" w:type="auto"/>
            <w:shd w:val="clear"/>
            <w:vAlign w:val="center"/>
          </w:tcPr>
          <w:p w14:paraId="0FD7B18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当前数据量</w:t>
            </w:r>
          </w:p>
        </w:tc>
        <w:tc>
          <w:tcPr>
            <w:tcW w:w="0" w:type="auto"/>
            <w:shd w:val="clear"/>
            <w:vAlign w:val="center"/>
          </w:tcPr>
          <w:p w14:paraId="08F8687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当前记录数</w:t>
            </w:r>
          </w:p>
        </w:tc>
        <w:tc>
          <w:tcPr>
            <w:tcW w:w="0" w:type="auto"/>
            <w:shd w:val="clear"/>
            <w:vAlign w:val="center"/>
          </w:tcPr>
          <w:p w14:paraId="70BDCDB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主要用途</w:t>
            </w:r>
          </w:p>
        </w:tc>
      </w:tr>
      <w:tr w14:paraId="211B71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A9369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客户基本信息</w:t>
            </w:r>
          </w:p>
        </w:tc>
        <w:tc>
          <w:tcPr>
            <w:tcW w:w="0" w:type="auto"/>
            <w:shd w:val="clear"/>
            <w:vAlign w:val="center"/>
          </w:tcPr>
          <w:p w14:paraId="4125D0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约19.6GB</w:t>
            </w:r>
          </w:p>
        </w:tc>
        <w:tc>
          <w:tcPr>
            <w:tcW w:w="0" w:type="auto"/>
            <w:shd w:val="clear"/>
            <w:vAlign w:val="center"/>
          </w:tcPr>
          <w:p w14:paraId="206372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8,738万行</w:t>
            </w:r>
          </w:p>
        </w:tc>
        <w:tc>
          <w:tcPr>
            <w:tcW w:w="0" w:type="auto"/>
            <w:shd w:val="clear"/>
            <w:vAlign w:val="center"/>
          </w:tcPr>
          <w:p w14:paraId="2E617D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客户主数据、分层及客户画像</w:t>
            </w:r>
          </w:p>
        </w:tc>
      </w:tr>
      <w:tr w14:paraId="39366E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131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客户标签</w:t>
            </w:r>
          </w:p>
        </w:tc>
        <w:tc>
          <w:tcPr>
            <w:tcW w:w="0" w:type="auto"/>
            <w:shd w:val="clear"/>
            <w:vAlign w:val="center"/>
          </w:tcPr>
          <w:p w14:paraId="713EB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约1.2GB</w:t>
            </w:r>
          </w:p>
        </w:tc>
        <w:tc>
          <w:tcPr>
            <w:tcW w:w="0" w:type="auto"/>
            <w:shd w:val="clear"/>
            <w:vAlign w:val="center"/>
          </w:tcPr>
          <w:p w14:paraId="1788FF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4,104万行</w:t>
            </w:r>
          </w:p>
        </w:tc>
        <w:tc>
          <w:tcPr>
            <w:tcW w:w="0" w:type="auto"/>
            <w:shd w:val="clear"/>
            <w:vAlign w:val="center"/>
          </w:tcPr>
          <w:p w14:paraId="7C5D01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客群识别、营销规则和Pega决策</w:t>
            </w:r>
          </w:p>
        </w:tc>
      </w:tr>
      <w:tr w14:paraId="2F4823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886D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资金流水</w:t>
            </w:r>
          </w:p>
        </w:tc>
        <w:tc>
          <w:tcPr>
            <w:tcW w:w="0" w:type="auto"/>
            <w:shd w:val="clear"/>
            <w:vAlign w:val="center"/>
          </w:tcPr>
          <w:p w14:paraId="14D243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约133.8GB</w:t>
            </w:r>
          </w:p>
        </w:tc>
        <w:tc>
          <w:tcPr>
            <w:tcW w:w="0" w:type="auto"/>
            <w:shd w:val="clear"/>
            <w:vAlign w:val="center"/>
          </w:tcPr>
          <w:p w14:paraId="34C7F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2.02亿行</w:t>
            </w:r>
          </w:p>
        </w:tc>
        <w:tc>
          <w:tcPr>
            <w:tcW w:w="0" w:type="auto"/>
            <w:shd w:val="clear"/>
            <w:vAlign w:val="center"/>
          </w:tcPr>
          <w:p w14:paraId="51449D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资金流入流出、申购赎回及NNM分析</w:t>
            </w:r>
          </w:p>
        </w:tc>
      </w:tr>
      <w:tr w14:paraId="16A65F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CDE4F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CASA交易</w:t>
            </w:r>
          </w:p>
        </w:tc>
        <w:tc>
          <w:tcPr>
            <w:tcW w:w="0" w:type="auto"/>
            <w:shd w:val="clear"/>
            <w:vAlign w:val="center"/>
          </w:tcPr>
          <w:p w14:paraId="58139D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约31.1GB</w:t>
            </w:r>
          </w:p>
        </w:tc>
        <w:tc>
          <w:tcPr>
            <w:tcW w:w="0" w:type="auto"/>
            <w:shd w:val="clear"/>
            <w:vAlign w:val="center"/>
          </w:tcPr>
          <w:p w14:paraId="234474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1.45亿行</w:t>
            </w:r>
          </w:p>
        </w:tc>
        <w:tc>
          <w:tcPr>
            <w:tcW w:w="0" w:type="auto"/>
            <w:shd w:val="clear"/>
            <w:vAlign w:val="center"/>
          </w:tcPr>
          <w:p w14:paraId="372D6C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活期资金变化、交易行为和流失预警</w:t>
            </w:r>
          </w:p>
        </w:tc>
      </w:tr>
      <w:tr w14:paraId="23279D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5022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账户数据</w:t>
            </w:r>
          </w:p>
        </w:tc>
        <w:tc>
          <w:tcPr>
            <w:tcW w:w="0" w:type="auto"/>
            <w:shd w:val="clear"/>
            <w:vAlign w:val="center"/>
          </w:tcPr>
          <w:p w14:paraId="25946F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约65.4GB</w:t>
            </w:r>
          </w:p>
        </w:tc>
        <w:tc>
          <w:tcPr>
            <w:tcW w:w="0" w:type="auto"/>
            <w:shd w:val="clear"/>
            <w:vAlign w:val="center"/>
          </w:tcPr>
          <w:p w14:paraId="1522E2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295万行</w:t>
            </w:r>
          </w:p>
        </w:tc>
        <w:tc>
          <w:tcPr>
            <w:tcW w:w="0" w:type="auto"/>
            <w:shd w:val="clear"/>
            <w:vAlign w:val="center"/>
          </w:tcPr>
          <w:p w14:paraId="124403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账户状态、产品持有和客户关系识别</w:t>
            </w:r>
          </w:p>
        </w:tc>
      </w:tr>
      <w:tr w14:paraId="6013B0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5D75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合计</w:t>
            </w:r>
          </w:p>
        </w:tc>
        <w:tc>
          <w:tcPr>
            <w:tcW w:w="0" w:type="auto"/>
            <w:shd w:val="clear"/>
            <w:vAlign w:val="center"/>
          </w:tcPr>
          <w:p w14:paraId="71EFEA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约251GB</w:t>
            </w:r>
          </w:p>
        </w:tc>
        <w:tc>
          <w:tcPr>
            <w:tcW w:w="0" w:type="auto"/>
            <w:shd w:val="clear"/>
            <w:vAlign w:val="center"/>
          </w:tcPr>
          <w:p w14:paraId="67A7D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5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约4.79亿行</w:t>
            </w:r>
          </w:p>
        </w:tc>
        <w:tc>
          <w:tcPr>
            <w:tcW w:w="0" w:type="auto"/>
            <w:shd w:val="clear"/>
            <w:vAlign w:val="center"/>
          </w:tcPr>
          <w:p w14:paraId="16FACC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仅包含目前识别的重点表</w:t>
            </w:r>
          </w:p>
        </w:tc>
      </w:tr>
    </w:tbl>
    <w:p w14:paraId="46AFCAC3">
      <w:pPr>
        <w:pStyle w:val="2"/>
        <w:keepNext w:val="0"/>
        <w:keepLines w:val="0"/>
        <w:widowControl/>
        <w:suppressLineNumbers w:val="0"/>
      </w:pPr>
      <w:r>
        <w:t>以上并非DA所需的全部数据。后续还需纳入产品持仓、Campaign、渠道行为、客户经理互动及埋点数据，因此实际全量会高于上述规模。</w:t>
      </w:r>
    </w:p>
    <w:p w14:paraId="5753F502">
      <w:pPr>
        <w:pStyle w:val="2"/>
        <w:keepNext w:val="0"/>
        <w:keepLines w:val="0"/>
        <w:widowControl/>
        <w:suppressLineNumbers w:val="0"/>
      </w:pPr>
      <w:r>
        <w:t>按照现有数据每月增长约1%估算，仅上述重点表：</w:t>
      </w:r>
    </w:p>
    <w:p w14:paraId="73A05DC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每月新增约2.5GB、480万行；</w:t>
      </w:r>
    </w:p>
    <w:p w14:paraId="06DC34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12个月后约283GB、5.4亿行；</w:t>
      </w:r>
    </w:p>
    <w:p w14:paraId="6180A92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24个月后约319GB、6.1亿行。</w:t>
      </w:r>
    </w:p>
    <w:p w14:paraId="65B034A7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二、为什么需要进行这些计算</w:t>
      </w:r>
    </w:p>
    <w:p w14:paraId="45A797EA">
      <w:pPr>
        <w:pStyle w:val="2"/>
        <w:keepNext w:val="0"/>
        <w:keepLines w:val="0"/>
        <w:widowControl/>
        <w:suppressLineNumbers w:val="0"/>
      </w:pPr>
      <w:r>
        <w:t>DA需要处理的并非单表查询，而是围绕约60万日活跃客户，完成以下分析：</w:t>
      </w:r>
    </w:p>
    <w:p w14:paraId="28C1625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关联客户、账户、持仓、交易、资金流水、标签及渠道行为，形成统一客户视图；</w:t>
      </w:r>
    </w:p>
    <w:p w14:paraId="49D5EF2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按30天、90天、13个月及24个月窗口计算余额、资金流、活跃度及趋势特征；</w:t>
      </w:r>
    </w:p>
    <w:p w14:paraId="1549D47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识别客户流失、资金流出、NNM变化、产品需求及营销机会；</w:t>
      </w:r>
    </w:p>
    <w:p w14:paraId="7BE6734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批量生成客户特征和标签，支持Pega下一最佳行动、Campaign客群筛选及Dataiku模型；</w:t>
      </w:r>
    </w:p>
    <w:p w14:paraId="37827AD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使用至少两年历史数据进行趋势分析、模型训练、回溯验证和效果评估。</w:t>
      </w:r>
    </w:p>
    <w:p w14:paraId="01305265">
      <w:pPr>
        <w:pStyle w:val="2"/>
        <w:keepNext w:val="0"/>
        <w:keepLines w:val="0"/>
        <w:widowControl/>
        <w:suppressLineNumbers w:val="0"/>
      </w:pPr>
      <w:r>
        <w:t>当前每天约有20个BAU任务，峰值并发约3个，单个任务最长约40分钟；一次任务通常关联2至3张表，复杂场景最多关联6张表。即使最终标签和模型结果不大，计算过程仍需要反复扫描和关联数亿行历史明细。</w:t>
      </w:r>
    </w:p>
    <w:p w14:paraId="27ECF0BD">
      <w:pPr>
        <w:pStyle w:val="2"/>
        <w:keepNext w:val="0"/>
        <w:keepLines w:val="0"/>
        <w:widowControl/>
        <w:suppressLineNumbers w:val="0"/>
      </w:pPr>
      <w:r>
        <w:t>粗略估计，如果20个日常任务分别读取重点数据的20%至100%，每天累计扫描量约为1至5TB；多表关联还会产生额外的Shuffle和中间结果。这才是计算资源需求的主要来源。</w:t>
      </w:r>
    </w:p>
    <w:p w14:paraId="2ACEFB05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三、埋点数据增量评估</w:t>
      </w:r>
    </w:p>
    <w:p w14:paraId="25484D02">
      <w:pPr>
        <w:pStyle w:val="2"/>
        <w:keepNext w:val="0"/>
        <w:keepLines w:val="0"/>
        <w:widowControl/>
        <w:suppressLineNumbers w:val="0"/>
      </w:pPr>
      <w:r>
        <w:t>假设现有Web月UV约34,000、App月UV约54,656、小程序月UV约10,000，三端合计约98,656月UV。埋点事件量可按以下公式估算：</w:t>
      </w:r>
    </w:p>
    <w:p w14:paraId="3B7CAAC1">
      <w:pPr>
        <w:pStyle w:val="2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月事件量 = 月UV × 月均活跃天数 × 每日会话数 × 每次会话事件数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7"/>
        <w:gridCol w:w="2760"/>
        <w:gridCol w:w="1521"/>
      </w:tblGrid>
      <w:tr w14:paraId="5E37B3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549BCF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0" w:type="auto"/>
            <w:shd w:val="clear"/>
            <w:vAlign w:val="center"/>
          </w:tcPr>
          <w:p w14:paraId="054ED12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用户行为假设</w:t>
            </w:r>
          </w:p>
        </w:tc>
        <w:tc>
          <w:tcPr>
            <w:tcW w:w="0" w:type="auto"/>
            <w:shd w:val="clear"/>
            <w:vAlign w:val="center"/>
          </w:tcPr>
          <w:p w14:paraId="5B3AC9B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三端月事件量</w:t>
            </w:r>
          </w:p>
        </w:tc>
      </w:tr>
      <w:tr w14:paraId="2FCA44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BFE0B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较低</w:t>
            </w:r>
          </w:p>
        </w:tc>
        <w:tc>
          <w:tcPr>
            <w:tcW w:w="0" w:type="auto"/>
            <w:shd w:val="clear"/>
            <w:vAlign w:val="center"/>
          </w:tcPr>
          <w:p w14:paraId="3D2D4F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5天 × 1次 × 20条</w:t>
            </w:r>
          </w:p>
        </w:tc>
        <w:tc>
          <w:tcPr>
            <w:tcW w:w="0" w:type="auto"/>
            <w:shd w:val="clear"/>
            <w:vAlign w:val="center"/>
          </w:tcPr>
          <w:p w14:paraId="77129F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约987万条</w:t>
            </w:r>
          </w:p>
        </w:tc>
      </w:tr>
      <w:tr w14:paraId="5B6F9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FCC4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中等</w:t>
            </w:r>
          </w:p>
        </w:tc>
        <w:tc>
          <w:tcPr>
            <w:tcW w:w="0" w:type="auto"/>
            <w:shd w:val="clear"/>
            <w:vAlign w:val="center"/>
          </w:tcPr>
          <w:p w14:paraId="4EA53E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10天 × 1.5次 × 40条</w:t>
            </w:r>
          </w:p>
        </w:tc>
        <w:tc>
          <w:tcPr>
            <w:tcW w:w="0" w:type="auto"/>
            <w:shd w:val="clear"/>
            <w:vAlign w:val="center"/>
          </w:tcPr>
          <w:p w14:paraId="7EB361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约5,920万条</w:t>
            </w:r>
          </w:p>
        </w:tc>
      </w:tr>
      <w:tr w14:paraId="049EC5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1C5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较高</w:t>
            </w:r>
          </w:p>
        </w:tc>
        <w:tc>
          <w:tcPr>
            <w:tcW w:w="0" w:type="auto"/>
            <w:shd w:val="clear"/>
            <w:vAlign w:val="center"/>
          </w:tcPr>
          <w:p w14:paraId="6A25B8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20天 × 2次 × 80条</w:t>
            </w:r>
          </w:p>
        </w:tc>
        <w:tc>
          <w:tcPr>
            <w:tcW w:w="0" w:type="auto"/>
            <w:shd w:val="clear"/>
            <w:vAlign w:val="center"/>
          </w:tcPr>
          <w:p w14:paraId="11751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约3.16亿条</w:t>
            </w:r>
          </w:p>
        </w:tc>
      </w:tr>
    </w:tbl>
    <w:p w14:paraId="0B2BE81E">
      <w:pPr>
        <w:pStyle w:val="2"/>
        <w:keepNext w:val="0"/>
        <w:keepLines w:val="0"/>
        <w:widowControl/>
        <w:suppressLineNumbers w:val="0"/>
      </w:pPr>
      <w:r>
        <w:t>以中等场景计算，按照每条原始埋点约2KB、转为ORC/Parquet后约0.5KB估算：</w:t>
      </w:r>
    </w:p>
    <w:p w14:paraId="64D8D79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每月新增原始数据约118GB；</w:t>
      </w:r>
    </w:p>
    <w:p w14:paraId="7130E1F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压缩后逻辑数据约30GB；</w:t>
      </w:r>
    </w:p>
    <w:p w14:paraId="5C982B6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每年新增约7.1亿条，压缩后约355GB；</w:t>
      </w:r>
    </w:p>
    <w:p w14:paraId="4FC0D4E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保留两年约14.2亿条，压缩后约710GB；</w:t>
      </w:r>
    </w:p>
    <w:p w14:paraId="2881133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如HDFS采用三副本，仅埋点数据两年的物理存储约2.1TB，尚未包含中间表、特征和标签结果。</w:t>
      </w:r>
    </w:p>
    <w:p w14:paraId="050A5037">
      <w:pPr>
        <w:pStyle w:val="2"/>
        <w:keepNext w:val="0"/>
        <w:keepLines w:val="0"/>
        <w:widowControl/>
        <w:suppressLineNumbers w:val="0"/>
      </w:pPr>
      <w:r>
        <w:t>上述数字需在埋点上线后，根据实际每日事件数和平均记录大小校准。</w:t>
      </w:r>
    </w:p>
    <w:p w14:paraId="6B50EE7A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四、为什么需要Big Data平台</w:t>
      </w:r>
    </w:p>
    <w:p w14:paraId="0DE0E8F8">
      <w:pPr>
        <w:pStyle w:val="2"/>
        <w:keepNext w:val="0"/>
        <w:keepLines w:val="0"/>
        <w:widowControl/>
        <w:suppressLineNumbers w:val="0"/>
      </w:pPr>
      <w:r>
        <w:t>使用Big Data平台并不是因为单个渠道或单张表无法放入本地服务器，而是因为整体工作负载已经具备以下特征：</w:t>
      </w:r>
    </w:p>
    <w:p w14:paraId="4BE809A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需要处理数亿至十亿级明细记录，并持续增长；</w:t>
      </w:r>
    </w:p>
    <w:p w14:paraId="3F43902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需要跨2至6张大表进行分布式扫描、聚合和关联；</w:t>
      </w:r>
    </w:p>
    <w:p w14:paraId="576099A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需要保留两年以上历史数据支持趋势分析和模型回测；</w:t>
      </w:r>
    </w:p>
    <w:p w14:paraId="7F5A510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需要同时运行多个BAU、特征生产及模型任务；</w:t>
      </w:r>
    </w:p>
    <w:p w14:paraId="19630D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需要统一的数据权限、审计、血缘、调度、监控和失败恢复；</w:t>
      </w:r>
    </w:p>
    <w:p w14:paraId="05AC8EF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需要与EDMP、Dataiku和Pega建立稳定的生产数据链路。</w:t>
      </w:r>
    </w:p>
    <w:p w14:paraId="3F12DE51">
      <w:pPr>
        <w:pStyle w:val="2"/>
        <w:keepNext w:val="0"/>
        <w:keepLines w:val="0"/>
        <w:widowControl/>
        <w:suppressLineNumbers w:val="0"/>
      </w:pPr>
      <w:r>
        <w:t>本地Python Server或单机数据库可以用于小样本探索，但不适合作为该类生产任务的数据底座。其容量、并发和扩展能力有限，也会带来事实数据复制、权限管理、口径对账及运维风险。</w:t>
      </w:r>
    </w:p>
    <w:p w14:paraId="0B14CC7F">
      <w:pPr>
        <w:pStyle w:val="2"/>
        <w:keepNext w:val="0"/>
        <w:keepLines w:val="0"/>
        <w:widowControl/>
        <w:suppressLineNumbers w:val="0"/>
      </w:pPr>
      <w:r>
        <w:rPr>
          <w:rStyle w:val="5"/>
        </w:rPr>
        <w:t>五、初步资源建议</w:t>
      </w:r>
    </w:p>
    <w:p w14:paraId="659D5B66">
      <w:pPr>
        <w:pStyle w:val="2"/>
        <w:keepNext w:val="0"/>
        <w:keepLines w:val="0"/>
        <w:widowControl/>
        <w:suppressLineNumbers w:val="0"/>
      </w:pPr>
      <w:r>
        <w:t>建议采用“EDMP统一供数和治理、DA独立计算、结果标准回传”的方式，并与Tech讨论以下初始资源：</w:t>
      </w:r>
    </w:p>
    <w:p w14:paraId="6FEA3A0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Hive逻辑存储空间：初始3至5TB，并保留扩展至8TB以上的能力；</w:t>
      </w:r>
    </w:p>
    <w:p w14:paraId="5411C3F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生产计算保障：32 vCore、128GB内存；</w:t>
      </w:r>
    </w:p>
    <w:p w14:paraId="165A80E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峰值弹性资源：64至96 vCore、256至384GB内存；</w:t>
      </w:r>
    </w:p>
    <w:p w14:paraId="5BC847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支持至少3个任务并发；</w:t>
      </w:r>
    </w:p>
    <w:p w14:paraId="35DC46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单独配置DA开发及生产队列，避免影响EDMP核心任务；</w:t>
      </w:r>
    </w:p>
    <w:p w14:paraId="00B1594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原始埋点保留30至90天，Journey明细保留13至24个月，汇总特征和标签按业务需要长期保留；</w:t>
      </w:r>
    </w:p>
    <w:p w14:paraId="46D0DD9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T+1任务按约定时间完成，并具备任务监控、重跑和数据质量检查能力。</w:t>
      </w:r>
    </w:p>
    <w:p w14:paraId="05944F14">
      <w:pPr>
        <w:pStyle w:val="2"/>
        <w:keepNext w:val="0"/>
        <w:keepLines w:val="0"/>
        <w:widowControl/>
        <w:suppressLineNumbers w:val="0"/>
      </w:pPr>
      <w:r>
        <w:t>以上资源是用于启动和压力测试的初步范围，不建议直接作为最终容量。下一步可请Tech确认完整表清单及存储量，并使用“24个月客户旅程关联、月度埋点聚合、全量特征生成”三个代表性任务进行Benchmark，再依据实际扫描量、运行时间和并发情况确定最终配额。</w:t>
      </w:r>
    </w:p>
    <w:p w14:paraId="0CF6D704">
      <w:pPr>
        <w:pStyle w:val="2"/>
        <w:keepNext w:val="0"/>
        <w:keepLines w:val="0"/>
        <w:widowControl/>
        <w:suppressLineNumbers w:val="0"/>
      </w:pPr>
      <w:r>
        <w:t>总体建议是：</w:t>
      </w:r>
      <w:r>
        <w:rPr>
          <w:rStyle w:val="5"/>
        </w:rPr>
        <w:t>DA不需要脱离EDMP重新建设事实数据库，但必须依托受治理的大数据平台，获得相对独立且可扩展的计算和存储资源，才能稳定支撑长期客户旅程、特征标签、模型及Pega应用。</w:t>
      </w:r>
    </w:p>
    <w:p w14:paraId="2086BFB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BC1B297"/>
    <w:multiLevelType w:val="multilevel"/>
    <w:tmpl w:val="DBC1B29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0B0C9673"/>
    <w:multiLevelType w:val="multilevel"/>
    <w:tmpl w:val="0B0C96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2BDE79B3"/>
    <w:multiLevelType w:val="multilevel"/>
    <w:tmpl w:val="2BDE79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5E40071"/>
    <w:multiLevelType w:val="multilevel"/>
    <w:tmpl w:val="35E400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E2A2EA6"/>
    <w:multiLevelType w:val="multilevel"/>
    <w:tmpl w:val="4E2A2E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045552"/>
    <w:rsid w:val="7F045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Office_12.1.0.19302_F1E327BC-269C-435d-A152-05C5408002CA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2026-09-14T03:00:00Z</dcterms:created>
  <dc:creator>fuhao</dc:creator>
  <cp:lastModifiedBy>fuhao</cp:lastModifiedBy>
  <dcterms:modified xsi:type="dcterms:W3CDTF">2026-09-14T03:01:20Z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2052-12.1.0.19302</vt:lpwstr>
  </property>
  <property fmtid="{D5CDD505-2E9C-101B-9397-08002B2CF9AE}" pid="3" name="ICV">
    <vt:lpwstr>54005E66855E45C38EE5B049CC75A8FE_11</vt:lpwstr>
  </property>
  <property fmtid="{D5CDD505-2E9C-101B-9397-08002B2CF9AE}" pid="4" name="KSOTemplateDocerSaveRecord">
    <vt:lpwstr>eyJoZGlkIjoiNGMxZWNiNDA2Y2ZjMTEyYzYzY2IyNGZmMWY4YmNmZjMifQ==</vt:lpwstr>
  </property>
</Properties>
</file>