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DFF66" w14:textId="7BC9F8E7" w:rsidR="000F226D" w:rsidRPr="000F226D" w:rsidRDefault="000F226D" w:rsidP="000F226D">
      <w:pPr>
        <w:jc w:val="center"/>
        <w:rPr>
          <w:rFonts w:ascii="AngsanaUPC" w:hAnsi="AngsanaUPC" w:cs="AngsanaUPC" w:hint="cs"/>
          <w:sz w:val="36"/>
          <w:szCs w:val="36"/>
        </w:rPr>
      </w:pPr>
      <w:r w:rsidRPr="000F226D">
        <w:rPr>
          <w:rFonts w:ascii="AngsanaUPC" w:hAnsi="AngsanaUPC" w:cs="AngsanaUPC" w:hint="cs"/>
          <w:sz w:val="36"/>
          <w:szCs w:val="36"/>
        </w:rPr>
        <w:t>Graph Theory project 2020</w:t>
      </w:r>
    </w:p>
    <w:p w14:paraId="0E5EA710" w14:textId="6B973D2E" w:rsidR="000F226D" w:rsidRPr="000F226D" w:rsidRDefault="000F226D" w:rsidP="000F226D">
      <w:pPr>
        <w:jc w:val="center"/>
        <w:rPr>
          <w:rFonts w:ascii="AngsanaUPC" w:hAnsi="AngsanaUPC" w:cs="AngsanaUPC" w:hint="cs"/>
          <w:sz w:val="36"/>
          <w:szCs w:val="36"/>
        </w:rPr>
      </w:pPr>
      <w:r w:rsidRPr="000F226D">
        <w:rPr>
          <w:rFonts w:ascii="AngsanaUPC" w:hAnsi="AngsanaUPC" w:cs="AngsanaUPC" w:hint="cs"/>
          <w:sz w:val="36"/>
          <w:szCs w:val="36"/>
        </w:rPr>
        <w:t>Thompsons Construction</w:t>
      </w:r>
    </w:p>
    <w:p w14:paraId="24130EE4" w14:textId="0A2EFA01" w:rsidR="000F226D" w:rsidRPr="000F226D" w:rsidRDefault="000F226D">
      <w:pPr>
        <w:rPr>
          <w:rFonts w:ascii="AngsanaUPC" w:hAnsi="AngsanaUPC" w:cs="AngsanaUPC" w:hint="cs"/>
          <w:sz w:val="36"/>
          <w:szCs w:val="36"/>
        </w:rPr>
      </w:pPr>
    </w:p>
    <w:p w14:paraId="47399C2E" w14:textId="082963CF" w:rsidR="000F226D" w:rsidRPr="000F226D" w:rsidRDefault="000F226D">
      <w:pPr>
        <w:rPr>
          <w:rFonts w:ascii="AngsanaUPC" w:hAnsi="AngsanaUPC" w:cs="AngsanaUPC" w:hint="cs"/>
          <w:sz w:val="36"/>
          <w:szCs w:val="36"/>
        </w:rPr>
      </w:pPr>
    </w:p>
    <w:p w14:paraId="36E6C089" w14:textId="4D75146C" w:rsidR="000F226D" w:rsidRPr="000F226D" w:rsidRDefault="000F226D">
      <w:pPr>
        <w:rPr>
          <w:rFonts w:ascii="AngsanaUPC" w:hAnsi="AngsanaUPC" w:cs="AngsanaUPC" w:hint="cs"/>
          <w:sz w:val="36"/>
          <w:szCs w:val="36"/>
        </w:rPr>
      </w:pPr>
    </w:p>
    <w:p w14:paraId="1F9D461B" w14:textId="1796C156" w:rsidR="000F226D" w:rsidRPr="000F226D" w:rsidRDefault="000F226D">
      <w:pPr>
        <w:rPr>
          <w:rFonts w:ascii="AngsanaUPC" w:hAnsi="AngsanaUPC" w:cs="AngsanaUPC" w:hint="cs"/>
          <w:sz w:val="36"/>
          <w:szCs w:val="36"/>
        </w:rPr>
      </w:pPr>
      <w:r>
        <w:rPr>
          <w:noProof/>
        </w:rPr>
        <w:drawing>
          <wp:inline distT="0" distB="0" distL="0" distR="0" wp14:anchorId="60535431" wp14:editId="428102A8">
            <wp:extent cx="5731510" cy="3003550"/>
            <wp:effectExtent l="0" t="0" r="0" b="0"/>
            <wp:docPr id="1" name="Picture 1" descr="Image result for g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mi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1AD59FF6" w14:textId="1066721E" w:rsidR="000F226D" w:rsidRPr="000F226D" w:rsidRDefault="000F226D">
      <w:pPr>
        <w:rPr>
          <w:rFonts w:ascii="AngsanaUPC" w:hAnsi="AngsanaUPC" w:cs="AngsanaUPC" w:hint="cs"/>
          <w:sz w:val="36"/>
          <w:szCs w:val="36"/>
        </w:rPr>
      </w:pPr>
    </w:p>
    <w:p w14:paraId="4534A2E5" w14:textId="0F59F54C" w:rsidR="000F226D" w:rsidRPr="000F226D" w:rsidRDefault="000F226D">
      <w:pPr>
        <w:rPr>
          <w:rFonts w:ascii="AngsanaUPC" w:hAnsi="AngsanaUPC" w:cs="AngsanaUPC" w:hint="cs"/>
          <w:sz w:val="36"/>
          <w:szCs w:val="36"/>
        </w:rPr>
      </w:pPr>
    </w:p>
    <w:p w14:paraId="7B19CDBE" w14:textId="6A4FC8BC" w:rsidR="000F226D" w:rsidRDefault="000F226D">
      <w:pPr>
        <w:rPr>
          <w:rFonts w:ascii="AngsanaUPC" w:hAnsi="AngsanaUPC" w:cs="AngsanaUPC"/>
          <w:sz w:val="36"/>
          <w:szCs w:val="36"/>
        </w:rPr>
      </w:pPr>
    </w:p>
    <w:p w14:paraId="11D4CF1C" w14:textId="77777777" w:rsidR="000F226D" w:rsidRPr="000F226D" w:rsidRDefault="000F226D">
      <w:pPr>
        <w:rPr>
          <w:rFonts w:ascii="AngsanaUPC" w:hAnsi="AngsanaUPC" w:cs="AngsanaUPC" w:hint="cs"/>
          <w:sz w:val="36"/>
          <w:szCs w:val="36"/>
        </w:rPr>
      </w:pPr>
    </w:p>
    <w:p w14:paraId="475B70F5" w14:textId="1A0931C9" w:rsidR="000F226D" w:rsidRPr="000F226D" w:rsidRDefault="000F226D">
      <w:pPr>
        <w:rPr>
          <w:rFonts w:ascii="AngsanaUPC" w:hAnsi="AngsanaUPC" w:cs="AngsanaUPC" w:hint="cs"/>
          <w:sz w:val="36"/>
          <w:szCs w:val="36"/>
        </w:rPr>
      </w:pPr>
    </w:p>
    <w:p w14:paraId="6DC7AA22" w14:textId="1FD6CA72" w:rsidR="000F226D" w:rsidRPr="000F226D" w:rsidRDefault="000F226D">
      <w:pPr>
        <w:rPr>
          <w:rFonts w:ascii="AngsanaUPC" w:hAnsi="AngsanaUPC" w:cs="AngsanaUPC" w:hint="cs"/>
          <w:sz w:val="36"/>
          <w:szCs w:val="36"/>
        </w:rPr>
      </w:pPr>
    </w:p>
    <w:p w14:paraId="0E214711" w14:textId="6043ED97" w:rsidR="000F226D" w:rsidRPr="000F226D" w:rsidRDefault="000F226D" w:rsidP="000F226D">
      <w:pPr>
        <w:jc w:val="center"/>
        <w:rPr>
          <w:rFonts w:ascii="AngsanaUPC" w:hAnsi="AngsanaUPC" w:cs="AngsanaUPC" w:hint="cs"/>
          <w:sz w:val="36"/>
          <w:szCs w:val="36"/>
        </w:rPr>
      </w:pPr>
      <w:r w:rsidRPr="000F226D">
        <w:rPr>
          <w:rFonts w:ascii="AngsanaUPC" w:hAnsi="AngsanaUPC" w:cs="AngsanaUPC" w:hint="cs"/>
          <w:sz w:val="36"/>
          <w:szCs w:val="36"/>
        </w:rPr>
        <w:t>Grace Keane – G00359990</w:t>
      </w:r>
    </w:p>
    <w:p w14:paraId="28FE9B0A" w14:textId="2C1A0D7C" w:rsidR="000F226D" w:rsidRDefault="000F226D" w:rsidP="000F226D">
      <w:pPr>
        <w:jc w:val="center"/>
        <w:rPr>
          <w:rFonts w:ascii="AngsanaUPC" w:hAnsi="AngsanaUPC" w:cs="AngsanaUPC"/>
          <w:sz w:val="36"/>
          <w:szCs w:val="36"/>
        </w:rPr>
      </w:pPr>
      <w:r w:rsidRPr="000F226D">
        <w:rPr>
          <w:rFonts w:ascii="AngsanaUPC" w:hAnsi="AngsanaUPC" w:cs="AngsanaUPC" w:hint="cs"/>
          <w:sz w:val="36"/>
          <w:szCs w:val="36"/>
        </w:rPr>
        <w:t>BSc in Computing in Software Development</w:t>
      </w:r>
    </w:p>
    <w:p w14:paraId="7E841D3E" w14:textId="4D5AA979" w:rsidR="000F226D" w:rsidRDefault="000F226D" w:rsidP="000F226D">
      <w:pPr>
        <w:jc w:val="center"/>
        <w:rPr>
          <w:rFonts w:ascii="AngsanaUPC" w:hAnsi="AngsanaUPC" w:cs="AngsanaUPC"/>
          <w:sz w:val="36"/>
          <w:szCs w:val="36"/>
        </w:rPr>
      </w:pPr>
      <w:r>
        <w:rPr>
          <w:rFonts w:ascii="AngsanaUPC" w:hAnsi="AngsanaUPC" w:cs="AngsanaUPC"/>
          <w:sz w:val="36"/>
          <w:szCs w:val="36"/>
        </w:rPr>
        <w:lastRenderedPageBreak/>
        <w:t>Introduction</w:t>
      </w:r>
    </w:p>
    <w:p w14:paraId="4E9EC591" w14:textId="582F57B4" w:rsidR="000F226D" w:rsidRPr="000F226D" w:rsidRDefault="000F226D" w:rsidP="000F226D">
      <w:pPr>
        <w:rPr>
          <w:rFonts w:cstheme="minorHAnsi"/>
          <w:sz w:val="24"/>
          <w:szCs w:val="24"/>
        </w:rPr>
      </w:pPr>
      <w:r w:rsidRPr="000F226D">
        <w:rPr>
          <w:rFonts w:cstheme="minorHAnsi"/>
          <w:sz w:val="24"/>
          <w:szCs w:val="24"/>
        </w:rPr>
        <w:t>Thompsons construction is a method of transforming a regular expression into an equivalent nondeterministic finite automaton (NFA). NFAs can be used to match strings against the regular expression. The algorithm works by splitting an expression into its constituent subexpressions. This algorithm is created by a computer scientist called Kem Thompson.</w:t>
      </w:r>
    </w:p>
    <w:p w14:paraId="3C0E2EF5" w14:textId="293623FB" w:rsidR="000F226D" w:rsidRPr="000F226D" w:rsidRDefault="000F226D" w:rsidP="000F226D">
      <w:pPr>
        <w:rPr>
          <w:rFonts w:cstheme="minorHAnsi"/>
          <w:sz w:val="24"/>
          <w:szCs w:val="24"/>
        </w:rPr>
      </w:pPr>
      <w:r w:rsidRPr="000F226D">
        <w:rPr>
          <w:rFonts w:cstheme="minorHAnsi"/>
          <w:sz w:val="24"/>
          <w:szCs w:val="24"/>
        </w:rPr>
        <w:t xml:space="preserve">Numerous rules apply to this algorithm </w:t>
      </w:r>
      <w:r w:rsidRPr="000F226D">
        <w:rPr>
          <w:rFonts w:cstheme="minorHAnsi"/>
          <w:sz w:val="24"/>
          <w:szCs w:val="24"/>
        </w:rPr>
        <w:t>for</w:t>
      </w:r>
      <w:r w:rsidRPr="000F226D">
        <w:rPr>
          <w:rFonts w:cstheme="minorHAnsi"/>
          <w:sz w:val="24"/>
          <w:szCs w:val="24"/>
        </w:rPr>
        <w:t xml:space="preserve"> it to work properly.</w:t>
      </w:r>
      <w:r>
        <w:rPr>
          <w:rFonts w:cstheme="minorHAnsi"/>
          <w:sz w:val="24"/>
          <w:szCs w:val="24"/>
        </w:rPr>
        <w:t xml:space="preserve"> Rules are listed below.</w:t>
      </w:r>
    </w:p>
    <w:p w14:paraId="46C693BD" w14:textId="45A958A3" w:rsidR="000F226D" w:rsidRPr="00945C51" w:rsidRDefault="000F226D" w:rsidP="000F226D">
      <w:pPr>
        <w:rPr>
          <w:rFonts w:ascii="Arial" w:hAnsi="Arial" w:cs="Arial"/>
          <w:color w:val="222222"/>
          <w:sz w:val="21"/>
          <w:szCs w:val="21"/>
          <w:u w:val="single"/>
          <w:shd w:val="clear" w:color="auto" w:fill="FFFFFF"/>
        </w:rPr>
      </w:pPr>
      <w:r w:rsidRPr="00945C51">
        <w:rPr>
          <w:rFonts w:cstheme="minorHAnsi"/>
          <w:sz w:val="24"/>
          <w:szCs w:val="24"/>
          <w:u w:val="single"/>
        </w:rPr>
        <w:t xml:space="preserve">The empty-expression </w:t>
      </w:r>
      <w:r w:rsidRPr="00945C51">
        <w:rPr>
          <w:rFonts w:ascii="Arial" w:hAnsi="Arial" w:cs="Arial"/>
          <w:color w:val="222222"/>
          <w:sz w:val="21"/>
          <w:szCs w:val="21"/>
          <w:u w:val="single"/>
          <w:shd w:val="clear" w:color="auto" w:fill="FFFFFF"/>
        </w:rPr>
        <w:t>ε</w:t>
      </w:r>
      <w:r w:rsidRPr="00945C51">
        <w:rPr>
          <w:rFonts w:ascii="Arial" w:hAnsi="Arial" w:cs="Arial"/>
          <w:color w:val="222222"/>
          <w:sz w:val="21"/>
          <w:szCs w:val="21"/>
          <w:u w:val="single"/>
          <w:shd w:val="clear" w:color="auto" w:fill="FFFFFF"/>
        </w:rPr>
        <w:t xml:space="preserve"> is converted to </w:t>
      </w:r>
    </w:p>
    <w:p w14:paraId="0CBA41E8" w14:textId="7F5D7B97" w:rsidR="000F226D" w:rsidRDefault="000F226D" w:rsidP="000F226D">
      <w:pPr>
        <w:rPr>
          <w:rFonts w:cstheme="minorHAnsi"/>
          <w:sz w:val="24"/>
          <w:szCs w:val="24"/>
        </w:rPr>
      </w:pPr>
      <w:r>
        <w:rPr>
          <w:noProof/>
        </w:rPr>
        <w:drawing>
          <wp:inline distT="0" distB="0" distL="0" distR="0" wp14:anchorId="500858B2" wp14:editId="53F6C616">
            <wp:extent cx="3066290" cy="6379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4879" cy="652223"/>
                    </a:xfrm>
                    <a:prstGeom prst="rect">
                      <a:avLst/>
                    </a:prstGeom>
                  </pic:spPr>
                </pic:pic>
              </a:graphicData>
            </a:graphic>
          </wp:inline>
        </w:drawing>
      </w:r>
    </w:p>
    <w:p w14:paraId="405B4CE9" w14:textId="1D0F2E7A" w:rsidR="000F226D" w:rsidRPr="00945C51" w:rsidRDefault="000F226D" w:rsidP="000F226D">
      <w:pPr>
        <w:rPr>
          <w:rFonts w:cstheme="minorHAnsi"/>
          <w:sz w:val="24"/>
          <w:szCs w:val="24"/>
          <w:u w:val="single"/>
        </w:rPr>
      </w:pPr>
      <w:r w:rsidRPr="00945C51">
        <w:rPr>
          <w:rFonts w:cstheme="minorHAnsi"/>
          <w:sz w:val="24"/>
          <w:szCs w:val="24"/>
          <w:u w:val="single"/>
        </w:rPr>
        <w:t>A symbol a of the alphabet is converted to</w:t>
      </w:r>
    </w:p>
    <w:p w14:paraId="6A76AD13" w14:textId="76BCED60" w:rsidR="000F226D" w:rsidRDefault="000F226D" w:rsidP="000F226D">
      <w:pPr>
        <w:rPr>
          <w:rFonts w:cstheme="minorHAnsi"/>
          <w:sz w:val="24"/>
          <w:szCs w:val="24"/>
        </w:rPr>
      </w:pPr>
      <w:r>
        <w:rPr>
          <w:noProof/>
        </w:rPr>
        <w:drawing>
          <wp:inline distT="0" distB="0" distL="0" distR="0" wp14:anchorId="48EB6633" wp14:editId="728B4E51">
            <wp:extent cx="3132445" cy="7017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669" cy="712552"/>
                    </a:xfrm>
                    <a:prstGeom prst="rect">
                      <a:avLst/>
                    </a:prstGeom>
                  </pic:spPr>
                </pic:pic>
              </a:graphicData>
            </a:graphic>
          </wp:inline>
        </w:drawing>
      </w:r>
    </w:p>
    <w:p w14:paraId="0E29B2F0" w14:textId="14A8B2A6" w:rsidR="000F226D" w:rsidRPr="00945C51" w:rsidRDefault="000F226D" w:rsidP="000F226D">
      <w:pPr>
        <w:rPr>
          <w:rFonts w:ascii="Arial" w:hAnsi="Arial" w:cs="Arial"/>
          <w:color w:val="222222"/>
          <w:sz w:val="21"/>
          <w:szCs w:val="21"/>
          <w:u w:val="single"/>
          <w:shd w:val="clear" w:color="auto" w:fill="FFFFFF"/>
        </w:rPr>
      </w:pPr>
      <w:r w:rsidRPr="00945C51">
        <w:rPr>
          <w:rFonts w:cstheme="minorHAnsi"/>
          <w:sz w:val="24"/>
          <w:szCs w:val="24"/>
          <w:u w:val="single"/>
        </w:rPr>
        <w:t xml:space="preserve">The union expression </w:t>
      </w:r>
      <w:proofErr w:type="spellStart"/>
      <w:r w:rsidRPr="00945C51">
        <w:rPr>
          <w:rFonts w:cstheme="minorHAnsi"/>
          <w:sz w:val="24"/>
          <w:szCs w:val="24"/>
          <w:u w:val="single"/>
        </w:rPr>
        <w:t>s|t</w:t>
      </w:r>
      <w:proofErr w:type="spellEnd"/>
      <w:r w:rsidRPr="00945C51">
        <w:rPr>
          <w:rFonts w:ascii="Arial" w:hAnsi="Arial" w:cs="Arial"/>
          <w:color w:val="222222"/>
          <w:sz w:val="21"/>
          <w:szCs w:val="21"/>
          <w:u w:val="single"/>
          <w:shd w:val="clear" w:color="auto" w:fill="FFFFFF"/>
        </w:rPr>
        <w:t> is converted to</w:t>
      </w:r>
    </w:p>
    <w:p w14:paraId="26DA4739" w14:textId="0AE23CF7" w:rsidR="000F226D" w:rsidRDefault="000F226D" w:rsidP="000F226D">
      <w:pPr>
        <w:rPr>
          <w:rFonts w:ascii="Arial" w:hAnsi="Arial" w:cs="Arial"/>
          <w:color w:val="222222"/>
          <w:sz w:val="21"/>
          <w:szCs w:val="21"/>
          <w:shd w:val="clear" w:color="auto" w:fill="FFFFFF"/>
        </w:rPr>
      </w:pPr>
      <w:r>
        <w:rPr>
          <w:noProof/>
        </w:rPr>
        <w:drawing>
          <wp:inline distT="0" distB="0" distL="0" distR="0" wp14:anchorId="2449756C" wp14:editId="6A6455AE">
            <wp:extent cx="3827721" cy="249909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732" cy="2598338"/>
                    </a:xfrm>
                    <a:prstGeom prst="rect">
                      <a:avLst/>
                    </a:prstGeom>
                  </pic:spPr>
                </pic:pic>
              </a:graphicData>
            </a:graphic>
          </wp:inline>
        </w:drawing>
      </w:r>
    </w:p>
    <w:p w14:paraId="3DABD521" w14:textId="53615502" w:rsidR="000F226D" w:rsidRPr="00945C51" w:rsidRDefault="000F226D" w:rsidP="000F226D">
      <w:pPr>
        <w:rPr>
          <w:rFonts w:ascii="Arial" w:hAnsi="Arial" w:cs="Arial"/>
          <w:color w:val="222222"/>
          <w:sz w:val="21"/>
          <w:szCs w:val="21"/>
          <w:u w:val="single"/>
          <w:shd w:val="clear" w:color="auto" w:fill="FFFFFF"/>
        </w:rPr>
      </w:pPr>
      <w:r w:rsidRPr="00945C51">
        <w:rPr>
          <w:rFonts w:ascii="Arial" w:hAnsi="Arial" w:cs="Arial"/>
          <w:color w:val="222222"/>
          <w:sz w:val="21"/>
          <w:szCs w:val="21"/>
          <w:u w:val="single"/>
          <w:shd w:val="clear" w:color="auto" w:fill="FFFFFF"/>
        </w:rPr>
        <w:t xml:space="preserve">The concatenation expression </w:t>
      </w:r>
      <w:proofErr w:type="spellStart"/>
      <w:r w:rsidRPr="00945C51">
        <w:rPr>
          <w:rFonts w:ascii="Arial" w:hAnsi="Arial" w:cs="Arial"/>
          <w:color w:val="222222"/>
          <w:sz w:val="21"/>
          <w:szCs w:val="21"/>
          <w:u w:val="single"/>
          <w:shd w:val="clear" w:color="auto" w:fill="FFFFFF"/>
        </w:rPr>
        <w:t>st</w:t>
      </w:r>
      <w:proofErr w:type="spellEnd"/>
      <w:r w:rsidRPr="00945C51">
        <w:rPr>
          <w:rFonts w:ascii="Arial" w:hAnsi="Arial" w:cs="Arial"/>
          <w:color w:val="222222"/>
          <w:sz w:val="21"/>
          <w:szCs w:val="21"/>
          <w:u w:val="single"/>
          <w:shd w:val="clear" w:color="auto" w:fill="FFFFFF"/>
        </w:rPr>
        <w:t xml:space="preserve"> is converted to</w:t>
      </w:r>
    </w:p>
    <w:p w14:paraId="58071174" w14:textId="5D9D98CB" w:rsidR="000F226D" w:rsidRDefault="000F226D" w:rsidP="000F226D">
      <w:pPr>
        <w:rPr>
          <w:rFonts w:ascii="Arial" w:hAnsi="Arial" w:cs="Arial"/>
          <w:color w:val="222222"/>
          <w:sz w:val="21"/>
          <w:szCs w:val="21"/>
          <w:shd w:val="clear" w:color="auto" w:fill="FFFFFF"/>
        </w:rPr>
      </w:pPr>
      <w:r>
        <w:rPr>
          <w:noProof/>
        </w:rPr>
        <w:drawing>
          <wp:inline distT="0" distB="0" distL="0" distR="0" wp14:anchorId="1DF6E615" wp14:editId="045C68F6">
            <wp:extent cx="3912781" cy="12506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6099" cy="1283685"/>
                    </a:xfrm>
                    <a:prstGeom prst="rect">
                      <a:avLst/>
                    </a:prstGeom>
                  </pic:spPr>
                </pic:pic>
              </a:graphicData>
            </a:graphic>
          </wp:inline>
        </w:drawing>
      </w:r>
    </w:p>
    <w:p w14:paraId="70A8436B" w14:textId="77777777" w:rsidR="00945C51" w:rsidRDefault="00945C51" w:rsidP="000F226D">
      <w:pPr>
        <w:rPr>
          <w:rFonts w:ascii="Arial" w:hAnsi="Arial" w:cs="Arial"/>
          <w:color w:val="222222"/>
          <w:sz w:val="21"/>
          <w:szCs w:val="21"/>
          <w:shd w:val="clear" w:color="auto" w:fill="FFFFFF"/>
        </w:rPr>
      </w:pPr>
    </w:p>
    <w:p w14:paraId="7A6D2449" w14:textId="2C4DDAD6" w:rsidR="000F226D" w:rsidRPr="00945C51" w:rsidRDefault="000F226D" w:rsidP="000F226D">
      <w:pPr>
        <w:rPr>
          <w:rFonts w:ascii="Arial" w:hAnsi="Arial" w:cs="Arial"/>
          <w:color w:val="222222"/>
          <w:sz w:val="21"/>
          <w:szCs w:val="21"/>
          <w:u w:val="single"/>
          <w:shd w:val="clear" w:color="auto" w:fill="FFFFFF"/>
        </w:rPr>
      </w:pPr>
      <w:r w:rsidRPr="00945C51">
        <w:rPr>
          <w:rFonts w:ascii="Arial" w:hAnsi="Arial" w:cs="Arial"/>
          <w:color w:val="222222"/>
          <w:sz w:val="21"/>
          <w:szCs w:val="21"/>
          <w:u w:val="single"/>
          <w:shd w:val="clear" w:color="auto" w:fill="FFFFFF"/>
        </w:rPr>
        <w:lastRenderedPageBreak/>
        <w:t>The Kleene star</w:t>
      </w:r>
      <w:bookmarkStart w:id="0" w:name="_GoBack"/>
      <w:bookmarkEnd w:id="0"/>
      <w:r w:rsidRPr="00945C51">
        <w:rPr>
          <w:rFonts w:ascii="Arial" w:hAnsi="Arial" w:cs="Arial"/>
          <w:color w:val="222222"/>
          <w:sz w:val="21"/>
          <w:szCs w:val="21"/>
          <w:u w:val="single"/>
          <w:shd w:val="clear" w:color="auto" w:fill="FFFFFF"/>
        </w:rPr>
        <w:t xml:space="preserve"> s* is converted to</w:t>
      </w:r>
    </w:p>
    <w:p w14:paraId="0ADE7E87" w14:textId="73110C3D" w:rsidR="000F226D" w:rsidRDefault="000F226D" w:rsidP="000F226D">
      <w:pPr>
        <w:rPr>
          <w:rFonts w:cstheme="minorHAnsi"/>
          <w:sz w:val="24"/>
          <w:szCs w:val="24"/>
        </w:rPr>
      </w:pPr>
      <w:r>
        <w:rPr>
          <w:noProof/>
        </w:rPr>
        <w:drawing>
          <wp:inline distT="0" distB="0" distL="0" distR="0" wp14:anchorId="700F7EA3" wp14:editId="4386FABC">
            <wp:extent cx="4189228" cy="1958601"/>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285" cy="2079251"/>
                    </a:xfrm>
                    <a:prstGeom prst="rect">
                      <a:avLst/>
                    </a:prstGeom>
                  </pic:spPr>
                </pic:pic>
              </a:graphicData>
            </a:graphic>
          </wp:inline>
        </w:drawing>
      </w:r>
    </w:p>
    <w:p w14:paraId="10B79D2B" w14:textId="7B0C4F4A" w:rsidR="000F226D" w:rsidRDefault="000F226D" w:rsidP="000F226D">
      <w:pPr>
        <w:rPr>
          <w:rFonts w:cstheme="minorHAnsi"/>
          <w:sz w:val="24"/>
          <w:szCs w:val="24"/>
        </w:rPr>
      </w:pPr>
    </w:p>
    <w:p w14:paraId="18E9FA07" w14:textId="632991DE" w:rsidR="000F226D" w:rsidRDefault="000F226D" w:rsidP="000F226D">
      <w:pPr>
        <w:rPr>
          <w:rFonts w:cstheme="minorHAnsi"/>
          <w:sz w:val="24"/>
          <w:szCs w:val="24"/>
        </w:rPr>
      </w:pPr>
    </w:p>
    <w:p w14:paraId="4CCDDBBF" w14:textId="10741006" w:rsidR="000F226D" w:rsidRDefault="000F226D" w:rsidP="000F226D">
      <w:pPr>
        <w:rPr>
          <w:rFonts w:cstheme="minorHAnsi"/>
          <w:sz w:val="24"/>
          <w:szCs w:val="24"/>
        </w:rPr>
      </w:pPr>
    </w:p>
    <w:p w14:paraId="4F975D4B" w14:textId="7CE2D90A" w:rsidR="000F226D" w:rsidRDefault="000F226D" w:rsidP="000F226D">
      <w:pPr>
        <w:rPr>
          <w:rFonts w:cstheme="minorHAnsi"/>
          <w:sz w:val="24"/>
          <w:szCs w:val="24"/>
        </w:rPr>
      </w:pPr>
    </w:p>
    <w:p w14:paraId="25AD49D3" w14:textId="03F5DA6E" w:rsidR="000F226D" w:rsidRDefault="000F226D" w:rsidP="000F226D">
      <w:pPr>
        <w:rPr>
          <w:rFonts w:cstheme="minorHAnsi"/>
          <w:sz w:val="24"/>
          <w:szCs w:val="24"/>
        </w:rPr>
      </w:pPr>
    </w:p>
    <w:p w14:paraId="09C958F9" w14:textId="0C6705FA" w:rsidR="000F226D" w:rsidRDefault="000F226D" w:rsidP="000F226D">
      <w:pPr>
        <w:rPr>
          <w:rFonts w:cstheme="minorHAnsi"/>
          <w:sz w:val="24"/>
          <w:szCs w:val="24"/>
        </w:rPr>
      </w:pPr>
    </w:p>
    <w:p w14:paraId="675D002A" w14:textId="75DC3BDF" w:rsidR="000F226D" w:rsidRDefault="000F226D" w:rsidP="000F226D">
      <w:pPr>
        <w:rPr>
          <w:rFonts w:cstheme="minorHAnsi"/>
          <w:sz w:val="24"/>
          <w:szCs w:val="24"/>
        </w:rPr>
      </w:pPr>
    </w:p>
    <w:p w14:paraId="1CF1DA71" w14:textId="0555E16B" w:rsidR="000F226D" w:rsidRDefault="000F226D" w:rsidP="000F226D">
      <w:pPr>
        <w:rPr>
          <w:rFonts w:cstheme="minorHAnsi"/>
          <w:sz w:val="24"/>
          <w:szCs w:val="24"/>
        </w:rPr>
      </w:pPr>
    </w:p>
    <w:p w14:paraId="4AB57A78" w14:textId="2F283B11" w:rsidR="000F226D" w:rsidRDefault="000F226D" w:rsidP="000F226D">
      <w:pPr>
        <w:rPr>
          <w:rFonts w:cstheme="minorHAnsi"/>
          <w:sz w:val="24"/>
          <w:szCs w:val="24"/>
        </w:rPr>
      </w:pPr>
    </w:p>
    <w:p w14:paraId="356EBD1D" w14:textId="7459D561" w:rsidR="000F226D" w:rsidRDefault="000F226D" w:rsidP="000F226D">
      <w:pPr>
        <w:rPr>
          <w:rFonts w:cstheme="minorHAnsi"/>
          <w:sz w:val="24"/>
          <w:szCs w:val="24"/>
        </w:rPr>
      </w:pPr>
    </w:p>
    <w:p w14:paraId="355BCDE5" w14:textId="1DF69426" w:rsidR="000F226D" w:rsidRDefault="000F226D" w:rsidP="000F226D">
      <w:pPr>
        <w:rPr>
          <w:rFonts w:cstheme="minorHAnsi"/>
          <w:sz w:val="24"/>
          <w:szCs w:val="24"/>
        </w:rPr>
      </w:pPr>
    </w:p>
    <w:p w14:paraId="179E33FF" w14:textId="2B3D8E56" w:rsidR="000F226D" w:rsidRDefault="000F226D" w:rsidP="000F226D">
      <w:pPr>
        <w:rPr>
          <w:rFonts w:cstheme="minorHAnsi"/>
          <w:sz w:val="24"/>
          <w:szCs w:val="24"/>
        </w:rPr>
      </w:pPr>
    </w:p>
    <w:p w14:paraId="738A44C4" w14:textId="1A7D1701" w:rsidR="000F226D" w:rsidRDefault="000F226D" w:rsidP="000F226D">
      <w:pPr>
        <w:rPr>
          <w:rFonts w:cstheme="minorHAnsi"/>
          <w:sz w:val="24"/>
          <w:szCs w:val="24"/>
        </w:rPr>
      </w:pPr>
    </w:p>
    <w:p w14:paraId="4BE84852" w14:textId="292B4C28" w:rsidR="000F226D" w:rsidRDefault="000F226D" w:rsidP="000F226D">
      <w:pPr>
        <w:rPr>
          <w:rFonts w:cstheme="minorHAnsi"/>
          <w:sz w:val="24"/>
          <w:szCs w:val="24"/>
        </w:rPr>
      </w:pPr>
    </w:p>
    <w:p w14:paraId="7D155040" w14:textId="35B4B085" w:rsidR="000F226D" w:rsidRDefault="000F226D" w:rsidP="000F226D">
      <w:pPr>
        <w:rPr>
          <w:rFonts w:cstheme="minorHAnsi"/>
          <w:sz w:val="24"/>
          <w:szCs w:val="24"/>
        </w:rPr>
      </w:pPr>
    </w:p>
    <w:p w14:paraId="6FE4AF29" w14:textId="3320B7B9" w:rsidR="000F226D" w:rsidRDefault="000F226D" w:rsidP="000F226D">
      <w:pPr>
        <w:rPr>
          <w:rFonts w:cstheme="minorHAnsi"/>
          <w:sz w:val="24"/>
          <w:szCs w:val="24"/>
        </w:rPr>
      </w:pPr>
    </w:p>
    <w:p w14:paraId="0935098E" w14:textId="52BC3BCA" w:rsidR="000F226D" w:rsidRDefault="000F226D" w:rsidP="000F226D">
      <w:pPr>
        <w:rPr>
          <w:rFonts w:cstheme="minorHAnsi"/>
          <w:sz w:val="24"/>
          <w:szCs w:val="24"/>
        </w:rPr>
      </w:pPr>
    </w:p>
    <w:p w14:paraId="4D6BDD0D" w14:textId="3E0C28BE" w:rsidR="000F226D" w:rsidRDefault="000F226D" w:rsidP="000F226D">
      <w:pPr>
        <w:rPr>
          <w:rFonts w:cstheme="minorHAnsi"/>
          <w:sz w:val="24"/>
          <w:szCs w:val="24"/>
        </w:rPr>
      </w:pPr>
    </w:p>
    <w:p w14:paraId="7383E5E0" w14:textId="77777777" w:rsidR="000F226D" w:rsidRPr="000F226D" w:rsidRDefault="000F226D" w:rsidP="000F226D">
      <w:pPr>
        <w:rPr>
          <w:rFonts w:cstheme="minorHAnsi"/>
          <w:sz w:val="24"/>
          <w:szCs w:val="24"/>
        </w:rPr>
      </w:pPr>
    </w:p>
    <w:p w14:paraId="4B1E90BA" w14:textId="77777777" w:rsidR="000F226D" w:rsidRPr="000F226D" w:rsidRDefault="000F226D" w:rsidP="000F226D">
      <w:pPr>
        <w:rPr>
          <w:rFonts w:cstheme="minorHAnsi"/>
          <w:sz w:val="24"/>
          <w:szCs w:val="24"/>
        </w:rPr>
      </w:pPr>
    </w:p>
    <w:p w14:paraId="6EA30BF4" w14:textId="77777777" w:rsidR="000F226D" w:rsidRPr="000F226D" w:rsidRDefault="000F226D" w:rsidP="000F226D">
      <w:pPr>
        <w:rPr>
          <w:rFonts w:cstheme="minorHAnsi"/>
          <w:sz w:val="24"/>
          <w:szCs w:val="24"/>
        </w:rPr>
      </w:pPr>
    </w:p>
    <w:p w14:paraId="000E8E6C" w14:textId="7DFD3FCE" w:rsidR="000F226D" w:rsidRPr="000F226D" w:rsidRDefault="000F226D" w:rsidP="000F226D">
      <w:pPr>
        <w:jc w:val="center"/>
        <w:rPr>
          <w:rFonts w:ascii="AngsanaUPC" w:hAnsi="AngsanaUPC" w:cs="AngsanaUPC" w:hint="cs"/>
          <w:sz w:val="36"/>
          <w:szCs w:val="36"/>
        </w:rPr>
      </w:pPr>
      <w:r w:rsidRPr="000F226D">
        <w:rPr>
          <w:rFonts w:ascii="AngsanaUPC" w:hAnsi="AngsanaUPC" w:cs="AngsanaUPC" w:hint="cs"/>
          <w:sz w:val="36"/>
          <w:szCs w:val="36"/>
        </w:rPr>
        <w:lastRenderedPageBreak/>
        <w:t>References</w:t>
      </w:r>
      <w:r w:rsidRPr="000F226D">
        <w:rPr>
          <w:rFonts w:ascii="AngsanaUPC" w:hAnsi="AngsanaUPC" w:cs="AngsanaUPC" w:hint="cs"/>
          <w:sz w:val="36"/>
          <w:szCs w:val="36"/>
        </w:rPr>
        <w:t xml:space="preserve"> for Graph Theory project 2020</w:t>
      </w:r>
    </w:p>
    <w:p w14:paraId="497A8599" w14:textId="77777777" w:rsidR="000F226D" w:rsidRPr="000F226D" w:rsidRDefault="000F226D" w:rsidP="000F226D">
      <w:pPr>
        <w:rPr>
          <w:rFonts w:cstheme="minorHAnsi"/>
          <w:sz w:val="24"/>
          <w:szCs w:val="24"/>
        </w:rPr>
      </w:pPr>
      <w:r w:rsidRPr="000F226D">
        <w:rPr>
          <w:rFonts w:cstheme="minorHAnsi"/>
          <w:sz w:val="24"/>
          <w:szCs w:val="24"/>
        </w:rPr>
        <w:t>Thompson's construction</w:t>
      </w:r>
    </w:p>
    <w:p w14:paraId="7C64198B" w14:textId="77777777" w:rsidR="000F226D" w:rsidRPr="000F226D" w:rsidRDefault="000F226D" w:rsidP="000F226D">
      <w:pPr>
        <w:rPr>
          <w:rFonts w:cstheme="minorHAnsi"/>
          <w:sz w:val="24"/>
          <w:szCs w:val="24"/>
        </w:rPr>
      </w:pPr>
      <w:r w:rsidRPr="000F226D">
        <w:rPr>
          <w:rFonts w:cstheme="minorHAnsi"/>
          <w:sz w:val="24"/>
          <w:szCs w:val="24"/>
        </w:rPr>
        <w:t>[1] https://en.wikipedia.org/wiki/Thompson%27s_construction</w:t>
      </w:r>
    </w:p>
    <w:p w14:paraId="2A2465D2" w14:textId="77777777" w:rsidR="000F226D" w:rsidRPr="000F226D" w:rsidRDefault="000F226D" w:rsidP="000F226D">
      <w:pPr>
        <w:rPr>
          <w:rFonts w:cstheme="minorHAnsi"/>
          <w:sz w:val="24"/>
          <w:szCs w:val="24"/>
        </w:rPr>
      </w:pPr>
    </w:p>
    <w:sectPr w:rsidR="000F226D" w:rsidRPr="000F2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6D"/>
    <w:rsid w:val="000F226D"/>
    <w:rsid w:val="00945C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62DF"/>
  <w15:chartTrackingRefBased/>
  <w15:docId w15:val="{A3009CA8-EB50-4FF1-8F10-61F51049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1</cp:revision>
  <dcterms:created xsi:type="dcterms:W3CDTF">2020-03-02T15:34:00Z</dcterms:created>
  <dcterms:modified xsi:type="dcterms:W3CDTF">2020-03-02T15:48:00Z</dcterms:modified>
</cp:coreProperties>
</file>