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25B0D">
      <w:pPr>
        <w:spacing w:before="240" w:line="288" w:lineRule="auto"/>
      </w:pPr>
      <w:bookmarkStart w:id="0" w:name="green_africa_hub_ltd_business_pla_4dcb5c"/>
      <w:r>
        <w:rPr>
          <w:rFonts w:ascii="Georgia" w:hAnsi="Georgia" w:eastAsia="Georgia" w:cs="Georgia"/>
          <w:b/>
          <w:sz w:val="56"/>
        </w:rPr>
        <w:t xml:space="preserve">Green Africa Hub Ltd Business Plan </w:t>
      </w:r>
      <w:bookmarkEnd w:id="0"/>
    </w:p>
    <w:p w14:paraId="4D91EC3D">
      <w:pPr>
        <w:spacing w:after="210"/>
      </w:pPr>
      <w:r>
        <w:rPr>
          <w:b/>
        </w:rPr>
        <w:t>Company Number:</w:t>
      </w:r>
      <w:r>
        <w:t xml:space="preserve"> 17107299</w:t>
      </w:r>
      <w:r>
        <w:br w:type="textWrapping"/>
      </w:r>
      <w:r>
        <w:rPr>
          <w:b/>
        </w:rPr>
        <w:t>Incorporated:</w:t>
      </w:r>
      <w:r>
        <w:t xml:space="preserve"> 21 March 2026, England &amp; Wales</w:t>
      </w:r>
      <w:r>
        <w:br w:type="textWrapping"/>
      </w:r>
      <w:r>
        <w:rPr>
          <w:b/>
        </w:rPr>
        <w:t>Contact:</w:t>
      </w:r>
      <w:r>
        <w:t xml:space="preserve"> </w:t>
      </w:r>
      <w:r>
        <w:fldChar w:fldCharType="begin"/>
      </w:r>
      <w:r>
        <w:instrText xml:space="preserve"> HYPERLINK "mailto:gracetuase@gmail.com" \h </w:instrText>
      </w:r>
      <w:r>
        <w:fldChar w:fldCharType="separate"/>
      </w:r>
      <w:r>
        <w:rPr>
          <w:rFonts w:ascii="Georgia" w:hAnsi="Georgia" w:eastAsia="Georgia" w:cs="Georgia"/>
          <w:color w:val="4472C4"/>
        </w:rPr>
        <w:t>gracetuase@gmail.com</w:t>
      </w:r>
      <w:r>
        <w:rPr>
          <w:rFonts w:ascii="Georgia" w:hAnsi="Georgia" w:eastAsia="Georgia" w:cs="Georgia"/>
          <w:color w:val="4472C4"/>
        </w:rPr>
        <w:fldChar w:fldCharType="end"/>
      </w:r>
      <w:r>
        <w:t xml:space="preserve"> | +44 (0) 7776 643169</w:t>
      </w:r>
      <w:r>
        <w:br w:type="textWrapping"/>
      </w:r>
      <w:r>
        <w:rPr>
          <w:b/>
        </w:rPr>
        <w:t>Website:</w:t>
      </w:r>
      <w:r>
        <w:t xml:space="preserve"> </w:t>
      </w:r>
      <w:r>
        <w:fldChar w:fldCharType="begin"/>
      </w:r>
      <w:r>
        <w:instrText xml:space="preserve"> HYPERLINK "http://greenafricahub.co.uk" \h </w:instrText>
      </w:r>
      <w:r>
        <w:fldChar w:fldCharType="separate"/>
      </w:r>
      <w:r>
        <w:rPr>
          <w:color w:val="4472C4"/>
        </w:rPr>
        <w:t>greenafricahub.co.uk</w:t>
      </w:r>
      <w:r>
        <w:rPr>
          <w:color w:val="4472C4"/>
        </w:rPr>
        <w:fldChar w:fldCharType="end"/>
      </w:r>
      <w:r>
        <w:t xml:space="preserve"> | </w:t>
      </w:r>
      <w:r>
        <w:fldChar w:fldCharType="begin"/>
      </w:r>
      <w:r>
        <w:instrText xml:space="preserve"> HYPERLINK "http://greenafricahub.org" \h </w:instrText>
      </w:r>
      <w:r>
        <w:fldChar w:fldCharType="separate"/>
      </w:r>
      <w:r>
        <w:rPr>
          <w:color w:val="4472C4"/>
        </w:rPr>
        <w:t>greenafricahub.org</w:t>
      </w:r>
      <w:r>
        <w:rPr>
          <w:color w:val="4472C4"/>
        </w:rPr>
        <w:fldChar w:fldCharType="end"/>
      </w:r>
    </w:p>
    <w:p w14:paraId="5D8B410D">
      <w:pPr>
        <w:spacing w:after="210"/>
      </w:pPr>
      <w:r>
        <w:rPr>
          <w:b/>
        </w:rPr>
        <w:t>Document Version:</w:t>
      </w:r>
      <w:r>
        <w:t xml:space="preserve"> 1.0</w:t>
      </w:r>
      <w:r>
        <w:br w:type="textWrapping"/>
      </w:r>
      <w:r>
        <w:rPr>
          <w:b/>
        </w:rPr>
        <w:t>Date:</w:t>
      </w:r>
      <w:r>
        <w:t xml:space="preserve"> March 2026</w:t>
      </w:r>
      <w:r>
        <w:br w:type="textWrapping"/>
      </w:r>
      <w:r>
        <w:rPr>
          <w:b/>
        </w:rPr>
        <w:t>Classification:</w:t>
      </w:r>
      <w:r>
        <w:t xml:space="preserve"> Business Confidential</w:t>
      </w:r>
    </w:p>
    <w:p w14:paraId="5738C1FF">
      <w:r>
        <w:pict>
          <v:rect id="_x0000_i1025" o:spt="1" style="height:0.05pt;width:434.5pt;" coordsize="21600,21600" o:hr="t" o:hrstd="t" o:hralign="center">
            <v:path/>
            <v:fill focussize="0,0"/>
            <v:stroke/>
            <v:imagedata o:title=""/>
            <o:lock v:ext="edit"/>
            <w10:wrap type="none"/>
            <w10:anchorlock/>
          </v:rect>
        </w:pict>
      </w:r>
    </w:p>
    <w:p w14:paraId="18DCAC9F">
      <w:pPr>
        <w:spacing w:before="240" w:line="271" w:lineRule="auto"/>
      </w:pPr>
      <w:bookmarkStart w:id="1" w:name="executive_summary"/>
      <w:r>
        <w:rPr>
          <w:b/>
          <w:sz w:val="42"/>
        </w:rPr>
        <w:t>Executive Summary</w:t>
      </w:r>
      <w:bookmarkEnd w:id="1"/>
    </w:p>
    <w:p w14:paraId="111FC907">
      <w:pPr>
        <w:spacing w:after="210"/>
      </w:pPr>
      <w:r>
        <w:t xml:space="preserve">Green Africa Hub Ltd is a newly incorporated UK social enterprise addressing a critical market gap: </w:t>
      </w:r>
      <w:r>
        <w:rPr>
          <w:b/>
        </w:rPr>
        <w:t>African and Caribbean communities are disproportionately affected by fuel poverty and lack access to culturally appropriate sustainable cooking technology.</w:t>
      </w:r>
    </w:p>
    <w:p w14:paraId="31F94B9D">
      <w:pPr>
        <w:spacing w:after="210"/>
      </w:pPr>
      <w:r>
        <w:t xml:space="preserve">Through 18 months of pre-incorporation research and recipe development, founder Grace Tuase (Chartered Manager, MSc Financial Technology, 14 years financial leadership experience) has created a proprietary </w:t>
      </w:r>
      <w:r>
        <w:rPr>
          <w:b/>
        </w:rPr>
        <w:t>Smart-Prep methodology</w:t>
      </w:r>
      <w:r>
        <w:t xml:space="preserve"> that adapts traditional African and Caribbean recipes for energy-efficient induction cooking using the Magimix Cook Expert appliance.</w:t>
      </w:r>
    </w:p>
    <w:p w14:paraId="45C8E066">
      <w:pPr>
        <w:spacing w:after="210"/>
      </w:pPr>
      <w:r>
        <w:t>The business operates a hybrid model combining:</w:t>
      </w:r>
    </w:p>
    <w:p w14:paraId="5B009B72">
      <w:pPr>
        <w:numPr>
          <w:ilvl w:val="0"/>
          <w:numId w:val="1"/>
        </w:numPr>
      </w:pPr>
      <w:r>
        <w:t>In-person cooking sessions at a Bristol Smart Kitchen Hub</w:t>
      </w:r>
    </w:p>
    <w:p w14:paraId="01B42D0A">
      <w:pPr>
        <w:numPr>
          <w:ilvl w:val="0"/>
          <w:numId w:val="1"/>
        </w:numPr>
      </w:pPr>
      <w:r>
        <w:t>Digital learning subscriptions (national reach)</w:t>
      </w:r>
    </w:p>
    <w:p w14:paraId="53FE0AFE">
      <w:pPr>
        <w:numPr>
          <w:ilvl w:val="0"/>
          <w:numId w:val="1"/>
        </w:numPr>
      </w:pPr>
      <w:r>
        <w:t>Kitchen memberships for micro-caterers</w:t>
      </w:r>
    </w:p>
    <w:p w14:paraId="2241D5DE">
      <w:pPr>
        <w:numPr>
          <w:ilvl w:val="0"/>
          <w:numId w:val="1"/>
        </w:numPr>
      </w:pPr>
      <w:r>
        <w:t>Equipment referral commissions</w:t>
      </w:r>
    </w:p>
    <w:p w14:paraId="16ECBCEA">
      <w:pPr>
        <w:numPr>
          <w:ilvl w:val="0"/>
          <w:numId w:val="1"/>
        </w:numPr>
      </w:pPr>
      <w:r>
        <w:t>B2B sustainability consulting for institutions</w:t>
      </w:r>
    </w:p>
    <w:p w14:paraId="714AE3A8">
      <w:pPr>
        <w:spacing w:after="210"/>
      </w:pPr>
      <w:r>
        <w:rPr>
          <w:b/>
        </w:rPr>
        <w:t>Market Opportunity:</w:t>
      </w:r>
      <w:r>
        <w:br w:type="textWrapping"/>
      </w:r>
      <w:r>
        <w:t>The UK African and Caribbean diaspora (1.5 million people) experiences fuel poverty at rates 2x the national average. Gas cooking produces high carbon emissions and rising energy costs threaten the economic viability of cultural food traditions. No existing solution addresses this community's specific needs.</w:t>
      </w:r>
    </w:p>
    <w:p w14:paraId="0788B370">
      <w:pPr>
        <w:spacing w:after="210"/>
      </w:pPr>
      <w:r>
        <w:rPr>
          <w:b/>
        </w:rPr>
        <w:t>Competitive Advantage:</w:t>
      </w:r>
      <w:r>
        <w:br w:type="textWrapping"/>
      </w:r>
      <w:r>
        <w:t>Green Africa Hub is the first and only organi</w:t>
      </w:r>
      <w:r>
        <w:rPr>
          <w:rFonts w:hint="default"/>
          <w:lang w:val="en-GB"/>
        </w:rPr>
        <w:t>s</w:t>
      </w:r>
      <w:r>
        <w:t>ation combining cultural expertise, technical innovation (AI carbon tracking), institutional partnerships (WECA-funded Future Leap, NHS engagement), and a completed cookbook of 11 tested recipes optimi</w:t>
      </w:r>
      <w:r>
        <w:rPr>
          <w:rFonts w:hint="default"/>
          <w:lang w:val="en-GB"/>
        </w:rPr>
        <w:t>s</w:t>
      </w:r>
      <w:r>
        <w:t>ed for the Cook Expert.</w:t>
      </w:r>
    </w:p>
    <w:p w14:paraId="607FA128">
      <w:pPr>
        <w:spacing w:after="210"/>
      </w:pPr>
      <w:r>
        <w:rPr>
          <w:b/>
        </w:rPr>
        <w:t>Financial Projections:</w:t>
      </w:r>
    </w:p>
    <w:p w14:paraId="4AC57620">
      <w:pPr>
        <w:numPr>
          <w:ilvl w:val="0"/>
          <w:numId w:val="2"/>
        </w:numPr>
      </w:pPr>
      <w:r>
        <w:rPr>
          <w:rFonts w:ascii="Georgia" w:hAnsi="Georgia" w:eastAsia="Georgia" w:cs="Georgia"/>
        </w:rPr>
        <w:t>Year 1: £28,200 revenue (pilot phase)</w:t>
      </w:r>
    </w:p>
    <w:p w14:paraId="03B0952B">
      <w:pPr>
        <w:numPr>
          <w:ilvl w:val="0"/>
          <w:numId w:val="2"/>
        </w:numPr>
      </w:pPr>
      <w:r>
        <w:rPr>
          <w:rFonts w:ascii="Georgia" w:hAnsi="Georgia" w:eastAsia="Georgia" w:cs="Georgia"/>
        </w:rPr>
        <w:t>Year 2: £87,500 (210% growth)</w:t>
      </w:r>
    </w:p>
    <w:p w14:paraId="4939FD5D">
      <w:pPr>
        <w:numPr>
          <w:ilvl w:val="0"/>
          <w:numId w:val="2"/>
        </w:numPr>
      </w:pPr>
      <w:r>
        <w:rPr>
          <w:rFonts w:ascii="Georgia" w:hAnsi="Georgia" w:eastAsia="Georgia" w:cs="Georgia"/>
        </w:rPr>
        <w:t>Year 3: £152,000 (74% growth from Year 2)</w:t>
      </w:r>
    </w:p>
    <w:p w14:paraId="3928E9B5">
      <w:pPr>
        <w:spacing w:after="210"/>
      </w:pPr>
      <w:r>
        <w:rPr>
          <w:b/>
        </w:rPr>
        <w:t>Funding Status:</w:t>
      </w:r>
      <w:r>
        <w:br w:type="textWrapping"/>
      </w:r>
      <w:r>
        <w:rPr>
          <w:rFonts w:ascii="Georgia" w:hAnsi="Georgia" w:eastAsia="Georgia" w:cs="Georgia"/>
        </w:rPr>
        <w:t>Bootstrapped to date. Grant applications in preparation targeting £125,000+ from Innovate UK, UKSPF, WECA Green Economy Fund, and National Lottery.</w:t>
      </w:r>
    </w:p>
    <w:p w14:paraId="4D5B2221">
      <w:pPr>
        <w:spacing w:after="210"/>
      </w:pPr>
      <w:r>
        <w:rPr>
          <w:b/>
        </w:rPr>
        <w:t>Mission:</w:t>
      </w:r>
      <w:r>
        <w:br w:type="textWrapping"/>
      </w:r>
      <w:r>
        <w:rPr>
          <w:rFonts w:ascii="Georgia" w:hAnsi="Georgia" w:eastAsia="Georgia" w:cs="Georgia"/>
        </w:rPr>
        <w:t>To ensure African and Caribbean communities lead — not follow — the UK's green transition, protecting cultural heritage while reducing energy costs and carbon emissions.</w:t>
      </w:r>
    </w:p>
    <w:p w14:paraId="41A558EE">
      <w:r>
        <w:pict>
          <v:rect id="_x0000_i1026" o:spt="1" style="height:0.05pt;width:434.5pt;" coordsize="21600,21600" o:hr="t" o:hrstd="t" o:hralign="center">
            <v:path/>
            <v:fill focussize="0,0"/>
            <v:stroke/>
            <v:imagedata o:title=""/>
            <o:lock v:ext="edit"/>
            <w10:wrap type="none"/>
            <w10:anchorlock/>
          </v:rect>
        </w:pict>
      </w:r>
    </w:p>
    <w:p w14:paraId="0B0CF0FE">
      <w:pPr>
        <w:spacing w:before="240" w:line="271" w:lineRule="auto"/>
      </w:pPr>
      <w:bookmarkStart w:id="2" w:name="bm_1_company_overview"/>
      <w:r>
        <w:rPr>
          <w:b/>
          <w:sz w:val="42"/>
        </w:rPr>
        <w:t>1. Company Overview</w:t>
      </w:r>
      <w:bookmarkEnd w:id="2"/>
    </w:p>
    <w:p w14:paraId="093697B9">
      <w:pPr>
        <w:spacing w:before="240" w:line="271" w:lineRule="auto"/>
      </w:pPr>
      <w:bookmarkStart w:id="3" w:name="bm_1_1_legal_structure"/>
      <w:r>
        <w:rPr>
          <w:b/>
          <w:sz w:val="33"/>
        </w:rPr>
        <w:t>1.1 Legal Structure</w:t>
      </w:r>
      <w:bookmarkEnd w:id="3"/>
    </w:p>
    <w:p w14:paraId="33C8108B">
      <w:pPr>
        <w:numPr>
          <w:ilvl w:val="0"/>
          <w:numId w:val="3"/>
        </w:numPr>
      </w:pPr>
      <w:r>
        <w:rPr>
          <w:b/>
        </w:rPr>
        <w:t>Registered Name:</w:t>
      </w:r>
      <w:r>
        <w:t xml:space="preserve"> Green Africa Hub Ltd</w:t>
      </w:r>
    </w:p>
    <w:p w14:paraId="13D09FE9">
      <w:pPr>
        <w:numPr>
          <w:ilvl w:val="0"/>
          <w:numId w:val="3"/>
        </w:numPr>
      </w:pPr>
      <w:r>
        <w:rPr>
          <w:b/>
        </w:rPr>
        <w:t>Company Number:</w:t>
      </w:r>
      <w:r>
        <w:t xml:space="preserve"> 17107299</w:t>
      </w:r>
    </w:p>
    <w:p w14:paraId="5B2DFE53">
      <w:pPr>
        <w:numPr>
          <w:ilvl w:val="0"/>
          <w:numId w:val="3"/>
        </w:numPr>
      </w:pPr>
      <w:r>
        <w:rPr>
          <w:b/>
        </w:rPr>
        <w:t>Incorporation Date:</w:t>
      </w:r>
      <w:r>
        <w:t xml:space="preserve"> 21 March 2026</w:t>
      </w:r>
    </w:p>
    <w:p w14:paraId="0B6DA17D">
      <w:pPr>
        <w:numPr>
          <w:ilvl w:val="0"/>
          <w:numId w:val="3"/>
        </w:numPr>
      </w:pPr>
      <w:r>
        <w:rPr>
          <w:b/>
        </w:rPr>
        <w:t>Jurisdiction:</w:t>
      </w:r>
      <w:r>
        <w:t xml:space="preserve"> England &amp; Wales</w:t>
      </w:r>
    </w:p>
    <w:p w14:paraId="02C9D110">
      <w:pPr>
        <w:numPr>
          <w:ilvl w:val="0"/>
          <w:numId w:val="3"/>
        </w:numPr>
      </w:pPr>
      <w:r>
        <w:rPr>
          <w:b/>
        </w:rPr>
        <w:t>Registered Office:</w:t>
      </w:r>
      <w:r>
        <w:t xml:space="preserve"> Bristol, United Kingdom</w:t>
      </w:r>
    </w:p>
    <w:p w14:paraId="1D54C973">
      <w:pPr>
        <w:numPr>
          <w:ilvl w:val="0"/>
          <w:numId w:val="3"/>
        </w:numPr>
      </w:pPr>
      <w:r>
        <w:rPr>
          <w:b/>
        </w:rPr>
        <w:t>Status:</w:t>
      </w:r>
      <w:r>
        <w:t xml:space="preserve"> Private limited company (active)</w:t>
      </w:r>
    </w:p>
    <w:p w14:paraId="728A59F2">
      <w:pPr>
        <w:spacing w:before="240" w:line="271" w:lineRule="auto"/>
      </w:pPr>
      <w:bookmarkStart w:id="4" w:name="bm_1_2_founder_leadership"/>
      <w:r>
        <w:rPr>
          <w:b/>
          <w:sz w:val="33"/>
        </w:rPr>
        <w:t>1.2 Founder &amp; Leadership</w:t>
      </w:r>
      <w:bookmarkEnd w:id="4"/>
    </w:p>
    <w:p w14:paraId="07C6DD11">
      <w:pPr>
        <w:spacing w:after="210"/>
      </w:pPr>
      <w:r>
        <w:rPr>
          <w:b/>
        </w:rPr>
        <w:t>Grace Omotuase — Founder &amp; CEO</w:t>
      </w:r>
    </w:p>
    <w:p w14:paraId="42369D57">
      <w:pPr>
        <w:spacing w:after="210"/>
      </w:pPr>
      <w:r>
        <w:rPr>
          <w:b/>
        </w:rPr>
        <w:t>Qualifications:</w:t>
      </w:r>
    </w:p>
    <w:p w14:paraId="4F54F2A1">
      <w:pPr>
        <w:numPr>
          <w:ilvl w:val="0"/>
          <w:numId w:val="4"/>
        </w:numPr>
      </w:pPr>
      <w:r>
        <w:rPr>
          <w:rFonts w:ascii="Georgia" w:hAnsi="Georgia" w:eastAsia="Georgia" w:cs="Georgia"/>
        </w:rPr>
        <w:t>Chartered Manager (CMgr) — Chartered Management Institute</w:t>
      </w:r>
    </w:p>
    <w:p w14:paraId="66B88321">
      <w:pPr>
        <w:numPr>
          <w:ilvl w:val="0"/>
          <w:numId w:val="4"/>
        </w:numPr>
      </w:pPr>
      <w:r>
        <w:t>MSc Financial Technology</w:t>
      </w:r>
    </w:p>
    <w:p w14:paraId="47F5D9A6">
      <w:pPr>
        <w:numPr>
          <w:ilvl w:val="0"/>
          <w:numId w:val="4"/>
        </w:numPr>
      </w:pPr>
      <w:r>
        <w:rPr>
          <w:rFonts w:ascii="Georgia" w:hAnsi="Georgia" w:eastAsia="Georgia" w:cs="Georgia"/>
        </w:rPr>
        <w:t>Data Science Certificate — University of Texas at Austin</w:t>
      </w:r>
    </w:p>
    <w:p w14:paraId="4EB7759B">
      <w:pPr>
        <w:numPr>
          <w:ilvl w:val="0"/>
          <w:numId w:val="4"/>
        </w:numPr>
      </w:pPr>
      <w:r>
        <w:t>Professional Cookery qualification</w:t>
      </w:r>
    </w:p>
    <w:p w14:paraId="180CA14F">
      <w:pPr>
        <w:numPr>
          <w:ilvl w:val="0"/>
          <w:numId w:val="4"/>
        </w:numPr>
      </w:pPr>
      <w:r>
        <w:t>CIMA Management Level</w:t>
      </w:r>
    </w:p>
    <w:p w14:paraId="2A8614B6">
      <w:pPr>
        <w:numPr>
          <w:ilvl w:val="0"/>
          <w:numId w:val="4"/>
        </w:numPr>
      </w:pPr>
      <w:r>
        <w:t>CMI Level 5 Leadership &amp; Management</w:t>
      </w:r>
    </w:p>
    <w:p w14:paraId="6435442B">
      <w:pPr>
        <w:numPr>
          <w:ilvl w:val="0"/>
          <w:numId w:val="4"/>
        </w:numPr>
      </w:pPr>
      <w:r>
        <w:t>IBM AI Fundamentals</w:t>
      </w:r>
    </w:p>
    <w:p w14:paraId="28A00572">
      <w:pPr>
        <w:spacing w:after="210"/>
      </w:pPr>
      <w:r>
        <w:rPr>
          <w:b/>
        </w:rPr>
        <w:t>Professional Background:</w:t>
      </w:r>
    </w:p>
    <w:p w14:paraId="0E548163">
      <w:pPr>
        <w:numPr>
          <w:ilvl w:val="0"/>
          <w:numId w:val="5"/>
        </w:numPr>
      </w:pPr>
      <w:r>
        <w:t>14 years financial leadership, including 12 years at Central Bank of Nigeria</w:t>
      </w:r>
    </w:p>
    <w:p w14:paraId="3B6DB0A4">
      <w:pPr>
        <w:numPr>
          <w:ilvl w:val="0"/>
          <w:numId w:val="5"/>
        </w:numPr>
      </w:pPr>
      <w:r>
        <w:t>Managed teams of 30+ staff</w:t>
      </w:r>
    </w:p>
    <w:p w14:paraId="4AEFD6A9">
      <w:pPr>
        <w:numPr>
          <w:ilvl w:val="0"/>
          <w:numId w:val="5"/>
        </w:numPr>
      </w:pPr>
      <w:r>
        <w:rPr>
          <w:rFonts w:ascii="Georgia" w:hAnsi="Georgia" w:eastAsia="Georgia" w:cs="Georgia"/>
        </w:rPr>
        <w:t>Oversaw programmes exceeding £300 million</w:t>
      </w:r>
    </w:p>
    <w:p w14:paraId="1A4A1AC2">
      <w:pPr>
        <w:numPr>
          <w:ilvl w:val="0"/>
          <w:numId w:val="5"/>
        </w:numPr>
      </w:pPr>
      <w:r>
        <w:t>Specialist expertise in financial technology, data analytics, and sustainability</w:t>
      </w:r>
    </w:p>
    <w:p w14:paraId="2A36C454">
      <w:pPr>
        <w:spacing w:after="210"/>
      </w:pPr>
      <w:r>
        <w:rPr>
          <w:b/>
        </w:rPr>
        <w:t>Relevant Skills:</w:t>
      </w:r>
    </w:p>
    <w:p w14:paraId="7062FD47">
      <w:pPr>
        <w:numPr>
          <w:ilvl w:val="0"/>
          <w:numId w:val="6"/>
        </w:numPr>
      </w:pPr>
      <w:r>
        <w:t>AI/ML development (Python, scikit-learn, Power BI)</w:t>
      </w:r>
    </w:p>
    <w:p w14:paraId="5C3DFF29">
      <w:pPr>
        <w:numPr>
          <w:ilvl w:val="0"/>
          <w:numId w:val="6"/>
        </w:numPr>
      </w:pPr>
      <w:r>
        <w:t>African and Caribbean culinary traditions (lived experience + professional training)</w:t>
      </w:r>
    </w:p>
    <w:p w14:paraId="7B924073">
      <w:pPr>
        <w:numPr>
          <w:ilvl w:val="0"/>
          <w:numId w:val="6"/>
        </w:numPr>
      </w:pPr>
      <w:r>
        <w:t>Financial modelling and business strategy</w:t>
      </w:r>
    </w:p>
    <w:p w14:paraId="0C3CF261">
      <w:pPr>
        <w:numPr>
          <w:ilvl w:val="0"/>
          <w:numId w:val="6"/>
        </w:numPr>
      </w:pPr>
      <w:r>
        <w:t>Community engagement and cultural awareness</w:t>
      </w:r>
    </w:p>
    <w:p w14:paraId="7D3233AB">
      <w:pPr>
        <w:spacing w:after="210"/>
      </w:pPr>
      <w:r>
        <w:t>Grace developed the Smart-Prep methodology and AI carbon tracking dashboard personally during 18 months of pre-incorporation R&amp;D.</w:t>
      </w:r>
    </w:p>
    <w:p w14:paraId="5B3E4E33">
      <w:pPr>
        <w:spacing w:before="240" w:line="271" w:lineRule="auto"/>
      </w:pPr>
      <w:bookmarkStart w:id="5" w:name="bm_1_3_mission_vision"/>
      <w:r>
        <w:rPr>
          <w:b/>
          <w:sz w:val="33"/>
        </w:rPr>
        <w:t>1.3 Mission &amp; Vision</w:t>
      </w:r>
      <w:bookmarkEnd w:id="5"/>
    </w:p>
    <w:p w14:paraId="5781572A">
      <w:pPr>
        <w:spacing w:after="210"/>
      </w:pPr>
      <w:r>
        <w:rPr>
          <w:b/>
        </w:rPr>
        <w:t>Mission:</w:t>
      </w:r>
      <w:r>
        <w:br w:type="textWrapping"/>
      </w:r>
      <w:r>
        <w:rPr>
          <w:rFonts w:ascii="Georgia" w:hAnsi="Georgia" w:eastAsia="Georgia" w:cs="Georgia"/>
        </w:rPr>
        <w:t>Sustainability is everyone's business — and should be in the business of everyone. Green Africa Hub exists to ensure Black communities are not just part of the green transition, but leading it — protecting heritage, powering the future, and making the planet better for children, communities, and all.</w:t>
      </w:r>
    </w:p>
    <w:p w14:paraId="3993A14F">
      <w:pPr>
        <w:spacing w:after="210"/>
      </w:pPr>
      <w:r>
        <w:rPr>
          <w:b/>
        </w:rPr>
        <w:t>Vision:</w:t>
      </w:r>
      <w:r>
        <w:br w:type="textWrapping"/>
      </w:r>
      <w:r>
        <w:t>To be the leading African and Caribbean sustainable food technology hub in the UK, recogni</w:t>
      </w:r>
      <w:r>
        <w:rPr>
          <w:rFonts w:hint="default"/>
          <w:lang w:val="en-GB"/>
        </w:rPr>
        <w:t>s</w:t>
      </w:r>
      <w:r>
        <w:t>ed for measurable carbon reduction, empowered communities, and commercially successful green food enterprises.</w:t>
      </w:r>
    </w:p>
    <w:p w14:paraId="70A5B27A">
      <w:r>
        <w:pict>
          <v:rect id="_x0000_i1027" o:spt="1" style="height:0.05pt;width:434.5pt;" coordsize="21600,21600" o:hr="t" o:hrstd="t" o:hralign="center">
            <v:path/>
            <v:fill focussize="0,0"/>
            <v:stroke/>
            <v:imagedata o:title=""/>
            <o:lock v:ext="edit"/>
            <w10:wrap type="none"/>
            <w10:anchorlock/>
          </v:rect>
        </w:pict>
      </w:r>
    </w:p>
    <w:p w14:paraId="79DBAA4C">
      <w:pPr>
        <w:spacing w:before="240" w:line="271" w:lineRule="auto"/>
      </w:pPr>
      <w:bookmarkStart w:id="6" w:name="bm_2_problem_market_opportunity"/>
      <w:r>
        <w:rPr>
          <w:b/>
          <w:sz w:val="42"/>
        </w:rPr>
        <w:t>2. Problem &amp; Market Opportunity</w:t>
      </w:r>
      <w:bookmarkEnd w:id="6"/>
    </w:p>
    <w:p w14:paraId="79950600">
      <w:pPr>
        <w:spacing w:before="240" w:line="271" w:lineRule="auto"/>
      </w:pPr>
      <w:bookmarkStart w:id="7" w:name="bm_2_1_the_problem"/>
      <w:r>
        <w:rPr>
          <w:b/>
          <w:sz w:val="33"/>
        </w:rPr>
        <w:t>2.1 The Problem</w:t>
      </w:r>
      <w:bookmarkEnd w:id="7"/>
    </w:p>
    <w:p w14:paraId="582A2B4C">
      <w:pPr>
        <w:spacing w:after="210"/>
      </w:pPr>
      <w:r>
        <w:t>African and Caribbean households and micro-food businesses in the UK face four interconnected challenges:</w:t>
      </w:r>
    </w:p>
    <w:tbl>
      <w:tblPr>
        <w:tblStyle w:val="5"/>
        <w:tblW w:w="0" w:type="auto"/>
        <w:jc w:val="center"/>
        <w:tblCellSpacing w:w="0" w:type="dxa"/>
        <w:tblLayout w:type="autofit"/>
        <w:tblCellMar>
          <w:top w:w="80" w:type="dxa"/>
          <w:left w:w="160" w:type="dxa"/>
          <w:bottom w:w="80" w:type="dxa"/>
          <w:right w:w="160" w:type="dxa"/>
        </w:tblCellMar>
      </w:tblPr>
      <w:tblGrid>
        <w:gridCol w:w="1764"/>
        <w:gridCol w:w="7286"/>
      </w:tblGrid>
      <w:tr w14:paraId="0D4D4E55">
        <w:tblPrEx>
          <w:tblCellMar>
            <w:top w:w="80" w:type="dxa"/>
            <w:left w:w="160" w:type="dxa"/>
            <w:bottom w:w="80" w:type="dxa"/>
            <w:right w:w="160" w:type="dxa"/>
          </w:tblCellMar>
        </w:tblPrEx>
        <w:trPr>
          <w:cantSplit/>
          <w:tblCellSpacing w:w="0" w:type="dxa"/>
          <w:jc w:val="center"/>
        </w:trPr>
        <w:tc>
          <w:tcPr>
            <w:tcBorders>
              <w:top w:val="single" w:color="000000" w:sz="8" w:space="0"/>
              <w:left w:val="single" w:color="000000" w:sz="8" w:space="0"/>
              <w:bottom w:val="single" w:color="000000" w:sz="8" w:space="0"/>
              <w:right w:val="single" w:color="000000" w:sz="8" w:space="0"/>
            </w:tcBorders>
            <w:vAlign w:val="center"/>
          </w:tcPr>
          <w:p w14:paraId="04FE3CB0">
            <w:pPr>
              <w:spacing w:after="0" w:line="240" w:lineRule="auto"/>
              <w:jc w:val="left"/>
            </w:pPr>
            <w:r>
              <w:rPr>
                <w:b/>
              </w:rPr>
              <w:t>Challenge</w:t>
            </w:r>
          </w:p>
        </w:tc>
        <w:tc>
          <w:tcPr>
            <w:tcBorders>
              <w:top w:val="single" w:color="000000" w:sz="8" w:space="0"/>
              <w:bottom w:val="single" w:color="000000" w:sz="8" w:space="0"/>
              <w:right w:val="single" w:color="000000" w:sz="8" w:space="0"/>
            </w:tcBorders>
            <w:vAlign w:val="top"/>
          </w:tcPr>
          <w:p w14:paraId="76109C3C">
            <w:pPr>
              <w:spacing w:after="0" w:line="240" w:lineRule="auto"/>
              <w:jc w:val="left"/>
            </w:pPr>
            <w:r>
              <w:rPr>
                <w:b/>
              </w:rPr>
              <w:t>Description</w:t>
            </w:r>
          </w:p>
        </w:tc>
      </w:tr>
      <w:tr w14:paraId="2865E71D">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640A7E5E">
            <w:pPr>
              <w:spacing w:after="0" w:line="240" w:lineRule="auto"/>
              <w:jc w:val="left"/>
            </w:pPr>
            <w:r>
              <w:t>Rising Energy Costs</w:t>
            </w:r>
          </w:p>
        </w:tc>
        <w:tc>
          <w:tcPr>
            <w:tcBorders>
              <w:bottom w:val="single" w:color="000000" w:sz="8" w:space="0"/>
              <w:right w:val="single" w:color="000000" w:sz="8" w:space="0"/>
            </w:tcBorders>
            <w:vAlign w:val="top"/>
          </w:tcPr>
          <w:p w14:paraId="77B2F93E">
            <w:pPr>
              <w:spacing w:after="0" w:line="240" w:lineRule="auto"/>
              <w:jc w:val="left"/>
            </w:pPr>
            <w:r>
              <w:rPr>
                <w:rFonts w:ascii="Georgia" w:hAnsi="Georgia" w:eastAsia="Georgia" w:cs="Georgia"/>
              </w:rPr>
              <w:t>Traditional African/Caribbean cooking relies on gas for extended high-heat methods. With UK gas prices rising 40%+ since 2021, small caterers and households face unmanageable costs. Average energy bills: £2,400–£3,200 annually (40% above national average).</w:t>
            </w:r>
          </w:p>
        </w:tc>
      </w:tr>
      <w:tr w14:paraId="75BD4D6D">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7D9A841A">
            <w:pPr>
              <w:spacing w:after="0" w:line="240" w:lineRule="auto"/>
              <w:jc w:val="left"/>
            </w:pPr>
            <w:r>
              <w:t>High Carbon Footprint</w:t>
            </w:r>
          </w:p>
        </w:tc>
        <w:tc>
          <w:tcPr>
            <w:tcBorders>
              <w:bottom w:val="single" w:color="000000" w:sz="8" w:space="0"/>
              <w:right w:val="single" w:color="000000" w:sz="8" w:space="0"/>
            </w:tcBorders>
            <w:vAlign w:val="top"/>
          </w:tcPr>
          <w:p w14:paraId="7B5C1F75">
            <w:pPr>
              <w:spacing w:after="0" w:line="240" w:lineRule="auto"/>
              <w:jc w:val="left"/>
            </w:pPr>
            <w:r>
              <w:t>Gas cooking produces significant Scope 1 emissions. Imported ingredients create Scope 3 supply chain emissions. Neither is tracked or managed by community caterers. 78% still use gas cooking.</w:t>
            </w:r>
          </w:p>
        </w:tc>
      </w:tr>
      <w:tr w14:paraId="2AB8623B">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7365A05F">
            <w:pPr>
              <w:spacing w:after="0" w:line="240" w:lineRule="auto"/>
              <w:jc w:val="left"/>
            </w:pPr>
            <w:r>
              <w:t>Exclusion from Green Tech</w:t>
            </w:r>
          </w:p>
        </w:tc>
        <w:tc>
          <w:tcPr>
            <w:tcBorders>
              <w:bottom w:val="single" w:color="000000" w:sz="8" w:space="0"/>
              <w:right w:val="single" w:color="000000" w:sz="8" w:space="0"/>
            </w:tcBorders>
            <w:vAlign w:val="top"/>
          </w:tcPr>
          <w:p w14:paraId="10E569FB">
            <w:pPr>
              <w:spacing w:after="0" w:line="240" w:lineRule="auto"/>
              <w:jc w:val="left"/>
            </w:pPr>
            <w:r>
              <w:rPr>
                <w:rFonts w:ascii="Georgia" w:hAnsi="Georgia" w:eastAsia="Georgia" w:cs="Georgia"/>
              </w:rPr>
              <w:t>90% of small community caterers lack access to green kitchen technology. High upfront costs (£600–£1,500 for quality induction equipment) and no community-specific guidance create systemic barriers.</w:t>
            </w:r>
          </w:p>
        </w:tc>
      </w:tr>
      <w:tr w14:paraId="57978F89">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53CB4BE9">
            <w:pPr>
              <w:spacing w:after="0" w:line="240" w:lineRule="auto"/>
              <w:jc w:val="left"/>
            </w:pPr>
            <w:r>
              <w:t>Regulatory Pressure</w:t>
            </w:r>
          </w:p>
        </w:tc>
        <w:tc>
          <w:tcPr>
            <w:tcBorders>
              <w:bottom w:val="single" w:color="000000" w:sz="8" w:space="0"/>
              <w:right w:val="single" w:color="000000" w:sz="8" w:space="0"/>
            </w:tcBorders>
            <w:vAlign w:val="top"/>
          </w:tcPr>
          <w:p w14:paraId="4EA5D7BD">
            <w:pPr>
              <w:spacing w:after="0" w:line="240" w:lineRule="auto"/>
              <w:jc w:val="left"/>
            </w:pPr>
            <w:r>
              <w:t>UK Plastic Packaging Tax, Net Zero 2030 targets, and upcoming Scope 3 carbon reporting obligations increasingly penali</w:t>
            </w:r>
            <w:r>
              <w:rPr>
                <w:rFonts w:hint="default"/>
                <w:lang w:val="en-GB"/>
              </w:rPr>
              <w:t>s</w:t>
            </w:r>
            <w:r>
              <w:t>e businesses that fail to act. Community food enterprises risk non-compliance.</w:t>
            </w:r>
          </w:p>
        </w:tc>
      </w:tr>
    </w:tbl>
    <w:p w14:paraId="1D9E2EA7"/>
    <w:p w14:paraId="25EE0281">
      <w:pPr>
        <w:spacing w:after="210"/>
      </w:pPr>
      <w:r>
        <w:rPr>
          <w:b/>
        </w:rPr>
        <w:t>The Cultural Dimension:</w:t>
      </w:r>
      <w:r>
        <w:br w:type="textWrapping"/>
      </w:r>
      <w:r>
        <w:rPr>
          <w:rFonts w:ascii="Georgia" w:hAnsi="Georgia" w:eastAsia="Georgia" w:cs="Georgia"/>
        </w:rPr>
        <w:t>Many African and Caribbean cooks believe induction technology cannot replicate traditional cooking methods. This perception — combined with high costs and lack of trusted guidance — perpetuates gas dependency despite its economic and environmental costs.</w:t>
      </w:r>
    </w:p>
    <w:p w14:paraId="7BAF88D4">
      <w:pPr>
        <w:spacing w:before="240" w:line="271" w:lineRule="auto"/>
      </w:pPr>
      <w:bookmarkStart w:id="8" w:name="bm_2_2_market_size"/>
      <w:r>
        <w:rPr>
          <w:b/>
          <w:sz w:val="33"/>
        </w:rPr>
        <w:t>2.2 Market Size</w:t>
      </w:r>
      <w:bookmarkEnd w:id="8"/>
    </w:p>
    <w:p w14:paraId="0637862E">
      <w:pPr>
        <w:spacing w:after="210"/>
      </w:pPr>
      <w:r>
        <w:rPr>
          <w:b/>
        </w:rPr>
        <w:t>Primary Market — UK African &amp; Caribbean Diaspora:</w:t>
      </w:r>
    </w:p>
    <w:p w14:paraId="3DAFEBA1">
      <w:pPr>
        <w:numPr>
          <w:ilvl w:val="0"/>
          <w:numId w:val="7"/>
        </w:numPr>
      </w:pPr>
      <w:r>
        <w:rPr>
          <w:rFonts w:ascii="Georgia" w:hAnsi="Georgia" w:eastAsia="Georgia" w:cs="Georgia"/>
        </w:rPr>
        <w:t>Total population: ~1.5 million (2021 Census)</w:t>
      </w:r>
    </w:p>
    <w:p w14:paraId="093C3BBA">
      <w:pPr>
        <w:numPr>
          <w:ilvl w:val="0"/>
          <w:numId w:val="7"/>
        </w:numPr>
      </w:pPr>
      <w:r>
        <w:rPr>
          <w:rFonts w:ascii="Georgia" w:hAnsi="Georgia" w:eastAsia="Georgia" w:cs="Georgia"/>
        </w:rPr>
        <w:t>Households: ~500,000</w:t>
      </w:r>
    </w:p>
    <w:p w14:paraId="3464B839">
      <w:pPr>
        <w:numPr>
          <w:ilvl w:val="0"/>
          <w:numId w:val="7"/>
        </w:numPr>
      </w:pPr>
      <w:r>
        <w:rPr>
          <w:rFonts w:ascii="Georgia" w:hAnsi="Georgia" w:eastAsia="Georgia" w:cs="Georgia"/>
        </w:rPr>
        <w:t>Fuel poverty rate: 25–30% (vs 13% national average)</w:t>
      </w:r>
    </w:p>
    <w:p w14:paraId="79CCEDFA">
      <w:pPr>
        <w:numPr>
          <w:ilvl w:val="0"/>
          <w:numId w:val="7"/>
        </w:numPr>
      </w:pPr>
      <w:r>
        <w:t xml:space="preserve">Addressable market (fuel-poor households actively seeking solutions): </w:t>
      </w:r>
      <w:r>
        <w:rPr>
          <w:b/>
        </w:rPr>
        <w:t>75,000+ households</w:t>
      </w:r>
    </w:p>
    <w:p w14:paraId="7D781A48">
      <w:pPr>
        <w:spacing w:after="210"/>
      </w:pPr>
      <w:r>
        <w:rPr>
          <w:b/>
        </w:rPr>
        <w:t>Secondary Market — Institutional Buyers:</w:t>
      </w:r>
    </w:p>
    <w:p w14:paraId="61A3C83C">
      <w:pPr>
        <w:numPr>
          <w:ilvl w:val="0"/>
          <w:numId w:val="8"/>
        </w:numPr>
      </w:pPr>
      <w:r>
        <w:t>Schools, NHS trusts, local authorities seeking culturally relevant Net Zero engagement programmes</w:t>
      </w:r>
    </w:p>
    <w:p w14:paraId="368E14BB">
      <w:pPr>
        <w:numPr>
          <w:ilvl w:val="0"/>
          <w:numId w:val="8"/>
        </w:numPr>
      </w:pPr>
      <w:r>
        <w:t>Community organi</w:t>
      </w:r>
      <w:r>
        <w:rPr>
          <w:rFonts w:hint="default"/>
          <w:lang w:val="en-GB"/>
        </w:rPr>
        <w:t>s</w:t>
      </w:r>
      <w:r>
        <w:t>ations requiring sustainability education</w:t>
      </w:r>
      <w:r>
        <w:rPr>
          <w:rFonts w:hint="default"/>
          <w:lang w:val="en-GB"/>
        </w:rPr>
        <w:t>.</w:t>
      </w:r>
    </w:p>
    <w:p w14:paraId="5D063F51">
      <w:pPr>
        <w:numPr>
          <w:ilvl w:val="0"/>
          <w:numId w:val="8"/>
        </w:numPr>
      </w:pPr>
      <w:r>
        <w:t>Food businesses needing carbon measurement tools</w:t>
      </w:r>
      <w:r>
        <w:rPr>
          <w:rFonts w:hint="default"/>
          <w:lang w:val="en-GB"/>
        </w:rPr>
        <w:t>.</w:t>
      </w:r>
      <w:bookmarkStart w:id="29" w:name="_GoBack"/>
      <w:bookmarkEnd w:id="29"/>
    </w:p>
    <w:p w14:paraId="6AA42F24">
      <w:pPr>
        <w:spacing w:after="210"/>
      </w:pPr>
      <w:r>
        <w:rPr>
          <w:b/>
        </w:rPr>
        <w:t>Market Value:</w:t>
      </w:r>
    </w:p>
    <w:p w14:paraId="7922DF21">
      <w:pPr>
        <w:numPr>
          <w:ilvl w:val="0"/>
          <w:numId w:val="9"/>
        </w:numPr>
      </w:pPr>
      <w:r>
        <w:rPr>
          <w:rFonts w:ascii="Georgia" w:hAnsi="Georgia" w:eastAsia="Georgia" w:cs="Georgia"/>
        </w:rPr>
        <w:t>UK sustainable food market: £14 billion+ (2024)</w:t>
      </w:r>
    </w:p>
    <w:p w14:paraId="06B232C5">
      <w:pPr>
        <w:numPr>
          <w:ilvl w:val="0"/>
          <w:numId w:val="9"/>
        </w:numPr>
      </w:pPr>
      <w:r>
        <w:rPr>
          <w:rFonts w:ascii="Georgia" w:hAnsi="Georgia" w:eastAsia="Georgia" w:cs="Georgia"/>
        </w:rPr>
        <w:t>African/Caribbean diaspora food spending: £3.5 billion annually (estimated)</w:t>
      </w:r>
    </w:p>
    <w:p w14:paraId="1ADA4D92">
      <w:pPr>
        <w:numPr>
          <w:ilvl w:val="0"/>
          <w:numId w:val="9"/>
        </w:numPr>
      </w:pPr>
      <w:r>
        <w:rPr>
          <w:rFonts w:ascii="Georgia" w:hAnsi="Georgia" w:eastAsia="Georgia" w:cs="Georgia"/>
        </w:rPr>
        <w:t>Appliance market opportunity (75,000 households × £750 Cook Expert): £56 million total addressable market</w:t>
      </w:r>
    </w:p>
    <w:p w14:paraId="4668F727">
      <w:pPr>
        <w:spacing w:before="240" w:line="271" w:lineRule="auto"/>
      </w:pPr>
      <w:bookmarkStart w:id="9" w:name="bm_2_3_market_timing"/>
      <w:r>
        <w:rPr>
          <w:b/>
          <w:sz w:val="33"/>
        </w:rPr>
        <w:t>2.3 Market Timing</w:t>
      </w:r>
      <w:bookmarkEnd w:id="9"/>
    </w:p>
    <w:p w14:paraId="5155D579">
      <w:pPr>
        <w:spacing w:after="210"/>
      </w:pPr>
      <w:r>
        <w:rPr>
          <w:b/>
        </w:rPr>
        <w:t>Policy Drivers:</w:t>
      </w:r>
    </w:p>
    <w:p w14:paraId="4C3D7734">
      <w:pPr>
        <w:numPr>
          <w:ilvl w:val="0"/>
          <w:numId w:val="10"/>
        </w:numPr>
      </w:pPr>
      <w:r>
        <w:t>UK Net Zero 2030 targets</w:t>
      </w:r>
    </w:p>
    <w:p w14:paraId="0184059A">
      <w:pPr>
        <w:numPr>
          <w:ilvl w:val="0"/>
          <w:numId w:val="10"/>
        </w:numPr>
      </w:pPr>
      <w:r>
        <w:rPr>
          <w:rFonts w:ascii="Georgia" w:hAnsi="Georgia" w:eastAsia="Georgia" w:cs="Georgia"/>
        </w:rPr>
        <w:t>Plastic Packaging Tax (£200/tonne since 2022)</w:t>
      </w:r>
    </w:p>
    <w:p w14:paraId="20637C22">
      <w:pPr>
        <w:numPr>
          <w:ilvl w:val="0"/>
          <w:numId w:val="10"/>
        </w:numPr>
      </w:pPr>
      <w:r>
        <w:t>Energy Crisis Action Group recommendations (2025)</w:t>
      </w:r>
    </w:p>
    <w:p w14:paraId="5B2F570F">
      <w:pPr>
        <w:numPr>
          <w:ilvl w:val="0"/>
          <w:numId w:val="10"/>
        </w:numPr>
      </w:pPr>
      <w:r>
        <w:t>Local authority green economy funding availability</w:t>
      </w:r>
    </w:p>
    <w:p w14:paraId="5012440E">
      <w:pPr>
        <w:spacing w:after="210"/>
      </w:pPr>
      <w:r>
        <w:rPr>
          <w:b/>
        </w:rPr>
        <w:t>Consumer Trends:</w:t>
      </w:r>
    </w:p>
    <w:p w14:paraId="1D3D485D">
      <w:pPr>
        <w:numPr>
          <w:ilvl w:val="0"/>
          <w:numId w:val="11"/>
        </w:numPr>
      </w:pPr>
      <w:r>
        <w:t>Growing demand for sustainability-credentialled brands</w:t>
      </w:r>
    </w:p>
    <w:p w14:paraId="3F2ADAE9">
      <w:pPr>
        <w:numPr>
          <w:ilvl w:val="0"/>
          <w:numId w:val="11"/>
        </w:numPr>
      </w:pPr>
      <w:r>
        <w:t>Increased awareness of fuel poverty in ethnic minority communities</w:t>
      </w:r>
    </w:p>
    <w:p w14:paraId="4C8008FC">
      <w:pPr>
        <w:numPr>
          <w:ilvl w:val="0"/>
          <w:numId w:val="11"/>
        </w:numPr>
      </w:pPr>
      <w:r>
        <w:t>Rising interest in culturally adapted climate solutions</w:t>
      </w:r>
    </w:p>
    <w:p w14:paraId="73D1E08F">
      <w:pPr>
        <w:spacing w:after="210"/>
      </w:pPr>
      <w:r>
        <w:rPr>
          <w:b/>
        </w:rPr>
        <w:t>Competitive Landscape:</w:t>
      </w:r>
      <w:r>
        <w:br w:type="textWrapping"/>
      </w:r>
      <w:r>
        <w:t>No direct competitors exist. Green Africa Hub is the first African and Caribbean sustainable food technology hub in the UK.</w:t>
      </w:r>
    </w:p>
    <w:p w14:paraId="2C7A8ABA">
      <w:r>
        <w:pict>
          <v:rect id="_x0000_i1028" o:spt="1" style="height:0.05pt;width:434.5pt;" coordsize="21600,21600" o:hr="t" o:hrstd="t" o:hralign="center">
            <v:path/>
            <v:fill focussize="0,0"/>
            <v:stroke/>
            <v:imagedata o:title=""/>
            <o:lock v:ext="edit"/>
            <w10:wrap type="none"/>
            <w10:anchorlock/>
          </v:rect>
        </w:pict>
      </w:r>
    </w:p>
    <w:p w14:paraId="57E02BEC">
      <w:pPr>
        <w:spacing w:before="240" w:line="271" w:lineRule="auto"/>
      </w:pPr>
      <w:bookmarkStart w:id="10" w:name="bm_3_solution_value_proposition"/>
      <w:r>
        <w:rPr>
          <w:b/>
          <w:sz w:val="42"/>
        </w:rPr>
        <w:t>3. Solution &amp; Value Proposition</w:t>
      </w:r>
      <w:bookmarkEnd w:id="10"/>
    </w:p>
    <w:p w14:paraId="63375977">
      <w:pPr>
        <w:spacing w:before="240" w:line="271" w:lineRule="auto"/>
      </w:pPr>
      <w:bookmarkStart w:id="11" w:name="bm_3_1_the_smart_prep_methodology"/>
      <w:r>
        <w:rPr>
          <w:b/>
          <w:sz w:val="33"/>
        </w:rPr>
        <w:t>3.1 The Smart-Prep Methodology</w:t>
      </w:r>
      <w:bookmarkEnd w:id="11"/>
    </w:p>
    <w:p w14:paraId="09B310E3">
      <w:pPr>
        <w:spacing w:after="210"/>
      </w:pPr>
      <w:r>
        <w:t>Smart-Prep is a proprietary system for adapting traditional African and Caribbean recipes to energy-efficient induction cooking. It preserves cultural authenticity while reducing energy consumption and carbon emissions.</w:t>
      </w:r>
    </w:p>
    <w:p w14:paraId="417F438E">
      <w:pPr>
        <w:spacing w:after="210"/>
      </w:pPr>
      <w:r>
        <w:rPr>
          <w:b/>
        </w:rPr>
        <w:t>Core Components:</w:t>
      </w:r>
    </w:p>
    <w:p w14:paraId="7EEAEB11">
      <w:pPr>
        <w:numPr>
          <w:ilvl w:val="0"/>
          <w:numId w:val="12"/>
        </w:numPr>
      </w:pPr>
      <w:r>
        <w:t>Recipe re-engineering for Magimix Cook Expert-specific features (temperature precision, slow-stir automation, dough blade)</w:t>
      </w:r>
    </w:p>
    <w:p w14:paraId="0AFC45A4">
      <w:pPr>
        <w:numPr>
          <w:ilvl w:val="0"/>
          <w:numId w:val="12"/>
        </w:numPr>
      </w:pPr>
      <w:r>
        <w:t>Ingredient optimi</w:t>
      </w:r>
      <w:r>
        <w:rPr>
          <w:rFonts w:hint="default"/>
          <w:lang w:val="en-GB"/>
        </w:rPr>
        <w:t>s</w:t>
      </w:r>
      <w:r>
        <w:t>ation (UK-sourced substitutes for air-freighted imports)</w:t>
      </w:r>
    </w:p>
    <w:p w14:paraId="2E457628">
      <w:pPr>
        <w:numPr>
          <w:ilvl w:val="0"/>
          <w:numId w:val="12"/>
        </w:numPr>
      </w:pPr>
      <w:r>
        <w:t>Carbon footprint calculation per serving</w:t>
      </w:r>
    </w:p>
    <w:p w14:paraId="200C3B61">
      <w:pPr>
        <w:numPr>
          <w:ilvl w:val="0"/>
          <w:numId w:val="12"/>
        </w:numPr>
      </w:pPr>
      <w:r>
        <w:t>Nutritional data and allergen information</w:t>
      </w:r>
    </w:p>
    <w:p w14:paraId="00FDEF20">
      <w:pPr>
        <w:numPr>
          <w:ilvl w:val="0"/>
          <w:numId w:val="12"/>
        </w:numPr>
      </w:pPr>
      <w:r>
        <w:t>Step-by-step instructions with Cook Expert setting specifications</w:t>
      </w:r>
    </w:p>
    <w:p w14:paraId="774AE925">
      <w:pPr>
        <w:spacing w:after="210"/>
      </w:pPr>
      <w:r>
        <w:rPr>
          <w:b/>
        </w:rPr>
        <w:t>Current Status:</w:t>
      </w:r>
    </w:p>
    <w:p w14:paraId="1C7B0E9F">
      <w:pPr>
        <w:numPr>
          <w:ilvl w:val="0"/>
          <w:numId w:val="13"/>
        </w:numPr>
      </w:pPr>
      <w:r>
        <w:t>11 fully tested recipes completed (Jollof Rice, Pounded Yam &amp; Spinach Lamb Stew, Goat Stew &amp; Potatoes, Kale Soup with Fufu, Potato Pottage with Assorted Stew, Fried Rice, Chicken Curry &amp; Mushroom Rice, Mackerel Risotto, Creamy African Pasta, African Style Pancake, Meatball Bean Pasta)</w:t>
      </w:r>
    </w:p>
    <w:p w14:paraId="4E112793">
      <w:pPr>
        <w:numPr>
          <w:ilvl w:val="0"/>
          <w:numId w:val="13"/>
        </w:numPr>
      </w:pPr>
      <w:r>
        <w:t>40+ additional recipes in development pipeline</w:t>
      </w:r>
    </w:p>
    <w:p w14:paraId="7661A22B">
      <w:pPr>
        <w:numPr>
          <w:ilvl w:val="0"/>
          <w:numId w:val="13"/>
        </w:numPr>
      </w:pPr>
      <w:r>
        <w:t>Carbon accounting framework validated against DEFRA 2025 emission factors</w:t>
      </w:r>
    </w:p>
    <w:p w14:paraId="351DD8C0">
      <w:pPr>
        <w:spacing w:before="240" w:line="271" w:lineRule="auto"/>
      </w:pPr>
      <w:bookmarkStart w:id="12" w:name="bm_3_2_ai_carbon_tracking_dashboard"/>
      <w:r>
        <w:rPr>
          <w:b/>
          <w:sz w:val="33"/>
        </w:rPr>
        <w:t>3.2 AI Carbon Tracking Dashboard</w:t>
      </w:r>
      <w:bookmarkEnd w:id="12"/>
    </w:p>
    <w:p w14:paraId="5478695A">
      <w:pPr>
        <w:spacing w:after="210"/>
      </w:pPr>
      <w:r>
        <w:t>An AI-assisted platform providing real-time carbon tracking for African and Caribbean cooking.</w:t>
      </w:r>
    </w:p>
    <w:p w14:paraId="66EF8C19">
      <w:pPr>
        <w:spacing w:after="210"/>
      </w:pPr>
      <w:r>
        <w:rPr>
          <w:b/>
        </w:rPr>
        <w:t>Technical Architecture:</w:t>
      </w:r>
    </w:p>
    <w:p w14:paraId="25B0BE50">
      <w:pPr>
        <w:numPr>
          <w:ilvl w:val="0"/>
          <w:numId w:val="14"/>
        </w:numPr>
      </w:pPr>
      <w:r>
        <w:t>Data inputs: recipe ingredients, quantities, cooking method, energy usage</w:t>
      </w:r>
    </w:p>
    <w:p w14:paraId="558267B5">
      <w:pPr>
        <w:numPr>
          <w:ilvl w:val="0"/>
          <w:numId w:val="14"/>
        </w:numPr>
      </w:pPr>
      <w:r>
        <w:t>Model layer: scikit-learn models mapping recipes to emissions using DEFRA factors</w:t>
      </w:r>
    </w:p>
    <w:p w14:paraId="3939C400">
      <w:pPr>
        <w:numPr>
          <w:ilvl w:val="0"/>
          <w:numId w:val="14"/>
        </w:numPr>
      </w:pPr>
      <w:r>
        <w:t>Recommendation engine: AI-generated lower-carbon substitutions (culturally appropriate)</w:t>
      </w:r>
    </w:p>
    <w:p w14:paraId="573C901E">
      <w:pPr>
        <w:numPr>
          <w:ilvl w:val="0"/>
          <w:numId w:val="14"/>
        </w:numPr>
      </w:pPr>
      <w:r>
        <w:t>Visualization: Power BI dashboards with simple colo</w:t>
      </w:r>
      <w:r>
        <w:rPr>
          <w:rFonts w:hint="default"/>
          <w:lang w:val="en-GB"/>
        </w:rPr>
        <w:t>u</w:t>
      </w:r>
      <w:r>
        <w:t>r-coded indicators</w:t>
      </w:r>
    </w:p>
    <w:p w14:paraId="79B5DE0A">
      <w:pPr>
        <w:spacing w:after="210"/>
      </w:pPr>
      <w:r>
        <w:rPr>
          <w:b/>
        </w:rPr>
        <w:t>Unique Value:</w:t>
      </w:r>
    </w:p>
    <w:p w14:paraId="6C383172">
      <w:pPr>
        <w:numPr>
          <w:ilvl w:val="0"/>
          <w:numId w:val="15"/>
        </w:numPr>
      </w:pPr>
      <w:r>
        <w:t>First carbon tracker designed specifically for African/Caribbean ingredients and cooking methods</w:t>
      </w:r>
    </w:p>
    <w:p w14:paraId="11ACFB03">
      <w:pPr>
        <w:numPr>
          <w:ilvl w:val="0"/>
          <w:numId w:val="15"/>
        </w:numPr>
      </w:pPr>
      <w:r>
        <w:t>Provides compliance-ready reports for businesses facing Scope 3 reporting requirement</w:t>
      </w:r>
      <w:r>
        <w:rPr>
          <w:rFonts w:hint="default"/>
          <w:lang w:val="en-GB"/>
        </w:rPr>
        <w:t>.</w:t>
      </w:r>
    </w:p>
    <w:p w14:paraId="42F3DB61">
      <w:pPr>
        <w:numPr>
          <w:ilvl w:val="0"/>
          <w:numId w:val="15"/>
        </w:numPr>
      </w:pPr>
      <w:r>
        <w:t>Generates verified ESG data for partners and funders</w:t>
      </w:r>
    </w:p>
    <w:p w14:paraId="43D168E0">
      <w:pPr>
        <w:spacing w:after="210"/>
      </w:pPr>
      <w:r>
        <w:rPr>
          <w:b/>
        </w:rPr>
        <w:t>Development Status:</w:t>
      </w:r>
    </w:p>
    <w:p w14:paraId="2167D425">
      <w:pPr>
        <w:numPr>
          <w:ilvl w:val="0"/>
          <w:numId w:val="16"/>
        </w:numPr>
      </w:pPr>
      <w:r>
        <w:t>Prototype functional (Python, scikit-learn, Power BI)</w:t>
      </w:r>
    </w:p>
    <w:p w14:paraId="7F2A3399">
      <w:pPr>
        <w:numPr>
          <w:ilvl w:val="0"/>
          <w:numId w:val="16"/>
        </w:numPr>
      </w:pPr>
      <w:r>
        <w:t>Testing phase scheduled for Year 1 pilot with 50 households</w:t>
      </w:r>
    </w:p>
    <w:p w14:paraId="1438406A">
      <w:pPr>
        <w:numPr>
          <w:ilvl w:val="0"/>
          <w:numId w:val="16"/>
        </w:numPr>
      </w:pPr>
      <w:r>
        <w:t>SaaS product development planned for Year 3</w:t>
      </w:r>
    </w:p>
    <w:p w14:paraId="6BD9BCB4">
      <w:pPr>
        <w:spacing w:before="240" w:line="271" w:lineRule="auto"/>
      </w:pPr>
      <w:bookmarkStart w:id="13" w:name="bm_3_3_the_smart_kitchen_hub"/>
      <w:r>
        <w:rPr>
          <w:b/>
          <w:sz w:val="33"/>
        </w:rPr>
        <w:t>3.3 The Smart Kitchen Hub</w:t>
      </w:r>
      <w:bookmarkEnd w:id="13"/>
    </w:p>
    <w:p w14:paraId="47FD9EFB">
      <w:pPr>
        <w:spacing w:after="210"/>
      </w:pPr>
      <w:r>
        <w:t>A shared induction-based professional kitchen in Bristol providing:</w:t>
      </w:r>
    </w:p>
    <w:p w14:paraId="3FB0C1E3">
      <w:pPr>
        <w:numPr>
          <w:ilvl w:val="0"/>
          <w:numId w:val="17"/>
        </w:numPr>
      </w:pPr>
      <w:r>
        <w:t>Access to Magimix Cook Expert and complementary induction equipment</w:t>
      </w:r>
    </w:p>
    <w:p w14:paraId="44D1D708">
      <w:pPr>
        <w:numPr>
          <w:ilvl w:val="0"/>
          <w:numId w:val="17"/>
        </w:numPr>
      </w:pPr>
      <w:r>
        <w:t>In-person cooking sessions (skills training + sustainability education)</w:t>
      </w:r>
    </w:p>
    <w:p w14:paraId="340C6591">
      <w:pPr>
        <w:numPr>
          <w:ilvl w:val="0"/>
          <w:numId w:val="17"/>
        </w:numPr>
      </w:pPr>
      <w:r>
        <w:t>Session-by-session carbon tracking using the AI dashboard</w:t>
      </w:r>
    </w:p>
    <w:p w14:paraId="3A268282">
      <w:pPr>
        <w:numPr>
          <w:ilvl w:val="0"/>
          <w:numId w:val="17"/>
        </w:numPr>
      </w:pPr>
      <w:r>
        <w:t>Food safety, allergen awareness, and packaging compliance training</w:t>
      </w:r>
    </w:p>
    <w:p w14:paraId="2330FA5C">
      <w:pPr>
        <w:numPr>
          <w:ilvl w:val="0"/>
          <w:numId w:val="17"/>
        </w:numPr>
      </w:pPr>
      <w:r>
        <w:t>Storage and workspace for micro-caterers</w:t>
      </w:r>
    </w:p>
    <w:p w14:paraId="7A5ABEA6">
      <w:pPr>
        <w:spacing w:after="210"/>
      </w:pPr>
      <w:r>
        <w:rPr>
          <w:b/>
        </w:rPr>
        <w:t>Facility Status:</w:t>
      </w:r>
    </w:p>
    <w:p w14:paraId="5DC031A2">
      <w:pPr>
        <w:numPr>
          <w:ilvl w:val="0"/>
          <w:numId w:val="18"/>
        </w:numPr>
      </w:pPr>
      <w:r>
        <w:t>Partnership with Future Leap (WECA-funded) provides access to facilities for 6-month pilot</w:t>
      </w:r>
    </w:p>
    <w:p w14:paraId="3CC08017">
      <w:pPr>
        <w:numPr>
          <w:ilvl w:val="0"/>
          <w:numId w:val="18"/>
        </w:numPr>
      </w:pPr>
      <w:r>
        <w:rPr>
          <w:rFonts w:ascii="Georgia" w:hAnsi="Georgia" w:eastAsia="Georgia" w:cs="Georgia"/>
        </w:rPr>
        <w:t>Permanent Bristol location to be secured in Year 1 (Q3–Q4 2026)</w:t>
      </w:r>
    </w:p>
    <w:p w14:paraId="0DCA0659">
      <w:pPr>
        <w:spacing w:before="240" w:line="271" w:lineRule="auto"/>
      </w:pPr>
      <w:bookmarkStart w:id="14" w:name="bm_3_4_hub_spoke_scalability_model"/>
      <w:r>
        <w:rPr>
          <w:b/>
          <w:sz w:val="33"/>
        </w:rPr>
        <w:t>3.4 Hub-Spoke Scalability Model</w:t>
      </w:r>
      <w:bookmarkEnd w:id="14"/>
    </w:p>
    <w:p w14:paraId="33662132">
      <w:pPr>
        <w:spacing w:after="210"/>
      </w:pPr>
      <w:r>
        <w:rPr>
          <w:b/>
        </w:rPr>
        <w:t>Hub (Bristol):</w:t>
      </w:r>
    </w:p>
    <w:p w14:paraId="59290ACC">
      <w:pPr>
        <w:numPr>
          <w:ilvl w:val="0"/>
          <w:numId w:val="19"/>
        </w:numPr>
      </w:pPr>
      <w:r>
        <w:t>Centrali</w:t>
      </w:r>
      <w:r>
        <w:rPr>
          <w:rFonts w:hint="default"/>
          <w:lang w:val="en-GB"/>
        </w:rPr>
        <w:t>s</w:t>
      </w:r>
      <w:r>
        <w:t>ed R&amp;D, technology, curriculum development</w:t>
      </w:r>
    </w:p>
    <w:p w14:paraId="36EF6EC8">
      <w:pPr>
        <w:numPr>
          <w:ilvl w:val="0"/>
          <w:numId w:val="19"/>
        </w:numPr>
      </w:pPr>
      <w:r>
        <w:t>Quality assurance and facilitator training</w:t>
      </w:r>
    </w:p>
    <w:p w14:paraId="49249DD2">
      <w:pPr>
        <w:numPr>
          <w:ilvl w:val="0"/>
          <w:numId w:val="19"/>
        </w:numPr>
      </w:pPr>
      <w:r>
        <w:t>Digital platform infrastructure</w:t>
      </w:r>
    </w:p>
    <w:p w14:paraId="79AF2245">
      <w:pPr>
        <w:numPr>
          <w:ilvl w:val="0"/>
          <w:numId w:val="19"/>
        </w:numPr>
      </w:pPr>
      <w:r>
        <w:t>Supplier partnerships and equipment referrals</w:t>
      </w:r>
    </w:p>
    <w:p w14:paraId="0159EE6B">
      <w:pPr>
        <w:spacing w:after="210"/>
      </w:pPr>
      <w:r>
        <w:rPr>
          <w:b/>
        </w:rPr>
        <w:t>Spokes (Other UK Cities):</w:t>
      </w:r>
    </w:p>
    <w:p w14:paraId="0BB1211E">
      <w:pPr>
        <w:numPr>
          <w:ilvl w:val="0"/>
          <w:numId w:val="20"/>
        </w:numPr>
      </w:pPr>
      <w:r>
        <w:t>Local training delivered by certified facilitators</w:t>
      </w:r>
    </w:p>
    <w:p w14:paraId="6D85EDD3">
      <w:pPr>
        <w:numPr>
          <w:ilvl w:val="0"/>
          <w:numId w:val="20"/>
        </w:numPr>
      </w:pPr>
      <w:r>
        <w:t>Pop-up Smart Kitchen events in community venues</w:t>
      </w:r>
    </w:p>
    <w:p w14:paraId="6AB7430C">
      <w:pPr>
        <w:numPr>
          <w:ilvl w:val="0"/>
          <w:numId w:val="20"/>
        </w:numPr>
      </w:pPr>
      <w:r>
        <w:t>Access to central digital platform under license</w:t>
      </w:r>
    </w:p>
    <w:p w14:paraId="268E97AB">
      <w:pPr>
        <w:numPr>
          <w:ilvl w:val="0"/>
          <w:numId w:val="20"/>
        </w:numPr>
      </w:pPr>
      <w:r>
        <w:t>Localized community engagement</w:t>
      </w:r>
    </w:p>
    <w:p w14:paraId="06158965">
      <w:pPr>
        <w:spacing w:after="210"/>
      </w:pPr>
      <w:r>
        <w:rPr>
          <w:b/>
        </w:rPr>
        <w:t>Advantages:</w:t>
      </w:r>
    </w:p>
    <w:p w14:paraId="43100760">
      <w:pPr>
        <w:numPr>
          <w:ilvl w:val="0"/>
          <w:numId w:val="21"/>
        </w:numPr>
      </w:pPr>
      <w:r>
        <w:t>National scale from single Bristol base</w:t>
      </w:r>
    </w:p>
    <w:p w14:paraId="3CC1D6E1">
      <w:pPr>
        <w:numPr>
          <w:ilvl w:val="0"/>
          <w:numId w:val="21"/>
        </w:numPr>
      </w:pPr>
      <w:r>
        <w:t>Low capital requirements for expansion (licensed model)</w:t>
      </w:r>
    </w:p>
    <w:p w14:paraId="6D6D693F">
      <w:pPr>
        <w:numPr>
          <w:ilvl w:val="0"/>
          <w:numId w:val="21"/>
        </w:numPr>
      </w:pPr>
      <w:r>
        <w:t>Centrali</w:t>
      </w:r>
      <w:r>
        <w:rPr>
          <w:rFonts w:hint="default"/>
          <w:lang w:val="en-GB"/>
        </w:rPr>
        <w:t>s</w:t>
      </w:r>
      <w:r>
        <w:t>ed quality control and data insights</w:t>
      </w:r>
    </w:p>
    <w:p w14:paraId="2810F085">
      <w:pPr>
        <w:numPr>
          <w:ilvl w:val="0"/>
          <w:numId w:val="21"/>
        </w:numPr>
      </w:pPr>
      <w:r>
        <w:t>Replicable across 10+ UK cities by Year 5</w:t>
      </w:r>
    </w:p>
    <w:p w14:paraId="44A65A25">
      <w:r>
        <w:pict>
          <v:rect id="_x0000_i1029" o:spt="1" style="height:0.05pt;width:434.5pt;" coordsize="21600,21600" o:hr="t" o:hrstd="t" o:hralign="center">
            <v:path/>
            <v:fill focussize="0,0"/>
            <v:stroke/>
            <v:imagedata o:title=""/>
            <o:lock v:ext="edit"/>
            <w10:wrap type="none"/>
            <w10:anchorlock/>
          </v:rect>
        </w:pict>
      </w:r>
    </w:p>
    <w:p w14:paraId="45D90440">
      <w:pPr>
        <w:spacing w:before="240" w:line="271" w:lineRule="auto"/>
      </w:pPr>
      <w:bookmarkStart w:id="15" w:name="bm_4_business_model_revenue_streams"/>
      <w:r>
        <w:rPr>
          <w:b/>
          <w:sz w:val="42"/>
        </w:rPr>
        <w:t>4. Business Model &amp; Revenue Streams</w:t>
      </w:r>
      <w:bookmarkEnd w:id="15"/>
    </w:p>
    <w:p w14:paraId="52861503">
      <w:pPr>
        <w:spacing w:after="210"/>
      </w:pPr>
      <w:r>
        <w:t>Green Africa Hub operates a diversified hybrid revenue model across five streams:</w:t>
      </w:r>
    </w:p>
    <w:tbl>
      <w:tblPr>
        <w:tblStyle w:val="5"/>
        <w:tblW w:w="0" w:type="auto"/>
        <w:jc w:val="center"/>
        <w:tblCellSpacing w:w="0" w:type="dxa"/>
        <w:tblLayout w:type="autofit"/>
        <w:tblCellMar>
          <w:top w:w="80" w:type="dxa"/>
          <w:left w:w="160" w:type="dxa"/>
          <w:bottom w:w="80" w:type="dxa"/>
          <w:right w:w="160" w:type="dxa"/>
        </w:tblCellMar>
      </w:tblPr>
      <w:tblGrid>
        <w:gridCol w:w="2219"/>
        <w:gridCol w:w="2250"/>
        <w:gridCol w:w="4581"/>
      </w:tblGrid>
      <w:tr w14:paraId="0B1BD68D">
        <w:tblPrEx>
          <w:tblCellMar>
            <w:top w:w="80" w:type="dxa"/>
            <w:left w:w="160" w:type="dxa"/>
            <w:bottom w:w="80" w:type="dxa"/>
            <w:right w:w="160" w:type="dxa"/>
          </w:tblCellMar>
        </w:tblPrEx>
        <w:trPr>
          <w:cantSplit/>
          <w:tblCellSpacing w:w="0" w:type="dxa"/>
          <w:jc w:val="center"/>
        </w:trPr>
        <w:tc>
          <w:tcPr>
            <w:tcBorders>
              <w:top w:val="single" w:color="000000" w:sz="8" w:space="0"/>
              <w:left w:val="single" w:color="000000" w:sz="8" w:space="0"/>
              <w:bottom w:val="single" w:color="000000" w:sz="8" w:space="0"/>
              <w:right w:val="single" w:color="000000" w:sz="8" w:space="0"/>
            </w:tcBorders>
            <w:vAlign w:val="center"/>
          </w:tcPr>
          <w:p w14:paraId="7D84A8AD">
            <w:pPr>
              <w:spacing w:after="0" w:line="240" w:lineRule="auto"/>
              <w:jc w:val="left"/>
            </w:pPr>
            <w:r>
              <w:rPr>
                <w:b/>
              </w:rPr>
              <w:t>Revenue Stream</w:t>
            </w:r>
          </w:p>
        </w:tc>
        <w:tc>
          <w:tcPr>
            <w:tcBorders>
              <w:top w:val="single" w:color="000000" w:sz="8" w:space="0"/>
              <w:bottom w:val="single" w:color="000000" w:sz="8" w:space="0"/>
              <w:right w:val="single" w:color="000000" w:sz="8" w:space="0"/>
            </w:tcBorders>
            <w:vAlign w:val="center"/>
          </w:tcPr>
          <w:p w14:paraId="7BA7FCF9">
            <w:pPr>
              <w:spacing w:after="0" w:line="240" w:lineRule="auto"/>
              <w:jc w:val="left"/>
            </w:pPr>
            <w:r>
              <w:rPr>
                <w:b/>
              </w:rPr>
              <w:t>Pricing</w:t>
            </w:r>
          </w:p>
        </w:tc>
        <w:tc>
          <w:tcPr>
            <w:tcBorders>
              <w:top w:val="single" w:color="000000" w:sz="8" w:space="0"/>
              <w:bottom w:val="single" w:color="000000" w:sz="8" w:space="0"/>
              <w:right w:val="single" w:color="000000" w:sz="8" w:space="0"/>
            </w:tcBorders>
            <w:vAlign w:val="top"/>
          </w:tcPr>
          <w:p w14:paraId="3F5BEEDF">
            <w:pPr>
              <w:spacing w:after="0" w:line="240" w:lineRule="auto"/>
              <w:jc w:val="left"/>
            </w:pPr>
            <w:r>
              <w:rPr>
                <w:b/>
              </w:rPr>
              <w:t>Description</w:t>
            </w:r>
          </w:p>
        </w:tc>
      </w:tr>
      <w:tr w14:paraId="78D69C4B">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3CC514B5">
            <w:pPr>
              <w:spacing w:after="0" w:line="240" w:lineRule="auto"/>
              <w:jc w:val="left"/>
            </w:pPr>
            <w:r>
              <w:t>In-person cooking sessions</w:t>
            </w:r>
          </w:p>
        </w:tc>
        <w:tc>
          <w:tcPr>
            <w:tcBorders>
              <w:bottom w:val="single" w:color="000000" w:sz="8" w:space="0"/>
              <w:right w:val="single" w:color="000000" w:sz="8" w:space="0"/>
            </w:tcBorders>
            <w:vAlign w:val="center"/>
          </w:tcPr>
          <w:p w14:paraId="52EE19EE">
            <w:pPr>
              <w:spacing w:after="0" w:line="240" w:lineRule="auto"/>
              <w:jc w:val="left"/>
            </w:pPr>
            <w:r>
              <w:rPr>
                <w:rFonts w:ascii="Georgia" w:hAnsi="Georgia" w:eastAsia="Georgia" w:cs="Georgia"/>
              </w:rPr>
              <w:t>£10–£50/session</w:t>
            </w:r>
          </w:p>
        </w:tc>
        <w:tc>
          <w:tcPr>
            <w:tcBorders>
              <w:bottom w:val="single" w:color="000000" w:sz="8" w:space="0"/>
              <w:right w:val="single" w:color="000000" w:sz="8" w:space="0"/>
            </w:tcBorders>
            <w:vAlign w:val="top"/>
          </w:tcPr>
          <w:p w14:paraId="79ACEDB7">
            <w:pPr>
              <w:spacing w:after="0" w:line="240" w:lineRule="auto"/>
              <w:jc w:val="left"/>
            </w:pPr>
            <w:r>
              <w:t>Smart Kitchen sessions combining cooking skills, sustainability education, carbon tracking</w:t>
            </w:r>
          </w:p>
        </w:tc>
      </w:tr>
      <w:tr w14:paraId="35753088">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65839DF5">
            <w:pPr>
              <w:spacing w:after="0" w:line="240" w:lineRule="auto"/>
              <w:jc w:val="left"/>
            </w:pPr>
            <w:r>
              <w:t>Digital learning subscription</w:t>
            </w:r>
          </w:p>
        </w:tc>
        <w:tc>
          <w:tcPr>
            <w:tcBorders>
              <w:bottom w:val="single" w:color="000000" w:sz="8" w:space="0"/>
              <w:right w:val="single" w:color="000000" w:sz="8" w:space="0"/>
            </w:tcBorders>
            <w:vAlign w:val="center"/>
          </w:tcPr>
          <w:p w14:paraId="29AC9DF3">
            <w:pPr>
              <w:spacing w:after="0" w:line="240" w:lineRule="auto"/>
              <w:jc w:val="left"/>
            </w:pPr>
            <w:r>
              <w:rPr>
                <w:rFonts w:ascii="Georgia" w:hAnsi="Georgia" w:eastAsia="Georgia" w:cs="Georgia"/>
              </w:rPr>
              <w:t>£10–£20/month</w:t>
            </w:r>
          </w:p>
        </w:tc>
        <w:tc>
          <w:tcPr>
            <w:tcBorders>
              <w:bottom w:val="single" w:color="000000" w:sz="8" w:space="0"/>
              <w:right w:val="single" w:color="000000" w:sz="8" w:space="0"/>
            </w:tcBorders>
            <w:vAlign w:val="top"/>
          </w:tcPr>
          <w:p w14:paraId="2839D96B">
            <w:pPr>
              <w:spacing w:after="0" w:line="240" w:lineRule="auto"/>
              <w:jc w:val="left"/>
            </w:pPr>
            <w:r>
              <w:t>Online Smart-Prep videos, sustainability lectures, carbon guides (national reach)</w:t>
            </w:r>
          </w:p>
        </w:tc>
      </w:tr>
      <w:tr w14:paraId="169DB33F">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559A40EB">
            <w:pPr>
              <w:spacing w:after="0" w:line="240" w:lineRule="auto"/>
              <w:jc w:val="left"/>
            </w:pPr>
            <w:r>
              <w:t>Kitchen memberships</w:t>
            </w:r>
          </w:p>
        </w:tc>
        <w:tc>
          <w:tcPr>
            <w:tcBorders>
              <w:bottom w:val="single" w:color="000000" w:sz="8" w:space="0"/>
              <w:right w:val="single" w:color="000000" w:sz="8" w:space="0"/>
            </w:tcBorders>
            <w:vAlign w:val="center"/>
          </w:tcPr>
          <w:p w14:paraId="73FC8071">
            <w:pPr>
              <w:spacing w:after="0" w:line="240" w:lineRule="auto"/>
              <w:jc w:val="left"/>
            </w:pPr>
            <w:r>
              <w:rPr>
                <w:rFonts w:ascii="Georgia" w:hAnsi="Georgia" w:eastAsia="Georgia" w:cs="Georgia"/>
              </w:rPr>
              <w:t>£50–£100/month</w:t>
            </w:r>
          </w:p>
        </w:tc>
        <w:tc>
          <w:tcPr>
            <w:tcBorders>
              <w:bottom w:val="single" w:color="000000" w:sz="8" w:space="0"/>
              <w:right w:val="single" w:color="000000" w:sz="8" w:space="0"/>
            </w:tcBorders>
            <w:vAlign w:val="top"/>
          </w:tcPr>
          <w:p w14:paraId="00148B77">
            <w:pPr>
              <w:spacing w:after="0" w:line="240" w:lineRule="auto"/>
              <w:jc w:val="left"/>
            </w:pPr>
            <w:r>
              <w:t>Shared professional kitchen access for micro-caterers including equipment, storage, carbon tools</w:t>
            </w:r>
          </w:p>
        </w:tc>
      </w:tr>
      <w:tr w14:paraId="4EBE6E4B">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462D7EB0">
            <w:pPr>
              <w:spacing w:after="0" w:line="240" w:lineRule="auto"/>
              <w:jc w:val="left"/>
            </w:pPr>
            <w:r>
              <w:t>Equipment referral commissions</w:t>
            </w:r>
          </w:p>
        </w:tc>
        <w:tc>
          <w:tcPr>
            <w:tcBorders>
              <w:bottom w:val="single" w:color="000000" w:sz="8" w:space="0"/>
              <w:right w:val="single" w:color="000000" w:sz="8" w:space="0"/>
            </w:tcBorders>
            <w:vAlign w:val="center"/>
          </w:tcPr>
          <w:p w14:paraId="7FC98D96">
            <w:pPr>
              <w:spacing w:after="0" w:line="240" w:lineRule="auto"/>
              <w:jc w:val="left"/>
            </w:pPr>
            <w:r>
              <w:rPr>
                <w:rFonts w:ascii="Georgia" w:hAnsi="Georgia" w:eastAsia="Georgia" w:cs="Georgia"/>
              </w:rPr>
              <w:t>10–15% per sale</w:t>
            </w:r>
          </w:p>
        </w:tc>
        <w:tc>
          <w:tcPr>
            <w:tcBorders>
              <w:bottom w:val="single" w:color="000000" w:sz="8" w:space="0"/>
              <w:right w:val="single" w:color="000000" w:sz="8" w:space="0"/>
            </w:tcBorders>
            <w:vAlign w:val="top"/>
          </w:tcPr>
          <w:p w14:paraId="1E76355E">
            <w:pPr>
              <w:spacing w:after="0" w:line="240" w:lineRule="auto"/>
              <w:jc w:val="left"/>
            </w:pPr>
            <w:r>
              <w:t>Commission from sustainable equipment partners (e.g., Magimix Cook Expert) for sales directed through hub</w:t>
            </w:r>
          </w:p>
        </w:tc>
      </w:tr>
      <w:tr w14:paraId="01EE5DD6">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1E80D6AD">
            <w:pPr>
              <w:spacing w:after="0" w:line="240" w:lineRule="auto"/>
              <w:jc w:val="left"/>
            </w:pPr>
            <w:r>
              <w:t>Events &amp; consulting</w:t>
            </w:r>
          </w:p>
        </w:tc>
        <w:tc>
          <w:tcPr>
            <w:tcBorders>
              <w:bottom w:val="single" w:color="000000" w:sz="8" w:space="0"/>
              <w:right w:val="single" w:color="000000" w:sz="8" w:space="0"/>
            </w:tcBorders>
            <w:vAlign w:val="center"/>
          </w:tcPr>
          <w:p w14:paraId="601BDD82">
            <w:pPr>
              <w:spacing w:after="0" w:line="240" w:lineRule="auto"/>
              <w:jc w:val="left"/>
            </w:pPr>
            <w:r>
              <w:rPr>
                <w:rFonts w:ascii="Georgia" w:hAnsi="Georgia" w:eastAsia="Georgia" w:cs="Georgia"/>
              </w:rPr>
              <w:t>£500–£2,500/event</w:t>
            </w:r>
          </w:p>
        </w:tc>
        <w:tc>
          <w:tcPr>
            <w:tcBorders>
              <w:bottom w:val="single" w:color="000000" w:sz="8" w:space="0"/>
              <w:right w:val="single" w:color="000000" w:sz="8" w:space="0"/>
            </w:tcBorders>
            <w:vAlign w:val="top"/>
          </w:tcPr>
          <w:p w14:paraId="424049F9">
            <w:pPr>
              <w:spacing w:after="0" w:line="240" w:lineRule="auto"/>
              <w:jc w:val="left"/>
            </w:pPr>
            <w:r>
              <w:t>B2B sustainability workshops for schools, NHS, local authorities, corporates</w:t>
            </w:r>
          </w:p>
        </w:tc>
      </w:tr>
    </w:tbl>
    <w:p w14:paraId="0F0CF0FD"/>
    <w:p w14:paraId="7381BF39">
      <w:pPr>
        <w:spacing w:after="210"/>
      </w:pPr>
      <w:r>
        <w:rPr>
          <w:b/>
        </w:rPr>
        <w:t>Model Advantages:</w:t>
      </w:r>
    </w:p>
    <w:p w14:paraId="38C7A5E0">
      <w:pPr>
        <w:numPr>
          <w:ilvl w:val="0"/>
          <w:numId w:val="22"/>
        </w:numPr>
      </w:pPr>
      <w:r>
        <w:t>Diversification reduces single-source dependency</w:t>
      </w:r>
    </w:p>
    <w:p w14:paraId="14FA04E3">
      <w:pPr>
        <w:numPr>
          <w:ilvl w:val="0"/>
          <w:numId w:val="22"/>
        </w:numPr>
      </w:pPr>
      <w:r>
        <w:t>Cross-subsidy: institutional contracts fund accessible community pricing</w:t>
      </w:r>
    </w:p>
    <w:p w14:paraId="6D9CAD2F">
      <w:pPr>
        <w:numPr>
          <w:ilvl w:val="0"/>
          <w:numId w:val="22"/>
        </w:numPr>
      </w:pPr>
      <w:r>
        <w:t>Scalable digital revenue (low marginal cost)</w:t>
      </w:r>
    </w:p>
    <w:p w14:paraId="473AAFA1">
      <w:pPr>
        <w:numPr>
          <w:ilvl w:val="0"/>
          <w:numId w:val="22"/>
        </w:numPr>
      </w:pPr>
      <w:r>
        <w:t>Equipment commissions require no inventory or capital</w:t>
      </w:r>
    </w:p>
    <w:p w14:paraId="2567B064">
      <w:r>
        <w:pict>
          <v:rect id="_x0000_i1030" o:spt="1" style="height:0.05pt;width:434.5pt;" coordsize="21600,21600" o:hr="t" o:hrstd="t" o:hralign="center">
            <v:path/>
            <v:fill focussize="0,0"/>
            <v:stroke/>
            <v:imagedata o:title=""/>
            <o:lock v:ext="edit"/>
            <w10:wrap type="none"/>
            <w10:anchorlock/>
          </v:rect>
        </w:pict>
      </w:r>
    </w:p>
    <w:p w14:paraId="5CB7FCE7">
      <w:pPr>
        <w:spacing w:before="240" w:line="271" w:lineRule="auto"/>
      </w:pPr>
      <w:bookmarkStart w:id="16" w:name="bm_5_financial_projections"/>
      <w:r>
        <w:rPr>
          <w:b/>
          <w:sz w:val="42"/>
        </w:rPr>
        <w:t>5. Financial Projections</w:t>
      </w:r>
      <w:bookmarkEnd w:id="16"/>
    </w:p>
    <w:p w14:paraId="4502B318">
      <w:pPr>
        <w:spacing w:before="240" w:line="271" w:lineRule="auto"/>
      </w:pPr>
      <w:bookmarkStart w:id="17" w:name="bm_5_1_three_year_revenue_forecast"/>
      <w:r>
        <w:rPr>
          <w:b/>
          <w:sz w:val="33"/>
        </w:rPr>
        <w:t>5.1 Three-Year Revenue Forecast</w:t>
      </w:r>
      <w:bookmarkEnd w:id="17"/>
    </w:p>
    <w:tbl>
      <w:tblPr>
        <w:tblStyle w:val="5"/>
        <w:tblW w:w="0" w:type="auto"/>
        <w:jc w:val="center"/>
        <w:tblCellSpacing w:w="0" w:type="dxa"/>
        <w:tblLayout w:type="autofit"/>
        <w:tblCellMar>
          <w:top w:w="80" w:type="dxa"/>
          <w:left w:w="160" w:type="dxa"/>
          <w:bottom w:w="80" w:type="dxa"/>
          <w:right w:w="160" w:type="dxa"/>
        </w:tblCellMar>
      </w:tblPr>
      <w:tblGrid>
        <w:gridCol w:w="2662"/>
        <w:gridCol w:w="1352"/>
        <w:gridCol w:w="1381"/>
        <w:gridCol w:w="1380"/>
      </w:tblGrid>
      <w:tr w14:paraId="658A499B">
        <w:tblPrEx>
          <w:tblCellMar>
            <w:top w:w="80" w:type="dxa"/>
            <w:left w:w="160" w:type="dxa"/>
            <w:bottom w:w="80" w:type="dxa"/>
            <w:right w:w="160" w:type="dxa"/>
          </w:tblCellMar>
        </w:tblPrEx>
        <w:trPr>
          <w:cantSplit/>
          <w:tblCellSpacing w:w="0" w:type="dxa"/>
          <w:jc w:val="center"/>
        </w:trPr>
        <w:tc>
          <w:tcPr>
            <w:tcBorders>
              <w:top w:val="single" w:color="000000" w:sz="8" w:space="0"/>
              <w:left w:val="single" w:color="000000" w:sz="8" w:space="0"/>
              <w:bottom w:val="single" w:color="000000" w:sz="8" w:space="0"/>
              <w:right w:val="single" w:color="000000" w:sz="8" w:space="0"/>
            </w:tcBorders>
            <w:vAlign w:val="center"/>
          </w:tcPr>
          <w:p w14:paraId="5893EF74">
            <w:pPr>
              <w:spacing w:after="0" w:line="240" w:lineRule="auto"/>
              <w:jc w:val="left"/>
            </w:pPr>
            <w:r>
              <w:rPr>
                <w:b/>
              </w:rPr>
              <w:t>Revenue Stream</w:t>
            </w:r>
          </w:p>
        </w:tc>
        <w:tc>
          <w:tcPr>
            <w:tcBorders>
              <w:top w:val="single" w:color="000000" w:sz="8" w:space="0"/>
              <w:bottom w:val="single" w:color="000000" w:sz="8" w:space="0"/>
              <w:right w:val="single" w:color="000000" w:sz="8" w:space="0"/>
            </w:tcBorders>
            <w:vAlign w:val="center"/>
          </w:tcPr>
          <w:p w14:paraId="26F54D34">
            <w:pPr>
              <w:spacing w:after="0" w:line="240" w:lineRule="auto"/>
              <w:jc w:val="right"/>
            </w:pPr>
            <w:r>
              <w:rPr>
                <w:b/>
              </w:rPr>
              <w:t>Year 1 (£)</w:t>
            </w:r>
          </w:p>
        </w:tc>
        <w:tc>
          <w:tcPr>
            <w:tcBorders>
              <w:top w:val="single" w:color="000000" w:sz="8" w:space="0"/>
              <w:bottom w:val="single" w:color="000000" w:sz="8" w:space="0"/>
              <w:right w:val="single" w:color="000000" w:sz="8" w:space="0"/>
            </w:tcBorders>
            <w:vAlign w:val="center"/>
          </w:tcPr>
          <w:p w14:paraId="25627D7E">
            <w:pPr>
              <w:spacing w:after="0" w:line="240" w:lineRule="auto"/>
              <w:jc w:val="right"/>
            </w:pPr>
            <w:r>
              <w:rPr>
                <w:b/>
              </w:rPr>
              <w:t>Year 2 (£)</w:t>
            </w:r>
          </w:p>
        </w:tc>
        <w:tc>
          <w:tcPr>
            <w:tcBorders>
              <w:top w:val="single" w:color="000000" w:sz="8" w:space="0"/>
              <w:bottom w:val="single" w:color="000000" w:sz="8" w:space="0"/>
              <w:right w:val="single" w:color="000000" w:sz="8" w:space="0"/>
            </w:tcBorders>
            <w:vAlign w:val="center"/>
          </w:tcPr>
          <w:p w14:paraId="1EBA8BBB">
            <w:pPr>
              <w:spacing w:after="0" w:line="240" w:lineRule="auto"/>
              <w:jc w:val="right"/>
            </w:pPr>
            <w:r>
              <w:rPr>
                <w:b/>
              </w:rPr>
              <w:t>Year 3 (£)</w:t>
            </w:r>
          </w:p>
        </w:tc>
      </w:tr>
      <w:tr w14:paraId="54021BDF">
        <w:tblPrEx>
          <w:tblCellMar>
            <w:top w:w="80" w:type="dxa"/>
            <w:left w:w="160" w:type="dxa"/>
            <w:bottom w:w="80" w:type="dxa"/>
            <w:right w:w="160" w:type="dxa"/>
          </w:tblCellMar>
        </w:tblPrEx>
        <w:trPr>
          <w:cantSplit/>
          <w:tblCellSpacing w:w="0" w:type="dxa"/>
          <w:jc w:val="center"/>
        </w:trPr>
        <w:tc>
          <w:tcPr>
            <w:tcBorders>
              <w:left w:val="single" w:color="000000" w:sz="8" w:space="0"/>
              <w:right w:val="single" w:color="000000" w:sz="8" w:space="0"/>
            </w:tcBorders>
            <w:vAlign w:val="center"/>
          </w:tcPr>
          <w:p w14:paraId="103EF8DF">
            <w:pPr>
              <w:spacing w:after="0" w:line="240" w:lineRule="auto"/>
              <w:jc w:val="left"/>
            </w:pPr>
            <w:r>
              <w:t>In-person sessions</w:t>
            </w:r>
          </w:p>
        </w:tc>
        <w:tc>
          <w:tcPr>
            <w:tcBorders>
              <w:right w:val="single" w:color="000000" w:sz="8" w:space="0"/>
            </w:tcBorders>
            <w:vAlign w:val="center"/>
          </w:tcPr>
          <w:p w14:paraId="47F289B6">
            <w:pPr>
              <w:spacing w:after="0" w:line="240" w:lineRule="auto"/>
              <w:jc w:val="right"/>
            </w:pPr>
            <w:r>
              <w:t>8,400</w:t>
            </w:r>
          </w:p>
        </w:tc>
        <w:tc>
          <w:tcPr>
            <w:tcBorders>
              <w:right w:val="single" w:color="000000" w:sz="8" w:space="0"/>
            </w:tcBorders>
            <w:vAlign w:val="center"/>
          </w:tcPr>
          <w:p w14:paraId="5E555318">
            <w:pPr>
              <w:spacing w:after="0" w:line="240" w:lineRule="auto"/>
              <w:jc w:val="right"/>
            </w:pPr>
            <w:r>
              <w:t>28,800</w:t>
            </w:r>
          </w:p>
        </w:tc>
        <w:tc>
          <w:tcPr>
            <w:tcBorders>
              <w:right w:val="single" w:color="000000" w:sz="8" w:space="0"/>
            </w:tcBorders>
            <w:vAlign w:val="center"/>
          </w:tcPr>
          <w:p w14:paraId="30A6F717">
            <w:pPr>
              <w:spacing w:after="0" w:line="240" w:lineRule="auto"/>
              <w:jc w:val="right"/>
            </w:pPr>
            <w:r>
              <w:t>54,000</w:t>
            </w:r>
          </w:p>
        </w:tc>
      </w:tr>
      <w:tr w14:paraId="1AA998ED">
        <w:tblPrEx>
          <w:tblCellMar>
            <w:top w:w="80" w:type="dxa"/>
            <w:left w:w="160" w:type="dxa"/>
            <w:bottom w:w="80" w:type="dxa"/>
            <w:right w:w="160" w:type="dxa"/>
          </w:tblCellMar>
        </w:tblPrEx>
        <w:trPr>
          <w:cantSplit/>
          <w:tblCellSpacing w:w="0" w:type="dxa"/>
          <w:jc w:val="center"/>
        </w:trPr>
        <w:tc>
          <w:tcPr>
            <w:tcBorders>
              <w:left w:val="single" w:color="000000" w:sz="8" w:space="0"/>
              <w:right w:val="single" w:color="000000" w:sz="8" w:space="0"/>
            </w:tcBorders>
            <w:vAlign w:val="center"/>
          </w:tcPr>
          <w:p w14:paraId="3E23E05F">
            <w:pPr>
              <w:spacing w:after="0" w:line="240" w:lineRule="auto"/>
              <w:jc w:val="left"/>
            </w:pPr>
            <w:r>
              <w:t>Digital subscriptions</w:t>
            </w:r>
          </w:p>
        </w:tc>
        <w:tc>
          <w:tcPr>
            <w:tcBorders>
              <w:right w:val="single" w:color="000000" w:sz="8" w:space="0"/>
            </w:tcBorders>
            <w:vAlign w:val="center"/>
          </w:tcPr>
          <w:p w14:paraId="1CFC88E7">
            <w:pPr>
              <w:spacing w:after="0" w:line="240" w:lineRule="auto"/>
              <w:jc w:val="right"/>
            </w:pPr>
            <w:r>
              <w:t>7,200</w:t>
            </w:r>
          </w:p>
        </w:tc>
        <w:tc>
          <w:tcPr>
            <w:tcBorders>
              <w:right w:val="single" w:color="000000" w:sz="8" w:space="0"/>
            </w:tcBorders>
            <w:vAlign w:val="center"/>
          </w:tcPr>
          <w:p w14:paraId="44D68779">
            <w:pPr>
              <w:spacing w:after="0" w:line="240" w:lineRule="auto"/>
              <w:jc w:val="right"/>
            </w:pPr>
            <w:r>
              <w:t>28,800</w:t>
            </w:r>
          </w:p>
        </w:tc>
        <w:tc>
          <w:tcPr>
            <w:tcBorders>
              <w:right w:val="single" w:color="000000" w:sz="8" w:space="0"/>
            </w:tcBorders>
            <w:vAlign w:val="center"/>
          </w:tcPr>
          <w:p w14:paraId="3C389F5C">
            <w:pPr>
              <w:spacing w:after="0" w:line="240" w:lineRule="auto"/>
              <w:jc w:val="right"/>
            </w:pPr>
            <w:r>
              <w:t>57,600</w:t>
            </w:r>
          </w:p>
        </w:tc>
      </w:tr>
      <w:tr w14:paraId="4D0700ED">
        <w:tblPrEx>
          <w:tblCellMar>
            <w:top w:w="80" w:type="dxa"/>
            <w:left w:w="160" w:type="dxa"/>
            <w:bottom w:w="80" w:type="dxa"/>
            <w:right w:w="160" w:type="dxa"/>
          </w:tblCellMar>
        </w:tblPrEx>
        <w:trPr>
          <w:cantSplit/>
          <w:tblCellSpacing w:w="0" w:type="dxa"/>
          <w:jc w:val="center"/>
        </w:trPr>
        <w:tc>
          <w:tcPr>
            <w:tcBorders>
              <w:left w:val="single" w:color="000000" w:sz="8" w:space="0"/>
              <w:right w:val="single" w:color="000000" w:sz="8" w:space="0"/>
            </w:tcBorders>
            <w:vAlign w:val="center"/>
          </w:tcPr>
          <w:p w14:paraId="5DCFD99F">
            <w:pPr>
              <w:spacing w:after="0" w:line="240" w:lineRule="auto"/>
              <w:jc w:val="left"/>
            </w:pPr>
            <w:r>
              <w:t>Kitchen memberships</w:t>
            </w:r>
          </w:p>
        </w:tc>
        <w:tc>
          <w:tcPr>
            <w:tcBorders>
              <w:right w:val="single" w:color="000000" w:sz="8" w:space="0"/>
            </w:tcBorders>
            <w:vAlign w:val="center"/>
          </w:tcPr>
          <w:p w14:paraId="367B51FD">
            <w:pPr>
              <w:spacing w:after="0" w:line="240" w:lineRule="auto"/>
              <w:jc w:val="right"/>
            </w:pPr>
            <w:r>
              <w:t>6,000</w:t>
            </w:r>
          </w:p>
        </w:tc>
        <w:tc>
          <w:tcPr>
            <w:tcBorders>
              <w:right w:val="single" w:color="000000" w:sz="8" w:space="0"/>
            </w:tcBorders>
            <w:vAlign w:val="center"/>
          </w:tcPr>
          <w:p w14:paraId="48F605A0">
            <w:pPr>
              <w:spacing w:after="0" w:line="240" w:lineRule="auto"/>
              <w:jc w:val="right"/>
            </w:pPr>
            <w:r>
              <w:t>18,000</w:t>
            </w:r>
          </w:p>
        </w:tc>
        <w:tc>
          <w:tcPr>
            <w:tcBorders>
              <w:right w:val="single" w:color="000000" w:sz="8" w:space="0"/>
            </w:tcBorders>
            <w:vAlign w:val="center"/>
          </w:tcPr>
          <w:p w14:paraId="2CABCAC7">
            <w:pPr>
              <w:spacing w:after="0" w:line="240" w:lineRule="auto"/>
              <w:jc w:val="right"/>
            </w:pPr>
            <w:r>
              <w:t>24,000</w:t>
            </w:r>
          </w:p>
        </w:tc>
      </w:tr>
      <w:tr w14:paraId="67B6B455">
        <w:tblPrEx>
          <w:tblCellMar>
            <w:top w:w="80" w:type="dxa"/>
            <w:left w:w="160" w:type="dxa"/>
            <w:bottom w:w="80" w:type="dxa"/>
            <w:right w:w="160" w:type="dxa"/>
          </w:tblCellMar>
        </w:tblPrEx>
        <w:trPr>
          <w:cantSplit/>
          <w:tblCellSpacing w:w="0" w:type="dxa"/>
          <w:jc w:val="center"/>
        </w:trPr>
        <w:tc>
          <w:tcPr>
            <w:tcBorders>
              <w:left w:val="single" w:color="000000" w:sz="8" w:space="0"/>
              <w:right w:val="single" w:color="000000" w:sz="8" w:space="0"/>
            </w:tcBorders>
            <w:vAlign w:val="center"/>
          </w:tcPr>
          <w:p w14:paraId="640A9B5C">
            <w:pPr>
              <w:spacing w:after="0" w:line="240" w:lineRule="auto"/>
              <w:jc w:val="left"/>
            </w:pPr>
            <w:r>
              <w:t>Equipment commissions</w:t>
            </w:r>
          </w:p>
        </w:tc>
        <w:tc>
          <w:tcPr>
            <w:tcBorders>
              <w:right w:val="single" w:color="000000" w:sz="8" w:space="0"/>
            </w:tcBorders>
            <w:vAlign w:val="center"/>
          </w:tcPr>
          <w:p w14:paraId="11A609D7">
            <w:pPr>
              <w:spacing w:after="0" w:line="240" w:lineRule="auto"/>
              <w:jc w:val="right"/>
            </w:pPr>
            <w:r>
              <w:t>2,600</w:t>
            </w:r>
          </w:p>
        </w:tc>
        <w:tc>
          <w:tcPr>
            <w:tcBorders>
              <w:right w:val="single" w:color="000000" w:sz="8" w:space="0"/>
            </w:tcBorders>
            <w:vAlign w:val="center"/>
          </w:tcPr>
          <w:p w14:paraId="2659D54B">
            <w:pPr>
              <w:spacing w:after="0" w:line="240" w:lineRule="auto"/>
              <w:jc w:val="right"/>
            </w:pPr>
            <w:r>
              <w:t>6,500</w:t>
            </w:r>
          </w:p>
        </w:tc>
        <w:tc>
          <w:tcPr>
            <w:tcBorders>
              <w:right w:val="single" w:color="000000" w:sz="8" w:space="0"/>
            </w:tcBorders>
            <w:vAlign w:val="center"/>
          </w:tcPr>
          <w:p w14:paraId="7AC832C6">
            <w:pPr>
              <w:spacing w:after="0" w:line="240" w:lineRule="auto"/>
              <w:jc w:val="right"/>
            </w:pPr>
            <w:r>
              <w:t>10,400</w:t>
            </w:r>
          </w:p>
        </w:tc>
      </w:tr>
      <w:tr w14:paraId="1CC9BCE6">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6F2C076A">
            <w:pPr>
              <w:spacing w:after="0" w:line="240" w:lineRule="auto"/>
              <w:jc w:val="left"/>
            </w:pPr>
            <w:r>
              <w:t>Events &amp; consulting</w:t>
            </w:r>
          </w:p>
        </w:tc>
        <w:tc>
          <w:tcPr>
            <w:tcBorders>
              <w:bottom w:val="single" w:color="000000" w:sz="8" w:space="0"/>
              <w:right w:val="single" w:color="000000" w:sz="8" w:space="0"/>
            </w:tcBorders>
            <w:vAlign w:val="center"/>
          </w:tcPr>
          <w:p w14:paraId="33803976">
            <w:pPr>
              <w:spacing w:after="0" w:line="240" w:lineRule="auto"/>
              <w:jc w:val="right"/>
            </w:pPr>
            <w:r>
              <w:t>4,000</w:t>
            </w:r>
          </w:p>
        </w:tc>
        <w:tc>
          <w:tcPr>
            <w:tcBorders>
              <w:bottom w:val="single" w:color="000000" w:sz="8" w:space="0"/>
              <w:right w:val="single" w:color="000000" w:sz="8" w:space="0"/>
            </w:tcBorders>
            <w:vAlign w:val="center"/>
          </w:tcPr>
          <w:p w14:paraId="6316183F">
            <w:pPr>
              <w:spacing w:after="0" w:line="240" w:lineRule="auto"/>
              <w:jc w:val="right"/>
            </w:pPr>
            <w:r>
              <w:t>5,400</w:t>
            </w:r>
          </w:p>
        </w:tc>
        <w:tc>
          <w:tcPr>
            <w:tcBorders>
              <w:bottom w:val="single" w:color="000000" w:sz="8" w:space="0"/>
              <w:right w:val="single" w:color="000000" w:sz="8" w:space="0"/>
            </w:tcBorders>
            <w:vAlign w:val="center"/>
          </w:tcPr>
          <w:p w14:paraId="18AF70DC">
            <w:pPr>
              <w:spacing w:after="0" w:line="240" w:lineRule="auto"/>
              <w:jc w:val="right"/>
            </w:pPr>
            <w:r>
              <w:t>6,000</w:t>
            </w:r>
          </w:p>
        </w:tc>
      </w:tr>
      <w:tr w14:paraId="04244F70">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5390A1D1">
            <w:pPr>
              <w:spacing w:after="0" w:line="240" w:lineRule="auto"/>
              <w:jc w:val="left"/>
            </w:pPr>
            <w:r>
              <w:rPr>
                <w:b/>
              </w:rPr>
              <w:t>Total Revenue</w:t>
            </w:r>
          </w:p>
        </w:tc>
        <w:tc>
          <w:tcPr>
            <w:tcBorders>
              <w:bottom w:val="single" w:color="000000" w:sz="8" w:space="0"/>
              <w:right w:val="single" w:color="000000" w:sz="8" w:space="0"/>
            </w:tcBorders>
            <w:vAlign w:val="center"/>
          </w:tcPr>
          <w:p w14:paraId="5B2A0586">
            <w:pPr>
              <w:spacing w:after="0" w:line="240" w:lineRule="auto"/>
              <w:jc w:val="right"/>
            </w:pPr>
            <w:r>
              <w:rPr>
                <w:b/>
              </w:rPr>
              <w:t>28,200</w:t>
            </w:r>
          </w:p>
        </w:tc>
        <w:tc>
          <w:tcPr>
            <w:tcBorders>
              <w:bottom w:val="single" w:color="000000" w:sz="8" w:space="0"/>
              <w:right w:val="single" w:color="000000" w:sz="8" w:space="0"/>
            </w:tcBorders>
            <w:vAlign w:val="center"/>
          </w:tcPr>
          <w:p w14:paraId="75123277">
            <w:pPr>
              <w:spacing w:after="0" w:line="240" w:lineRule="auto"/>
              <w:jc w:val="right"/>
            </w:pPr>
            <w:r>
              <w:rPr>
                <w:b/>
              </w:rPr>
              <w:t>87,500</w:t>
            </w:r>
          </w:p>
        </w:tc>
        <w:tc>
          <w:tcPr>
            <w:tcBorders>
              <w:bottom w:val="single" w:color="000000" w:sz="8" w:space="0"/>
              <w:right w:val="single" w:color="000000" w:sz="8" w:space="0"/>
            </w:tcBorders>
            <w:vAlign w:val="center"/>
          </w:tcPr>
          <w:p w14:paraId="2A9AC6E8">
            <w:pPr>
              <w:spacing w:after="0" w:line="240" w:lineRule="auto"/>
              <w:jc w:val="right"/>
            </w:pPr>
            <w:r>
              <w:rPr>
                <w:b/>
              </w:rPr>
              <w:t>152,000</w:t>
            </w:r>
          </w:p>
        </w:tc>
      </w:tr>
    </w:tbl>
    <w:p w14:paraId="252EA11D"/>
    <w:p w14:paraId="12A7B901">
      <w:pPr>
        <w:spacing w:after="210"/>
      </w:pPr>
      <w:r>
        <w:rPr>
          <w:b/>
        </w:rPr>
        <w:t>Growth Drivers:</w:t>
      </w:r>
    </w:p>
    <w:p w14:paraId="2901A509">
      <w:pPr>
        <w:numPr>
          <w:ilvl w:val="0"/>
          <w:numId w:val="23"/>
        </w:numPr>
      </w:pPr>
      <w:r>
        <w:t>Year 1: Pilot phase establishing reputation, refining pricing, building partnerships</w:t>
      </w:r>
    </w:p>
    <w:p w14:paraId="12AF4FA5">
      <w:pPr>
        <w:numPr>
          <w:ilvl w:val="0"/>
          <w:numId w:val="23"/>
        </w:numPr>
      </w:pPr>
      <w:r>
        <w:t>Year 2: 210% growth from optimi</w:t>
      </w:r>
      <w:r>
        <w:rPr>
          <w:rFonts w:hint="default"/>
          <w:lang w:val="en-GB"/>
        </w:rPr>
        <w:t>s</w:t>
      </w:r>
      <w:r>
        <w:t>ed Bristol operations, expanded digital reach, initial spoke deployments</w:t>
      </w:r>
    </w:p>
    <w:p w14:paraId="07FAE1E8">
      <w:pPr>
        <w:numPr>
          <w:ilvl w:val="0"/>
          <w:numId w:val="23"/>
        </w:numPr>
      </w:pPr>
      <w:r>
        <w:t>Year 3: 74% growth from maturity in Bristol, national digital platform, 3+ licensed hub locations</w:t>
      </w:r>
    </w:p>
    <w:p w14:paraId="75B68113">
      <w:pPr>
        <w:spacing w:before="240" w:line="271" w:lineRule="auto"/>
      </w:pPr>
      <w:bookmarkStart w:id="18" w:name="bm_5_2_cost_structure_high_level"/>
      <w:r>
        <w:rPr>
          <w:b/>
          <w:sz w:val="33"/>
        </w:rPr>
        <w:t>5.2 Cost Structure (High-Level)</w:t>
      </w:r>
      <w:bookmarkEnd w:id="18"/>
    </w:p>
    <w:p w14:paraId="3AF127BA">
      <w:pPr>
        <w:spacing w:after="210"/>
      </w:pPr>
      <w:r>
        <w:rPr>
          <w:b/>
        </w:rPr>
        <w:t>Major Categories:</w:t>
      </w:r>
    </w:p>
    <w:p w14:paraId="71B2DB8F">
      <w:pPr>
        <w:numPr>
          <w:ilvl w:val="0"/>
          <w:numId w:val="24"/>
        </w:numPr>
      </w:pPr>
      <w:r>
        <w:t>Premises &amp; utilities (hub space, equipment, energy)</w:t>
      </w:r>
    </w:p>
    <w:p w14:paraId="286B328E">
      <w:pPr>
        <w:numPr>
          <w:ilvl w:val="0"/>
          <w:numId w:val="24"/>
        </w:numPr>
      </w:pPr>
      <w:r>
        <w:t>Staff &amp; contractors (training, operations, tech development, marketing)</w:t>
      </w:r>
    </w:p>
    <w:p w14:paraId="502C89B9">
      <w:pPr>
        <w:numPr>
          <w:ilvl w:val="0"/>
          <w:numId w:val="24"/>
        </w:numPr>
      </w:pPr>
      <w:r>
        <w:t>Technology (cloud hosting, software, AI dashboard development)</w:t>
      </w:r>
    </w:p>
    <w:p w14:paraId="4897C1B2">
      <w:pPr>
        <w:numPr>
          <w:ilvl w:val="0"/>
          <w:numId w:val="24"/>
        </w:numPr>
      </w:pPr>
      <w:r>
        <w:t>Marketing &amp; outreach (events, community engagement, materials)</w:t>
      </w:r>
    </w:p>
    <w:p w14:paraId="3DE06F9E">
      <w:pPr>
        <w:numPr>
          <w:ilvl w:val="0"/>
          <w:numId w:val="24"/>
        </w:numPr>
      </w:pPr>
      <w:r>
        <w:t>Insurance, compliance, accounting, legal</w:t>
      </w:r>
    </w:p>
    <w:p w14:paraId="301A5B1B">
      <w:pPr>
        <w:spacing w:after="210"/>
      </w:pPr>
      <w:r>
        <w:rPr>
          <w:b/>
        </w:rPr>
        <w:t>Cost Management Strategy:</w:t>
      </w:r>
    </w:p>
    <w:p w14:paraId="614BFFAB">
      <w:pPr>
        <w:numPr>
          <w:ilvl w:val="0"/>
          <w:numId w:val="25"/>
        </w:numPr>
      </w:pPr>
      <w:r>
        <w:t>Lean operations leveraging Future Leap facilities (Year 1)</w:t>
      </w:r>
    </w:p>
    <w:p w14:paraId="1E17B17B">
      <w:pPr>
        <w:numPr>
          <w:ilvl w:val="0"/>
          <w:numId w:val="25"/>
        </w:numPr>
      </w:pPr>
      <w:r>
        <w:t>Phased hiring linked to revenue milestones</w:t>
      </w:r>
    </w:p>
    <w:p w14:paraId="68958D81">
      <w:pPr>
        <w:numPr>
          <w:ilvl w:val="0"/>
          <w:numId w:val="25"/>
        </w:numPr>
      </w:pPr>
      <w:r>
        <w:t>Referral-based equipment model (no inventory)</w:t>
      </w:r>
    </w:p>
    <w:p w14:paraId="6DF1DE27">
      <w:pPr>
        <w:numPr>
          <w:ilvl w:val="0"/>
          <w:numId w:val="25"/>
        </w:numPr>
      </w:pPr>
      <w:r>
        <w:t>Digital-first marketing (low cost, high reach)</w:t>
      </w:r>
    </w:p>
    <w:p w14:paraId="53840CF3">
      <w:pPr>
        <w:spacing w:before="240" w:line="271" w:lineRule="auto"/>
      </w:pPr>
      <w:bookmarkStart w:id="19" w:name="bm_5_3_funding_requirements"/>
      <w:r>
        <w:rPr>
          <w:b/>
          <w:sz w:val="33"/>
        </w:rPr>
        <w:t>5.3 Funding Requirements</w:t>
      </w:r>
      <w:bookmarkEnd w:id="19"/>
    </w:p>
    <w:p w14:paraId="655EAA6A">
      <w:pPr>
        <w:spacing w:after="210"/>
      </w:pPr>
      <w:r>
        <w:rPr>
          <w:b/>
        </w:rPr>
        <w:t>Immediate Needs (Year 1):</w:t>
      </w:r>
    </w:p>
    <w:p w14:paraId="4D574662">
      <w:pPr>
        <w:numPr>
          <w:ilvl w:val="0"/>
          <w:numId w:val="26"/>
        </w:numPr>
      </w:pPr>
      <w:r>
        <w:rPr>
          <w:rFonts w:ascii="Georgia" w:hAnsi="Georgia" w:eastAsia="Georgia" w:cs="Georgia"/>
        </w:rPr>
        <w:t>£15,000–£25,000 for hub setup, equipment, initial marketing</w:t>
      </w:r>
    </w:p>
    <w:p w14:paraId="4A51523D">
      <w:pPr>
        <w:numPr>
          <w:ilvl w:val="0"/>
          <w:numId w:val="26"/>
        </w:numPr>
      </w:pPr>
      <w:r>
        <w:t>Currently unfunded; grant applications in preparation</w:t>
      </w:r>
    </w:p>
    <w:p w14:paraId="2CE70BD2">
      <w:pPr>
        <w:spacing w:after="210"/>
      </w:pPr>
      <w:r>
        <w:rPr>
          <w:b/>
        </w:rPr>
        <w:t>Grant Pipeline:</w:t>
      </w:r>
    </w:p>
    <w:p w14:paraId="3B072B9C">
      <w:pPr>
        <w:numPr>
          <w:ilvl w:val="0"/>
          <w:numId w:val="27"/>
        </w:numPr>
      </w:pPr>
      <w:r>
        <w:t>Innovate UK (innovation funding)</w:t>
      </w:r>
    </w:p>
    <w:p w14:paraId="37C82673">
      <w:pPr>
        <w:numPr>
          <w:ilvl w:val="0"/>
          <w:numId w:val="27"/>
        </w:numPr>
      </w:pPr>
      <w:r>
        <w:t>UKSPF (local community development)</w:t>
      </w:r>
    </w:p>
    <w:p w14:paraId="41D3C11F">
      <w:pPr>
        <w:numPr>
          <w:ilvl w:val="0"/>
          <w:numId w:val="27"/>
        </w:numPr>
      </w:pPr>
      <w:r>
        <w:t>WECA Green Economy Fund (Bristol-specific)</w:t>
      </w:r>
    </w:p>
    <w:p w14:paraId="44945F58">
      <w:pPr>
        <w:numPr>
          <w:ilvl w:val="0"/>
          <w:numId w:val="27"/>
        </w:numPr>
      </w:pPr>
      <w:r>
        <w:t>National Lottery Community Fund (social impact)</w:t>
      </w:r>
    </w:p>
    <w:p w14:paraId="162902FC">
      <w:pPr>
        <w:numPr>
          <w:ilvl w:val="0"/>
          <w:numId w:val="27"/>
        </w:numPr>
      </w:pPr>
      <w:r>
        <w:rPr>
          <w:rFonts w:ascii="Georgia" w:hAnsi="Georgia" w:eastAsia="Georgia" w:cs="Georgia"/>
        </w:rPr>
        <w:t>Target: £125,000+ secured by Q2 2026</w:t>
      </w:r>
    </w:p>
    <w:p w14:paraId="482EE8BC">
      <w:pPr>
        <w:spacing w:after="210"/>
      </w:pPr>
      <w:r>
        <w:rPr>
          <w:b/>
        </w:rPr>
        <w:t>Investment Opportunity:</w:t>
      </w:r>
    </w:p>
    <w:p w14:paraId="31B70078">
      <w:pPr>
        <w:numPr>
          <w:ilvl w:val="0"/>
          <w:numId w:val="28"/>
        </w:numPr>
      </w:pPr>
      <w:r>
        <w:t>Social impact investors aligned with sustainability and community empowerment</w:t>
      </w:r>
    </w:p>
    <w:p w14:paraId="15CDF5E1">
      <w:pPr>
        <w:numPr>
          <w:ilvl w:val="0"/>
          <w:numId w:val="28"/>
        </w:numPr>
      </w:pPr>
      <w:r>
        <w:t>Equipment partners providing in-kind support (e.g., Magimix Cook Expert)</w:t>
      </w:r>
    </w:p>
    <w:p w14:paraId="5E9C15FF">
      <w:r>
        <w:pict>
          <v:rect id="_x0000_i1031" o:spt="1" style="height:0.05pt;width:434.5pt;" coordsize="21600,21600" o:hr="t" o:hrstd="t" o:hralign="center">
            <v:path/>
            <v:fill focussize="0,0"/>
            <v:stroke/>
            <v:imagedata o:title=""/>
            <o:lock v:ext="edit"/>
            <w10:wrap type="none"/>
            <w10:anchorlock/>
          </v:rect>
        </w:pict>
      </w:r>
    </w:p>
    <w:p w14:paraId="0820899A">
      <w:pPr>
        <w:spacing w:before="240" w:line="271" w:lineRule="auto"/>
      </w:pPr>
      <w:bookmarkStart w:id="20" w:name="bm_6_partnerships_validation"/>
      <w:r>
        <w:rPr>
          <w:b/>
          <w:sz w:val="42"/>
        </w:rPr>
        <w:t>6. Partnerships &amp; Validation</w:t>
      </w:r>
      <w:bookmarkEnd w:id="20"/>
    </w:p>
    <w:tbl>
      <w:tblPr>
        <w:tblStyle w:val="5"/>
        <w:tblW w:w="0" w:type="auto"/>
        <w:jc w:val="center"/>
        <w:tblCellSpacing w:w="0" w:type="dxa"/>
        <w:tblLayout w:type="autofit"/>
        <w:tblCellMar>
          <w:top w:w="80" w:type="dxa"/>
          <w:left w:w="160" w:type="dxa"/>
          <w:bottom w:w="80" w:type="dxa"/>
          <w:right w:w="160" w:type="dxa"/>
        </w:tblCellMar>
      </w:tblPr>
      <w:tblGrid>
        <w:gridCol w:w="2355"/>
        <w:gridCol w:w="6695"/>
      </w:tblGrid>
      <w:tr w14:paraId="206B7688">
        <w:tblPrEx>
          <w:tblCellMar>
            <w:top w:w="80" w:type="dxa"/>
            <w:left w:w="160" w:type="dxa"/>
            <w:bottom w:w="80" w:type="dxa"/>
            <w:right w:w="160" w:type="dxa"/>
          </w:tblCellMar>
        </w:tblPrEx>
        <w:trPr>
          <w:cantSplit/>
          <w:tblCellSpacing w:w="0" w:type="dxa"/>
          <w:jc w:val="center"/>
        </w:trPr>
        <w:tc>
          <w:tcPr>
            <w:tcBorders>
              <w:top w:val="single" w:color="000000" w:sz="8" w:space="0"/>
              <w:left w:val="single" w:color="000000" w:sz="8" w:space="0"/>
              <w:bottom w:val="single" w:color="000000" w:sz="8" w:space="0"/>
              <w:right w:val="single" w:color="000000" w:sz="8" w:space="0"/>
            </w:tcBorders>
            <w:vAlign w:val="center"/>
          </w:tcPr>
          <w:p w14:paraId="7F70922A">
            <w:pPr>
              <w:spacing w:after="0" w:line="240" w:lineRule="auto"/>
              <w:jc w:val="left"/>
            </w:pPr>
            <w:r>
              <w:rPr>
                <w:b/>
              </w:rPr>
              <w:t>Partner</w:t>
            </w:r>
          </w:p>
        </w:tc>
        <w:tc>
          <w:tcPr>
            <w:tcBorders>
              <w:top w:val="single" w:color="000000" w:sz="8" w:space="0"/>
              <w:bottom w:val="single" w:color="000000" w:sz="8" w:space="0"/>
              <w:right w:val="single" w:color="000000" w:sz="8" w:space="0"/>
            </w:tcBorders>
            <w:vAlign w:val="top"/>
          </w:tcPr>
          <w:p w14:paraId="3B64EC50">
            <w:pPr>
              <w:spacing w:after="0" w:line="240" w:lineRule="auto"/>
              <w:jc w:val="left"/>
            </w:pPr>
            <w:r>
              <w:rPr>
                <w:b/>
              </w:rPr>
              <w:t>Status &amp; Opportunity</w:t>
            </w:r>
          </w:p>
        </w:tc>
      </w:tr>
      <w:tr w14:paraId="73ECE8D4">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1F07D93E">
            <w:pPr>
              <w:spacing w:after="0" w:line="240" w:lineRule="auto"/>
              <w:jc w:val="left"/>
            </w:pPr>
            <w:r>
              <w:t>Future Leap Bristol</w:t>
            </w:r>
          </w:p>
        </w:tc>
        <w:tc>
          <w:tcPr>
            <w:tcBorders>
              <w:bottom w:val="single" w:color="000000" w:sz="8" w:space="0"/>
              <w:right w:val="single" w:color="000000" w:sz="8" w:space="0"/>
            </w:tcBorders>
            <w:vAlign w:val="top"/>
          </w:tcPr>
          <w:p w14:paraId="0D56DE84">
            <w:pPr>
              <w:spacing w:after="0" w:line="240" w:lineRule="auto"/>
              <w:jc w:val="left"/>
            </w:pPr>
            <w:r>
              <w:rPr>
                <w:b/>
              </w:rPr>
              <w:t>Confirmed.</w:t>
            </w:r>
            <w:r>
              <w:t xml:space="preserve"> WECA-funded sustainability partner providing facilities, expertise, network access for 6-month pilot.</w:t>
            </w:r>
          </w:p>
        </w:tc>
      </w:tr>
      <w:tr w14:paraId="2BBA2808">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31913066">
            <w:pPr>
              <w:spacing w:after="0" w:line="240" w:lineRule="auto"/>
              <w:jc w:val="left"/>
            </w:pPr>
            <w:r>
              <w:t>WECA</w:t>
            </w:r>
          </w:p>
        </w:tc>
        <w:tc>
          <w:tcPr>
            <w:tcBorders>
              <w:bottom w:val="single" w:color="000000" w:sz="8" w:space="0"/>
              <w:right w:val="single" w:color="000000" w:sz="8" w:space="0"/>
            </w:tcBorders>
            <w:vAlign w:val="top"/>
          </w:tcPr>
          <w:p w14:paraId="23E71F80">
            <w:pPr>
              <w:spacing w:after="0" w:line="240" w:lineRule="auto"/>
              <w:jc w:val="left"/>
            </w:pPr>
            <w:r>
              <w:rPr>
                <w:rFonts w:ascii="Georgia" w:hAnsi="Georgia" w:eastAsia="Georgia" w:cs="Georgia"/>
              </w:rPr>
              <w:t>West of England Combined Authority — institutional funder of Future Leap partnership, indicating regional backing.</w:t>
            </w:r>
          </w:p>
        </w:tc>
      </w:tr>
      <w:tr w14:paraId="4BEFAA49">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4A2EC906">
            <w:pPr>
              <w:spacing w:after="0" w:line="240" w:lineRule="auto"/>
              <w:jc w:val="left"/>
            </w:pPr>
            <w:r>
              <w:t>North Bristol NHS Trust</w:t>
            </w:r>
          </w:p>
        </w:tc>
        <w:tc>
          <w:tcPr>
            <w:tcBorders>
              <w:bottom w:val="single" w:color="000000" w:sz="8" w:space="0"/>
              <w:right w:val="single" w:color="000000" w:sz="8" w:space="0"/>
            </w:tcBorders>
            <w:vAlign w:val="top"/>
          </w:tcPr>
          <w:p w14:paraId="27024F53">
            <w:pPr>
              <w:spacing w:after="0" w:line="240" w:lineRule="auto"/>
              <w:jc w:val="left"/>
            </w:pPr>
            <w:r>
              <w:t>Initial contact established with Community Outreach Manager at Southmead Hospital. Exploring sustainability and community engagement programmes.</w:t>
            </w:r>
          </w:p>
        </w:tc>
      </w:tr>
      <w:tr w14:paraId="42A366E8">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787DE135">
            <w:pPr>
              <w:spacing w:after="0" w:line="240" w:lineRule="auto"/>
              <w:jc w:val="left"/>
            </w:pPr>
            <w:r>
              <w:t>Bristol City Council Sustainability</w:t>
            </w:r>
          </w:p>
        </w:tc>
        <w:tc>
          <w:tcPr>
            <w:tcBorders>
              <w:bottom w:val="single" w:color="000000" w:sz="8" w:space="0"/>
              <w:right w:val="single" w:color="000000" w:sz="8" w:space="0"/>
            </w:tcBorders>
            <w:vAlign w:val="top"/>
          </w:tcPr>
          <w:p w14:paraId="24F9758E">
            <w:pPr>
              <w:spacing w:after="0" w:line="240" w:lineRule="auto"/>
              <w:jc w:val="left"/>
            </w:pPr>
            <w:r>
              <w:t>Target partner from Month 7 for community-level Net Zero initiatives.</w:t>
            </w:r>
          </w:p>
        </w:tc>
      </w:tr>
      <w:tr w14:paraId="1084EDC5">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0BEC93A4">
            <w:pPr>
              <w:spacing w:after="0" w:line="240" w:lineRule="auto"/>
              <w:jc w:val="left"/>
            </w:pPr>
            <w:r>
              <w:t>Magimix UK</w:t>
            </w:r>
          </w:p>
        </w:tc>
        <w:tc>
          <w:tcPr>
            <w:tcBorders>
              <w:bottom w:val="single" w:color="000000" w:sz="8" w:space="0"/>
              <w:right w:val="single" w:color="000000" w:sz="8" w:space="0"/>
            </w:tcBorders>
            <w:vAlign w:val="top"/>
          </w:tcPr>
          <w:p w14:paraId="50E8C755">
            <w:pPr>
              <w:spacing w:after="0" w:line="240" w:lineRule="auto"/>
              <w:jc w:val="left"/>
            </w:pPr>
            <w:r>
              <w:t>Target for commission-based equipment referral partnership. Proposal in preparation.</w:t>
            </w:r>
          </w:p>
        </w:tc>
      </w:tr>
    </w:tbl>
    <w:p w14:paraId="34277FAA"/>
    <w:p w14:paraId="2DD42F0E">
      <w:r>
        <w:pict>
          <v:rect id="_x0000_i1032" o:spt="1" style="height:0.05pt;width:434.5pt;" coordsize="21600,21600" o:hr="t" o:hrstd="t" o:hralign="center">
            <v:path/>
            <v:fill focussize="0,0"/>
            <v:stroke/>
            <v:imagedata o:title=""/>
            <o:lock v:ext="edit"/>
            <w10:wrap type="none"/>
            <w10:anchorlock/>
          </v:rect>
        </w:pict>
      </w:r>
    </w:p>
    <w:p w14:paraId="1064FE4F">
      <w:pPr>
        <w:spacing w:before="240" w:line="271" w:lineRule="auto"/>
      </w:pPr>
      <w:bookmarkStart w:id="21" w:name="bm_7_intellectual_property"/>
      <w:r>
        <w:rPr>
          <w:b/>
          <w:sz w:val="42"/>
        </w:rPr>
        <w:t>7. Intellectual Property</w:t>
      </w:r>
      <w:bookmarkEnd w:id="21"/>
    </w:p>
    <w:p w14:paraId="1DEEB887">
      <w:pPr>
        <w:spacing w:after="210"/>
      </w:pPr>
      <w:r>
        <w:rPr>
          <w:b/>
        </w:rPr>
        <w:t>Protected Assets:</w:t>
      </w:r>
    </w:p>
    <w:p w14:paraId="3A797A6D">
      <w:pPr>
        <w:numPr>
          <w:ilvl w:val="0"/>
          <w:numId w:val="29"/>
        </w:numPr>
      </w:pPr>
      <w:r>
        <w:rPr>
          <w:b/>
        </w:rPr>
        <w:t>Smart-Prep name and methodology</w:t>
      </w:r>
      <w:r>
        <w:rPr>
          <w:rFonts w:ascii="Georgia" w:hAnsi="Georgia" w:eastAsia="Georgia" w:cs="Georgia"/>
        </w:rPr>
        <w:t xml:space="preserve"> — trademark application in preparation</w:t>
      </w:r>
    </w:p>
    <w:p w14:paraId="555E12F0">
      <w:pPr>
        <w:numPr>
          <w:ilvl w:val="0"/>
          <w:numId w:val="29"/>
        </w:numPr>
      </w:pPr>
      <w:r>
        <w:rPr>
          <w:b/>
        </w:rPr>
        <w:t>Cookbook content</w:t>
      </w:r>
      <w:r>
        <w:rPr>
          <w:rFonts w:ascii="Georgia" w:hAnsi="Georgia" w:eastAsia="Georgia" w:cs="Georgia"/>
        </w:rPr>
        <w:t xml:space="preserve"> — copyright protection (11 recipes, 40+ in development)</w:t>
      </w:r>
    </w:p>
    <w:p w14:paraId="1CC124CA">
      <w:pPr>
        <w:numPr>
          <w:ilvl w:val="0"/>
          <w:numId w:val="29"/>
        </w:numPr>
      </w:pPr>
      <w:r>
        <w:rPr>
          <w:b/>
        </w:rPr>
        <w:t>AI carbon tracking algorithms</w:t>
      </w:r>
      <w:r>
        <w:rPr>
          <w:rFonts w:ascii="Georgia" w:hAnsi="Georgia" w:eastAsia="Georgia" w:cs="Georgia"/>
        </w:rPr>
        <w:t xml:space="preserve"> — trade secret protection</w:t>
      </w:r>
    </w:p>
    <w:p w14:paraId="3B5A775C">
      <w:pPr>
        <w:numPr>
          <w:ilvl w:val="0"/>
          <w:numId w:val="29"/>
        </w:numPr>
      </w:pPr>
      <w:r>
        <w:rPr>
          <w:b/>
        </w:rPr>
        <w:t>Community databases and relationships</w:t>
      </w:r>
      <w:r>
        <w:rPr>
          <w:rFonts w:ascii="Georgia" w:hAnsi="Georgia" w:eastAsia="Georgia" w:cs="Georgia"/>
        </w:rPr>
        <w:t xml:space="preserve"> — confidential business information</w:t>
      </w:r>
    </w:p>
    <w:p w14:paraId="335BF2A2">
      <w:pPr>
        <w:spacing w:after="210"/>
      </w:pPr>
      <w:r>
        <w:rPr>
          <w:b/>
        </w:rPr>
        <w:t>IP Strategy:</w:t>
      </w:r>
    </w:p>
    <w:p w14:paraId="4357031C">
      <w:pPr>
        <w:numPr>
          <w:ilvl w:val="0"/>
          <w:numId w:val="30"/>
        </w:numPr>
      </w:pPr>
      <w:r>
        <w:t>Retain full ownership of all proprietary assets</w:t>
      </w:r>
    </w:p>
    <w:p w14:paraId="38931C2F">
      <w:pPr>
        <w:numPr>
          <w:ilvl w:val="0"/>
          <w:numId w:val="30"/>
        </w:numPr>
      </w:pPr>
      <w:r>
        <w:t>License Smart-Prep content to partners under strict terms</w:t>
      </w:r>
    </w:p>
    <w:p w14:paraId="4351EB90">
      <w:pPr>
        <w:numPr>
          <w:ilvl w:val="0"/>
          <w:numId w:val="30"/>
        </w:numPr>
      </w:pPr>
      <w:r>
        <w:t>Protect trade secrets through NDAs and employment contracts</w:t>
      </w:r>
    </w:p>
    <w:p w14:paraId="25423B34">
      <w:pPr>
        <w:numPr>
          <w:ilvl w:val="0"/>
          <w:numId w:val="30"/>
        </w:numPr>
      </w:pPr>
      <w:r>
        <w:t>Pursue trademark registration for "Smart-Prep" brand (Q2 2026)</w:t>
      </w:r>
    </w:p>
    <w:p w14:paraId="1BC0FCC0">
      <w:r>
        <w:pict>
          <v:rect id="_x0000_i1033" o:spt="1" style="height:0.05pt;width:434.5pt;" coordsize="21600,21600" o:hr="t" o:hrstd="t" o:hralign="center">
            <v:path/>
            <v:fill focussize="0,0"/>
            <v:stroke/>
            <v:imagedata o:title=""/>
            <o:lock v:ext="edit"/>
            <w10:wrap type="none"/>
            <w10:anchorlock/>
          </v:rect>
        </w:pict>
      </w:r>
    </w:p>
    <w:p w14:paraId="0ED7B6F5">
      <w:pPr>
        <w:spacing w:before="240" w:line="271" w:lineRule="auto"/>
      </w:pPr>
      <w:bookmarkStart w:id="22" w:name="bm_8_implementation_roadmap"/>
      <w:r>
        <w:rPr>
          <w:b/>
          <w:sz w:val="42"/>
        </w:rPr>
        <w:t>8. Implementation Roadmap</w:t>
      </w:r>
      <w:bookmarkEnd w:id="22"/>
    </w:p>
    <w:p w14:paraId="63DAEE11">
      <w:pPr>
        <w:spacing w:before="240" w:line="271" w:lineRule="auto"/>
      </w:pPr>
      <w:bookmarkStart w:id="23" w:name="year_1_2026_pilot_phase"/>
      <w:r>
        <w:rPr>
          <w:b/>
          <w:sz w:val="33"/>
        </w:rPr>
        <w:t>Year 1 (2026): Pilot Phase</w:t>
      </w:r>
      <w:bookmarkEnd w:id="23"/>
    </w:p>
    <w:p w14:paraId="19ED8381">
      <w:pPr>
        <w:spacing w:after="210"/>
      </w:pPr>
      <w:r>
        <w:rPr>
          <w:b/>
        </w:rPr>
        <w:t>Q2 2026 (Apr–Jun):</w:t>
      </w:r>
    </w:p>
    <w:p w14:paraId="460BC439">
      <w:pPr>
        <w:numPr>
          <w:ilvl w:val="0"/>
          <w:numId w:val="31"/>
        </w:numPr>
      </w:pPr>
      <w:r>
        <w:t>Secure Bristol hub space (leverage Future Leap partnership)</w:t>
      </w:r>
    </w:p>
    <w:p w14:paraId="001DADFA">
      <w:pPr>
        <w:numPr>
          <w:ilvl w:val="0"/>
          <w:numId w:val="31"/>
        </w:numPr>
      </w:pPr>
      <w:r>
        <w:t>Finalize Smart-Prep cookbook (11 recipes ready, 20 more added)</w:t>
      </w:r>
    </w:p>
    <w:p w14:paraId="2E91A5E5">
      <w:pPr>
        <w:numPr>
          <w:ilvl w:val="0"/>
          <w:numId w:val="31"/>
        </w:numPr>
      </w:pPr>
      <w:r>
        <w:t>Run pilot: 50 households in Bristol</w:t>
      </w:r>
    </w:p>
    <w:p w14:paraId="6F53BD79">
      <w:pPr>
        <w:numPr>
          <w:ilvl w:val="0"/>
          <w:numId w:val="31"/>
        </w:numPr>
      </w:pPr>
      <w:r>
        <w:t>Establish equipment referral partnership (Magimix or alternative)</w:t>
      </w:r>
    </w:p>
    <w:p w14:paraId="2556E2A9">
      <w:pPr>
        <w:numPr>
          <w:ilvl w:val="0"/>
          <w:numId w:val="31"/>
        </w:numPr>
      </w:pPr>
      <w:r>
        <w:rPr>
          <w:rFonts w:ascii="Georgia" w:hAnsi="Georgia" w:eastAsia="Georgia" w:cs="Georgia"/>
        </w:rPr>
        <w:t>Submit grant applications (£125,000+ target)</w:t>
      </w:r>
    </w:p>
    <w:p w14:paraId="27498E46">
      <w:pPr>
        <w:spacing w:after="210"/>
      </w:pPr>
      <w:r>
        <w:rPr>
          <w:b/>
        </w:rPr>
        <w:t>Q3 2026 (Jul–Sep):</w:t>
      </w:r>
    </w:p>
    <w:p w14:paraId="568B23D4">
      <w:pPr>
        <w:numPr>
          <w:ilvl w:val="0"/>
          <w:numId w:val="32"/>
        </w:numPr>
      </w:pPr>
      <w:r>
        <w:t>Launch digital subscription platform (initial content: 20 videos)</w:t>
      </w:r>
    </w:p>
    <w:p w14:paraId="464256D6">
      <w:pPr>
        <w:numPr>
          <w:ilvl w:val="0"/>
          <w:numId w:val="32"/>
        </w:numPr>
      </w:pPr>
      <w:r>
        <w:t>Expand pilot to 200 participants (Bristol + other cities)</w:t>
      </w:r>
    </w:p>
    <w:p w14:paraId="6E100DC3">
      <w:pPr>
        <w:numPr>
          <w:ilvl w:val="0"/>
          <w:numId w:val="32"/>
        </w:numPr>
      </w:pPr>
      <w:r>
        <w:t>Progress NHS and council contacts to paid workshops</w:t>
      </w:r>
    </w:p>
    <w:p w14:paraId="6D63EEE3">
      <w:pPr>
        <w:numPr>
          <w:ilvl w:val="0"/>
          <w:numId w:val="32"/>
        </w:numPr>
      </w:pPr>
      <w:r>
        <w:t>Hire Kitchen Training Lead (part-time)</w:t>
      </w:r>
    </w:p>
    <w:p w14:paraId="25367A0B">
      <w:pPr>
        <w:spacing w:after="210"/>
      </w:pPr>
      <w:r>
        <w:rPr>
          <w:b/>
        </w:rPr>
        <w:t>Q4 2026 (Oct–Dec):</w:t>
      </w:r>
    </w:p>
    <w:p w14:paraId="1B855BF1">
      <w:pPr>
        <w:numPr>
          <w:ilvl w:val="0"/>
          <w:numId w:val="33"/>
        </w:numPr>
      </w:pPr>
      <w:r>
        <w:rPr>
          <w:rFonts w:ascii="Georgia" w:hAnsi="Georgia" w:eastAsia="Georgia" w:cs="Georgia"/>
        </w:rPr>
        <w:t>Achieve Year 1 revenue target (£28,200)</w:t>
      </w:r>
    </w:p>
    <w:p w14:paraId="7DD59E58">
      <w:pPr>
        <w:numPr>
          <w:ilvl w:val="0"/>
          <w:numId w:val="33"/>
        </w:numPr>
      </w:pPr>
      <w:r>
        <w:t>Collect baseline impact data (carbon, cost savings)</w:t>
      </w:r>
    </w:p>
    <w:p w14:paraId="64E22892">
      <w:pPr>
        <w:numPr>
          <w:ilvl w:val="0"/>
          <w:numId w:val="33"/>
        </w:numPr>
      </w:pPr>
      <w:r>
        <w:t>Secure 1st grant funding tranche</w:t>
      </w:r>
    </w:p>
    <w:p w14:paraId="5CC909AD">
      <w:pPr>
        <w:numPr>
          <w:ilvl w:val="0"/>
          <w:numId w:val="33"/>
        </w:numPr>
      </w:pPr>
      <w:r>
        <w:t>Plan Year 2 expansion</w:t>
      </w:r>
    </w:p>
    <w:p w14:paraId="4383C7AD">
      <w:pPr>
        <w:spacing w:before="240" w:line="271" w:lineRule="auto"/>
      </w:pPr>
      <w:bookmarkStart w:id="24" w:name="year_2_2027_optimization_regional_reach"/>
      <w:r>
        <w:rPr>
          <w:b/>
          <w:sz w:val="33"/>
        </w:rPr>
        <w:t>Year 2 (2027): Optimi</w:t>
      </w:r>
      <w:r>
        <w:rPr>
          <w:rFonts w:hint="default"/>
          <w:b/>
          <w:sz w:val="33"/>
          <w:lang w:val="en-GB"/>
        </w:rPr>
        <w:t>s</w:t>
      </w:r>
      <w:r>
        <w:rPr>
          <w:b/>
          <w:sz w:val="33"/>
        </w:rPr>
        <w:t>ation &amp; Regional Reach</w:t>
      </w:r>
      <w:bookmarkEnd w:id="24"/>
    </w:p>
    <w:p w14:paraId="4945B9DC">
      <w:pPr>
        <w:numPr>
          <w:ilvl w:val="0"/>
          <w:numId w:val="34"/>
        </w:numPr>
      </w:pPr>
      <w:r>
        <w:t>Increase Bristol hub utili</w:t>
      </w:r>
      <w:r>
        <w:rPr>
          <w:rFonts w:hint="default"/>
          <w:lang w:val="en-GB"/>
        </w:rPr>
        <w:t>s</w:t>
      </w:r>
      <w:r>
        <w:t>ation (improved scheduling, bundle offers)</w:t>
      </w:r>
    </w:p>
    <w:p w14:paraId="4B48A0C8">
      <w:pPr>
        <w:numPr>
          <w:ilvl w:val="0"/>
          <w:numId w:val="34"/>
        </w:numPr>
      </w:pPr>
      <w:r>
        <w:t>Expand digital library (50+ videos, advanced modules)</w:t>
      </w:r>
    </w:p>
    <w:p w14:paraId="4E6AE3D6">
      <w:pPr>
        <w:numPr>
          <w:ilvl w:val="0"/>
          <w:numId w:val="34"/>
        </w:numPr>
      </w:pPr>
      <w:r>
        <w:t>Launch first spoke locations (Birmingham, Manchester)</w:t>
      </w:r>
    </w:p>
    <w:p w14:paraId="6FE2CC50">
      <w:pPr>
        <w:numPr>
          <w:ilvl w:val="0"/>
          <w:numId w:val="34"/>
        </w:numPr>
      </w:pPr>
      <w:r>
        <w:t>Grow team to 5 FTE</w:t>
      </w:r>
    </w:p>
    <w:p w14:paraId="5CD13235">
      <w:pPr>
        <w:numPr>
          <w:ilvl w:val="0"/>
          <w:numId w:val="34"/>
        </w:numPr>
      </w:pPr>
      <w:r>
        <w:rPr>
          <w:rFonts w:ascii="Georgia" w:hAnsi="Georgia" w:eastAsia="Georgia" w:cs="Georgia"/>
        </w:rPr>
        <w:t>Target revenue: £87,500</w:t>
      </w:r>
    </w:p>
    <w:p w14:paraId="44F478A6">
      <w:pPr>
        <w:spacing w:before="240" w:line="271" w:lineRule="auto"/>
      </w:pPr>
      <w:bookmarkStart w:id="25" w:name="year_3_2028_national_scale_saas_r_4f2f29"/>
      <w:r>
        <w:rPr>
          <w:b/>
          <w:sz w:val="33"/>
        </w:rPr>
        <w:t>Year 3 (2028): National Scale &amp; SaaS Readiness</w:t>
      </w:r>
      <w:bookmarkEnd w:id="25"/>
    </w:p>
    <w:p w14:paraId="614C03ED">
      <w:pPr>
        <w:numPr>
          <w:ilvl w:val="0"/>
          <w:numId w:val="35"/>
        </w:numPr>
      </w:pPr>
      <w:r>
        <w:t>License Hub-Spoke model to 3+ UK cities</w:t>
      </w:r>
    </w:p>
    <w:p w14:paraId="72E6CABA">
      <w:pPr>
        <w:numPr>
          <w:ilvl w:val="0"/>
          <w:numId w:val="35"/>
        </w:numPr>
      </w:pPr>
      <w:r>
        <w:t>Package AI dashboard as standalone SaaS product</w:t>
      </w:r>
    </w:p>
    <w:p w14:paraId="0986249F">
      <w:pPr>
        <w:numPr>
          <w:ilvl w:val="0"/>
          <w:numId w:val="35"/>
        </w:numPr>
      </w:pPr>
      <w:r>
        <w:t>Build customer success function</w:t>
      </w:r>
    </w:p>
    <w:p w14:paraId="5454608C">
      <w:pPr>
        <w:numPr>
          <w:ilvl w:val="0"/>
          <w:numId w:val="35"/>
        </w:numPr>
      </w:pPr>
      <w:r>
        <w:t>Grow team to 10 FTE</w:t>
      </w:r>
    </w:p>
    <w:p w14:paraId="1FE4ADEE">
      <w:pPr>
        <w:numPr>
          <w:ilvl w:val="0"/>
          <w:numId w:val="35"/>
        </w:numPr>
      </w:pPr>
      <w:r>
        <w:rPr>
          <w:rFonts w:ascii="Georgia" w:hAnsi="Georgia" w:eastAsia="Georgia" w:cs="Georgia"/>
        </w:rPr>
        <w:t>Target revenue: £152,000</w:t>
      </w:r>
    </w:p>
    <w:p w14:paraId="3E2B35FB">
      <w:r>
        <w:pict>
          <v:rect id="_x0000_i1034" o:spt="1" style="height:0.05pt;width:434.5pt;" coordsize="21600,21600" o:hr="t" o:hrstd="t" o:hralign="center">
            <v:path/>
            <v:fill focussize="0,0"/>
            <v:stroke/>
            <v:imagedata o:title=""/>
            <o:lock v:ext="edit"/>
            <w10:wrap type="none"/>
            <w10:anchorlock/>
          </v:rect>
        </w:pict>
      </w:r>
    </w:p>
    <w:p w14:paraId="4FAA7771">
      <w:pPr>
        <w:spacing w:before="240" w:line="271" w:lineRule="auto"/>
      </w:pPr>
      <w:bookmarkStart w:id="26" w:name="bm_9_risk_assessment"/>
      <w:r>
        <w:rPr>
          <w:b/>
          <w:sz w:val="42"/>
        </w:rPr>
        <w:t>9. Risk Assessment</w:t>
      </w:r>
      <w:bookmarkEnd w:id="26"/>
    </w:p>
    <w:tbl>
      <w:tblPr>
        <w:tblStyle w:val="5"/>
        <w:tblW w:w="0" w:type="auto"/>
        <w:jc w:val="center"/>
        <w:tblCellSpacing w:w="0" w:type="dxa"/>
        <w:tblLayout w:type="autofit"/>
        <w:tblCellMar>
          <w:top w:w="80" w:type="dxa"/>
          <w:left w:w="160" w:type="dxa"/>
          <w:bottom w:w="80" w:type="dxa"/>
          <w:right w:w="160" w:type="dxa"/>
        </w:tblCellMar>
      </w:tblPr>
      <w:tblGrid>
        <w:gridCol w:w="2783"/>
        <w:gridCol w:w="6267"/>
      </w:tblGrid>
      <w:tr w14:paraId="1C2D6B0D">
        <w:tblPrEx>
          <w:tblCellMar>
            <w:top w:w="80" w:type="dxa"/>
            <w:left w:w="160" w:type="dxa"/>
            <w:bottom w:w="80" w:type="dxa"/>
            <w:right w:w="160" w:type="dxa"/>
          </w:tblCellMar>
        </w:tblPrEx>
        <w:trPr>
          <w:cantSplit/>
          <w:tblCellSpacing w:w="0" w:type="dxa"/>
          <w:jc w:val="center"/>
        </w:trPr>
        <w:tc>
          <w:tcPr>
            <w:tcBorders>
              <w:top w:val="single" w:color="000000" w:sz="8" w:space="0"/>
              <w:left w:val="single" w:color="000000" w:sz="8" w:space="0"/>
              <w:bottom w:val="single" w:color="000000" w:sz="8" w:space="0"/>
              <w:right w:val="single" w:color="000000" w:sz="8" w:space="0"/>
            </w:tcBorders>
            <w:vAlign w:val="center"/>
          </w:tcPr>
          <w:p w14:paraId="36132FD8">
            <w:pPr>
              <w:spacing w:after="0" w:line="240" w:lineRule="auto"/>
              <w:jc w:val="left"/>
            </w:pPr>
            <w:r>
              <w:rPr>
                <w:b/>
              </w:rPr>
              <w:t>Risk</w:t>
            </w:r>
          </w:p>
        </w:tc>
        <w:tc>
          <w:tcPr>
            <w:tcBorders>
              <w:top w:val="single" w:color="000000" w:sz="8" w:space="0"/>
              <w:bottom w:val="single" w:color="000000" w:sz="8" w:space="0"/>
              <w:right w:val="single" w:color="000000" w:sz="8" w:space="0"/>
            </w:tcBorders>
            <w:vAlign w:val="top"/>
          </w:tcPr>
          <w:p w14:paraId="1ED0C11A">
            <w:pPr>
              <w:spacing w:after="0" w:line="240" w:lineRule="auto"/>
              <w:jc w:val="left"/>
            </w:pPr>
            <w:r>
              <w:rPr>
                <w:b/>
              </w:rPr>
              <w:t>Mitigation Strategy</w:t>
            </w:r>
          </w:p>
        </w:tc>
      </w:tr>
      <w:tr w14:paraId="30A010F0">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1F8B0D86">
            <w:pPr>
              <w:spacing w:after="0" w:line="240" w:lineRule="auto"/>
              <w:jc w:val="left"/>
            </w:pPr>
            <w:r>
              <w:t>Market adoption slower than projected</w:t>
            </w:r>
          </w:p>
        </w:tc>
        <w:tc>
          <w:tcPr>
            <w:tcBorders>
              <w:bottom w:val="single" w:color="000000" w:sz="8" w:space="0"/>
              <w:right w:val="single" w:color="000000" w:sz="8" w:space="0"/>
            </w:tcBorders>
            <w:vAlign w:val="top"/>
          </w:tcPr>
          <w:p w14:paraId="4481DD52">
            <w:pPr>
              <w:spacing w:after="0" w:line="240" w:lineRule="auto"/>
              <w:jc w:val="left"/>
            </w:pPr>
            <w:r>
              <w:t>Taste-testing sessions, peer champions, clear cost/safety demonstrations. Phased rollout allows course correction.</w:t>
            </w:r>
          </w:p>
        </w:tc>
      </w:tr>
      <w:tr w14:paraId="5514DC4A">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5ABEB9C1">
            <w:pPr>
              <w:spacing w:after="0" w:line="240" w:lineRule="auto"/>
              <w:jc w:val="left"/>
            </w:pPr>
            <w:r>
              <w:t>Technology complexity (AI dashboard)</w:t>
            </w:r>
          </w:p>
        </w:tc>
        <w:tc>
          <w:tcPr>
            <w:tcBorders>
              <w:bottom w:val="single" w:color="000000" w:sz="8" w:space="0"/>
              <w:right w:val="single" w:color="000000" w:sz="8" w:space="0"/>
            </w:tcBorders>
            <w:vAlign w:val="top"/>
          </w:tcPr>
          <w:p w14:paraId="35C991FA">
            <w:pPr>
              <w:spacing w:after="0" w:line="240" w:lineRule="auto"/>
              <w:jc w:val="left"/>
            </w:pPr>
            <w:r>
              <w:t>Iterative development with real-user feedback. Fallback manual tools. Clear assumption documentation.</w:t>
            </w:r>
          </w:p>
        </w:tc>
      </w:tr>
      <w:tr w14:paraId="4A36CCB2">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102BE1AA">
            <w:pPr>
              <w:spacing w:after="0" w:line="240" w:lineRule="auto"/>
              <w:jc w:val="left"/>
            </w:pPr>
            <w:r>
              <w:t>Funding delays</w:t>
            </w:r>
          </w:p>
        </w:tc>
        <w:tc>
          <w:tcPr>
            <w:tcBorders>
              <w:bottom w:val="single" w:color="000000" w:sz="8" w:space="0"/>
              <w:right w:val="single" w:color="000000" w:sz="8" w:space="0"/>
            </w:tcBorders>
            <w:vAlign w:val="top"/>
          </w:tcPr>
          <w:p w14:paraId="3AC96504">
            <w:pPr>
              <w:spacing w:after="0" w:line="240" w:lineRule="auto"/>
              <w:jc w:val="left"/>
            </w:pPr>
            <w:r>
              <w:t>Lean operations, diversified revenue streams, phased hiring. Multiple grant applications to reduce dependency.</w:t>
            </w:r>
          </w:p>
        </w:tc>
      </w:tr>
      <w:tr w14:paraId="544A47B6">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796F6323">
            <w:pPr>
              <w:spacing w:after="0" w:line="240" w:lineRule="auto"/>
              <w:jc w:val="left"/>
            </w:pPr>
            <w:r>
              <w:t>Partner concentration</w:t>
            </w:r>
          </w:p>
        </w:tc>
        <w:tc>
          <w:tcPr>
            <w:tcBorders>
              <w:bottom w:val="single" w:color="000000" w:sz="8" w:space="0"/>
              <w:right w:val="single" w:color="000000" w:sz="8" w:space="0"/>
            </w:tcBorders>
            <w:vAlign w:val="top"/>
          </w:tcPr>
          <w:p w14:paraId="0CB868A7">
            <w:pPr>
              <w:spacing w:after="0" w:line="240" w:lineRule="auto"/>
              <w:jc w:val="left"/>
            </w:pPr>
            <w:r>
              <w:t>Broaden partner base, formalize agreements, maintain alternative pipeline.</w:t>
            </w:r>
          </w:p>
        </w:tc>
      </w:tr>
      <w:tr w14:paraId="2282AFE8">
        <w:tblPrEx>
          <w:tblCellMar>
            <w:top w:w="80" w:type="dxa"/>
            <w:left w:w="160" w:type="dxa"/>
            <w:bottom w:w="80" w:type="dxa"/>
            <w:right w:w="160" w:type="dxa"/>
          </w:tblCellMar>
        </w:tblPrEx>
        <w:trPr>
          <w:cantSplit/>
          <w:tblCellSpacing w:w="0" w:type="dxa"/>
          <w:jc w:val="center"/>
        </w:trPr>
        <w:tc>
          <w:tcPr>
            <w:tcBorders>
              <w:left w:val="single" w:color="000000" w:sz="8" w:space="0"/>
              <w:bottom w:val="single" w:color="000000" w:sz="8" w:space="0"/>
              <w:right w:val="single" w:color="000000" w:sz="8" w:space="0"/>
            </w:tcBorders>
            <w:vAlign w:val="center"/>
          </w:tcPr>
          <w:p w14:paraId="3069DA54">
            <w:pPr>
              <w:spacing w:after="0" w:line="240" w:lineRule="auto"/>
              <w:jc w:val="left"/>
            </w:pPr>
            <w:r>
              <w:t>Founder dependency</w:t>
            </w:r>
          </w:p>
        </w:tc>
        <w:tc>
          <w:tcPr>
            <w:tcBorders>
              <w:bottom w:val="single" w:color="000000" w:sz="8" w:space="0"/>
              <w:right w:val="single" w:color="000000" w:sz="8" w:space="0"/>
            </w:tcBorders>
            <w:vAlign w:val="top"/>
          </w:tcPr>
          <w:p w14:paraId="13D4EA57">
            <w:pPr>
              <w:spacing w:after="0" w:line="240" w:lineRule="auto"/>
              <w:jc w:val="left"/>
            </w:pPr>
            <w:r>
              <w:t>Document all processes, build training systems, recruit deputy leadership by Year 2.</w:t>
            </w:r>
          </w:p>
        </w:tc>
      </w:tr>
    </w:tbl>
    <w:p w14:paraId="0F79F66C"/>
    <w:p w14:paraId="4B57A7FA">
      <w:r>
        <w:pict>
          <v:rect id="_x0000_i1035" o:spt="1" style="height:0.05pt;width:434.5pt;" coordsize="21600,21600" o:hr="t" o:hrstd="t" o:hralign="center">
            <v:path/>
            <v:fill focussize="0,0"/>
            <v:stroke/>
            <v:imagedata o:title=""/>
            <o:lock v:ext="edit"/>
            <w10:wrap type="none"/>
            <w10:anchorlock/>
          </v:rect>
        </w:pict>
      </w:r>
    </w:p>
    <w:p w14:paraId="07F5F5B4">
      <w:pPr>
        <w:spacing w:before="240" w:line="271" w:lineRule="auto"/>
      </w:pPr>
      <w:bookmarkStart w:id="27" w:name="bm_10_impact_sustainability_alignment"/>
      <w:r>
        <w:rPr>
          <w:b/>
          <w:sz w:val="42"/>
        </w:rPr>
        <w:t>10. Impact &amp; Sustainability Alignment</w:t>
      </w:r>
      <w:bookmarkEnd w:id="27"/>
    </w:p>
    <w:p w14:paraId="124B5615">
      <w:pPr>
        <w:spacing w:after="210"/>
      </w:pPr>
      <w:r>
        <w:rPr>
          <w:b/>
        </w:rPr>
        <w:t>Environmental Impact:</w:t>
      </w:r>
    </w:p>
    <w:p w14:paraId="5F2BF866">
      <w:pPr>
        <w:numPr>
          <w:ilvl w:val="0"/>
          <w:numId w:val="36"/>
        </w:numPr>
      </w:pPr>
      <w:r>
        <w:t>Verified 58% cooking carbon reduction per household (gas to induction)</w:t>
      </w:r>
    </w:p>
    <w:p w14:paraId="10C277DA">
      <w:pPr>
        <w:numPr>
          <w:ilvl w:val="0"/>
          <w:numId w:val="36"/>
        </w:numPr>
      </w:pPr>
      <w:r>
        <w:rPr>
          <w:rFonts w:ascii="Georgia" w:hAnsi="Georgia" w:eastAsia="Georgia" w:cs="Georgia"/>
        </w:rPr>
        <w:t>5,800 tonnes CO₂ annually by Year 5 (10,000 households served)</w:t>
      </w:r>
    </w:p>
    <w:p w14:paraId="57959870">
      <w:pPr>
        <w:numPr>
          <w:ilvl w:val="0"/>
          <w:numId w:val="36"/>
        </w:numPr>
      </w:pPr>
      <w:r>
        <w:t>Reduced food miles through UK ingredient substitution</w:t>
      </w:r>
    </w:p>
    <w:p w14:paraId="77B11856">
      <w:pPr>
        <w:spacing w:after="210"/>
      </w:pPr>
      <w:r>
        <w:rPr>
          <w:b/>
        </w:rPr>
        <w:t>Social Impact:</w:t>
      </w:r>
    </w:p>
    <w:p w14:paraId="6E82876B">
      <w:pPr>
        <w:numPr>
          <w:ilvl w:val="0"/>
          <w:numId w:val="37"/>
        </w:numPr>
      </w:pPr>
      <w:r>
        <w:rPr>
          <w:rFonts w:ascii="Georgia" w:hAnsi="Georgia" w:eastAsia="Georgia" w:cs="Georgia"/>
        </w:rPr>
        <w:t>£780–£1,300 annual energy savings per household</w:t>
      </w:r>
    </w:p>
    <w:p w14:paraId="3784B17B">
      <w:pPr>
        <w:numPr>
          <w:ilvl w:val="0"/>
          <w:numId w:val="37"/>
        </w:numPr>
      </w:pPr>
      <w:r>
        <w:t>Cultural heritage preservation (traditional recipes adapted, not lost)</w:t>
      </w:r>
    </w:p>
    <w:p w14:paraId="0BF4B770">
      <w:pPr>
        <w:numPr>
          <w:ilvl w:val="0"/>
          <w:numId w:val="37"/>
        </w:numPr>
      </w:pPr>
      <w:r>
        <w:t>Job creation: 10 FTE by Year 3, 50+ by Year 5</w:t>
      </w:r>
    </w:p>
    <w:p w14:paraId="43151A7D">
      <w:pPr>
        <w:numPr>
          <w:ilvl w:val="0"/>
          <w:numId w:val="37"/>
        </w:numPr>
      </w:pPr>
      <w:r>
        <w:t>Community empowerment and sustainability skills development</w:t>
      </w:r>
    </w:p>
    <w:p w14:paraId="1C53D8E1">
      <w:pPr>
        <w:spacing w:after="210"/>
      </w:pPr>
      <w:r>
        <w:rPr>
          <w:b/>
        </w:rPr>
        <w:t>SDG Alignment:</w:t>
      </w:r>
    </w:p>
    <w:p w14:paraId="7AC2A98E">
      <w:pPr>
        <w:numPr>
          <w:ilvl w:val="0"/>
          <w:numId w:val="38"/>
        </w:numPr>
      </w:pPr>
      <w:r>
        <w:t>SDG 7: Affordable &amp; Clean Energy (transitioning from gas to induction)</w:t>
      </w:r>
    </w:p>
    <w:p w14:paraId="53B0EBB5">
      <w:pPr>
        <w:numPr>
          <w:ilvl w:val="0"/>
          <w:numId w:val="38"/>
        </w:numPr>
      </w:pPr>
      <w:r>
        <w:t>SDG 11: Sustainable Cities &amp; Communities (resilient green food ecosystem)</w:t>
      </w:r>
    </w:p>
    <w:p w14:paraId="06EADCE5">
      <w:pPr>
        <w:numPr>
          <w:ilvl w:val="0"/>
          <w:numId w:val="38"/>
        </w:numPr>
      </w:pPr>
      <w:r>
        <w:t>SDG 13: Climate Action (measurable community-level carbon reduction)</w:t>
      </w:r>
    </w:p>
    <w:p w14:paraId="14215CBE">
      <w:r>
        <w:pict>
          <v:rect id="_x0000_i1036" o:spt="1" style="height:0.05pt;width:434.5pt;" coordsize="21600,21600" o:hr="t" o:hrstd="t" o:hralign="center">
            <v:path/>
            <v:fill focussize="0,0"/>
            <v:stroke/>
            <v:imagedata o:title=""/>
            <o:lock v:ext="edit"/>
            <w10:wrap type="none"/>
            <w10:anchorlock/>
          </v:rect>
        </w:pict>
      </w:r>
    </w:p>
    <w:p w14:paraId="18B298D4">
      <w:pPr>
        <w:spacing w:before="240" w:line="271" w:lineRule="auto"/>
      </w:pPr>
      <w:bookmarkStart w:id="28" w:name="bm_11_conclusion"/>
      <w:r>
        <w:rPr>
          <w:b/>
          <w:sz w:val="42"/>
        </w:rPr>
        <w:t>11. Conclusion</w:t>
      </w:r>
      <w:bookmarkEnd w:id="28"/>
    </w:p>
    <w:p w14:paraId="74D64CD5">
      <w:pPr>
        <w:spacing w:after="210"/>
      </w:pPr>
      <w:r>
        <w:t>Green Africa Hub Ltd addresses a significant market failure with a culturally sensitive, technically innovative, and commercially viable solution. Led by a highly qualified founder with institutional backing and a completed product (Smart-Prep cookbook), the business is positioned for sustainable growth and measurable impact.</w:t>
      </w:r>
    </w:p>
    <w:p w14:paraId="5A51E31F">
      <w:pPr>
        <w:spacing w:after="210"/>
      </w:pPr>
      <w:r>
        <w:rPr>
          <w:b/>
        </w:rPr>
        <w:t>Key Strengths:</w:t>
      </w:r>
    </w:p>
    <w:p w14:paraId="6312D789">
      <w:pPr>
        <w:numPr>
          <w:ilvl w:val="0"/>
          <w:numId w:val="39"/>
        </w:numPr>
      </w:pPr>
      <w:r>
        <w:t>First-mover advantage (no UK competitors)</w:t>
      </w:r>
    </w:p>
    <w:p w14:paraId="25B7F285">
      <w:pPr>
        <w:numPr>
          <w:ilvl w:val="0"/>
          <w:numId w:val="39"/>
        </w:numPr>
      </w:pPr>
      <w:r>
        <w:t>Institutional validation (WECA-funded partnership, NHS engagement)</w:t>
      </w:r>
    </w:p>
    <w:p w14:paraId="35B1B5C3">
      <w:pPr>
        <w:numPr>
          <w:ilvl w:val="0"/>
          <w:numId w:val="39"/>
        </w:numPr>
      </w:pPr>
      <w:r>
        <w:t>Proprietary technology (AI carbon tracker, Smart-Prep methodology)</w:t>
      </w:r>
    </w:p>
    <w:p w14:paraId="1C442BB8">
      <w:pPr>
        <w:numPr>
          <w:ilvl w:val="0"/>
          <w:numId w:val="39"/>
        </w:numPr>
      </w:pPr>
      <w:r>
        <w:t>Scalable model (Hub-Spoke, digital platform, licensing)</w:t>
      </w:r>
    </w:p>
    <w:p w14:paraId="66C1951D">
      <w:pPr>
        <w:numPr>
          <w:ilvl w:val="0"/>
          <w:numId w:val="39"/>
        </w:numPr>
      </w:pPr>
      <w:r>
        <w:t>Diverse revenue streams reducing risk</w:t>
      </w:r>
    </w:p>
    <w:p w14:paraId="739BBE32">
      <w:pPr>
        <w:spacing w:after="210"/>
      </w:pPr>
      <w:r>
        <w:rPr>
          <w:b/>
        </w:rPr>
        <w:t>Next Steps:</w:t>
      </w:r>
    </w:p>
    <w:p w14:paraId="6655BA30">
      <w:pPr>
        <w:numPr>
          <w:ilvl w:val="0"/>
          <w:numId w:val="40"/>
        </w:numPr>
      </w:pPr>
      <w:r>
        <w:t>Complete Year 1 pilot (50 households, Jun 2026)</w:t>
      </w:r>
    </w:p>
    <w:p w14:paraId="75DABC76">
      <w:pPr>
        <w:numPr>
          <w:ilvl w:val="0"/>
          <w:numId w:val="40"/>
        </w:numPr>
      </w:pPr>
      <w:r>
        <w:rPr>
          <w:rFonts w:ascii="Georgia" w:hAnsi="Georgia" w:eastAsia="Georgia" w:cs="Georgia"/>
        </w:rPr>
        <w:t>Secure £125,000+ grant funding (Q2 2026)</w:t>
      </w:r>
    </w:p>
    <w:p w14:paraId="4AD078FE">
      <w:pPr>
        <w:numPr>
          <w:ilvl w:val="0"/>
          <w:numId w:val="40"/>
        </w:numPr>
      </w:pPr>
      <w:r>
        <w:t>Establish equipment partnership (Magimix or alternative, Q2 2026)</w:t>
      </w:r>
    </w:p>
    <w:p w14:paraId="5157874C">
      <w:pPr>
        <w:numPr>
          <w:ilvl w:val="0"/>
          <w:numId w:val="40"/>
        </w:numPr>
      </w:pPr>
      <w:r>
        <w:t>Launch digital subscription platform (Q3 2026)</w:t>
      </w:r>
    </w:p>
    <w:p w14:paraId="20C6514A">
      <w:pPr>
        <w:numPr>
          <w:ilvl w:val="0"/>
          <w:numId w:val="40"/>
        </w:numPr>
      </w:pPr>
      <w:r>
        <w:rPr>
          <w:rFonts w:ascii="Georgia" w:hAnsi="Georgia" w:eastAsia="Georgia" w:cs="Georgia"/>
        </w:rPr>
        <w:t>Achieve Year 1 revenue target (£28,200)</w:t>
      </w:r>
    </w:p>
    <w:p w14:paraId="3F25678B">
      <w:pPr>
        <w:spacing w:after="210"/>
      </w:pPr>
      <w:r>
        <w:rPr>
          <w:rFonts w:ascii="Georgia" w:hAnsi="Georgia" w:eastAsia="Georgia" w:cs="Georgia"/>
        </w:rPr>
        <w:t>Green Africa Hub is not just a business — it is a movement ensuring that African and Caribbean communities lead the UK's green transition while protecting the food traditions that define cultural identity.</w:t>
      </w:r>
    </w:p>
    <w:p w14:paraId="0B1E566C">
      <w:r>
        <w:pict>
          <v:rect id="_x0000_i1037" o:spt="1" style="height:0.05pt;width:434.5pt;" coordsize="21600,21600" o:hr="t" o:hrstd="t" o:hralign="center">
            <v:path/>
            <v:fill focussize="0,0"/>
            <v:stroke/>
            <v:imagedata o:title=""/>
            <o:lock v:ext="edit"/>
            <w10:wrap type="none"/>
            <w10:anchorlock/>
          </v:rect>
        </w:pict>
      </w:r>
    </w:p>
    <w:p w14:paraId="5CC123AD">
      <w:pPr>
        <w:spacing w:after="210"/>
      </w:pPr>
      <w:r>
        <w:rPr>
          <w:b/>
        </w:rPr>
        <w:t>For further information or partnership inquiries, contact:</w:t>
      </w:r>
    </w:p>
    <w:p w14:paraId="23DB039C">
      <w:pPr>
        <w:spacing w:after="210"/>
      </w:pPr>
      <w:r>
        <w:rPr>
          <w:b/>
        </w:rPr>
        <w:t xml:space="preserve">Grace </w:t>
      </w:r>
      <w:r>
        <w:rPr>
          <w:rFonts w:hint="default"/>
          <w:b/>
          <w:lang w:val="en-GB"/>
        </w:rPr>
        <w:t>Omotuase</w:t>
      </w:r>
      <w:r>
        <w:br w:type="textWrapping"/>
      </w:r>
      <w:r>
        <w:t>Founder &amp; CEO</w:t>
      </w:r>
      <w:r>
        <w:br w:type="textWrapping"/>
      </w:r>
      <w:r>
        <w:t>Green Africa Hub Ltd</w:t>
      </w:r>
      <w:r>
        <w:br w:type="textWrapping"/>
      </w:r>
      <w:r>
        <w:t xml:space="preserve">Email: </w:t>
      </w:r>
      <w:r>
        <w:fldChar w:fldCharType="begin"/>
      </w:r>
      <w:r>
        <w:instrText xml:space="preserve"> HYPERLINK "mailto:gracetuase@gmail.com" \h </w:instrText>
      </w:r>
      <w:r>
        <w:fldChar w:fldCharType="separate"/>
      </w:r>
      <w:r>
        <w:rPr>
          <w:rFonts w:ascii="Georgia" w:hAnsi="Georgia" w:eastAsia="Georgia" w:cs="Georgia"/>
          <w:color w:val="4472C4"/>
        </w:rPr>
        <w:t>gracetuase@gmail.com</w:t>
      </w:r>
      <w:r>
        <w:rPr>
          <w:rFonts w:ascii="Georgia" w:hAnsi="Georgia" w:eastAsia="Georgia" w:cs="Georgia"/>
          <w:color w:val="4472C4"/>
        </w:rPr>
        <w:fldChar w:fldCharType="end"/>
      </w:r>
      <w:r>
        <w:br w:type="textWrapping"/>
      </w:r>
      <w:r>
        <w:t>Phone: +44 (0) 7776 643169</w:t>
      </w:r>
      <w:r>
        <w:br w:type="textWrapping"/>
      </w:r>
      <w:r>
        <w:t xml:space="preserve">Web: </w:t>
      </w:r>
      <w:r>
        <w:fldChar w:fldCharType="begin"/>
      </w:r>
      <w:r>
        <w:instrText xml:space="preserve"> HYPERLINK "http://greenafricahub.co.uk" \h </w:instrText>
      </w:r>
      <w:r>
        <w:fldChar w:fldCharType="separate"/>
      </w:r>
      <w:r>
        <w:rPr>
          <w:color w:val="4472C4"/>
        </w:rPr>
        <w:t>greenafricahub.co.uk</w:t>
      </w:r>
      <w:r>
        <w:rPr>
          <w:color w:val="4472C4"/>
        </w:rPr>
        <w:fldChar w:fldCharType="end"/>
      </w:r>
    </w:p>
    <w:sectPr>
      <w:pgSz w:w="12240" w:h="15840"/>
      <w:pgMar w:top="1415" w:right="1775" w:bottom="1415" w:left="17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1080"/>
        </w:tabs>
        <w:ind w:left="720" w:hanging="360"/>
      </w:pPr>
      <w:rPr>
        <w:rFonts w:hint="default" w:ascii="Symbol" w:hAnsi="Symbol"/>
      </w:rPr>
    </w:lvl>
  </w:abstractNum>
  <w:abstractNum w:abstractNumId="1">
    <w:nsid w:val="8461FADE"/>
    <w:multiLevelType w:val="singleLevel"/>
    <w:tmpl w:val="8461FADE"/>
    <w:lvl w:ilvl="0" w:tentative="0">
      <w:start w:val="1"/>
      <w:numFmt w:val="bullet"/>
      <w:lvlText w:val=""/>
      <w:lvlJc w:val="left"/>
      <w:pPr>
        <w:tabs>
          <w:tab w:val="left" w:pos="1080"/>
        </w:tabs>
        <w:ind w:left="720" w:hanging="360"/>
      </w:pPr>
      <w:rPr>
        <w:rFonts w:hint="default" w:ascii="Symbol" w:hAnsi="Symbol"/>
      </w:rPr>
    </w:lvl>
  </w:abstractNum>
  <w:abstractNum w:abstractNumId="2">
    <w:nsid w:val="9239341B"/>
    <w:multiLevelType w:val="singleLevel"/>
    <w:tmpl w:val="9239341B"/>
    <w:lvl w:ilvl="0" w:tentative="0">
      <w:start w:val="1"/>
      <w:numFmt w:val="bullet"/>
      <w:lvlText w:val=""/>
      <w:lvlJc w:val="left"/>
      <w:pPr>
        <w:tabs>
          <w:tab w:val="left" w:pos="1080"/>
        </w:tabs>
        <w:ind w:left="720" w:hanging="360"/>
      </w:pPr>
      <w:rPr>
        <w:rFonts w:hint="default" w:ascii="Symbol" w:hAnsi="Symbol"/>
      </w:rPr>
    </w:lvl>
  </w:abstractNum>
  <w:abstractNum w:abstractNumId="3">
    <w:nsid w:val="9288B902"/>
    <w:multiLevelType w:val="singleLevel"/>
    <w:tmpl w:val="9288B902"/>
    <w:lvl w:ilvl="0" w:tentative="0">
      <w:start w:val="1"/>
      <w:numFmt w:val="decimal"/>
      <w:lvlText w:val="%1."/>
      <w:lvlJc w:val="left"/>
      <w:pPr>
        <w:tabs>
          <w:tab w:val="left" w:pos="1080"/>
        </w:tabs>
        <w:ind w:left="720" w:hanging="360"/>
      </w:pPr>
    </w:lvl>
  </w:abstractNum>
  <w:abstractNum w:abstractNumId="4">
    <w:nsid w:val="9C8AC8EF"/>
    <w:multiLevelType w:val="singleLevel"/>
    <w:tmpl w:val="9C8AC8EF"/>
    <w:lvl w:ilvl="0" w:tentative="0">
      <w:start w:val="1"/>
      <w:numFmt w:val="bullet"/>
      <w:lvlText w:val=""/>
      <w:lvlJc w:val="left"/>
      <w:pPr>
        <w:tabs>
          <w:tab w:val="left" w:pos="1080"/>
        </w:tabs>
        <w:ind w:left="720" w:hanging="360"/>
      </w:pPr>
      <w:rPr>
        <w:rFonts w:hint="default" w:ascii="Symbol" w:hAnsi="Symbol"/>
      </w:rPr>
    </w:lvl>
  </w:abstractNum>
  <w:abstractNum w:abstractNumId="5">
    <w:nsid w:val="B0F1ACD9"/>
    <w:multiLevelType w:val="singleLevel"/>
    <w:tmpl w:val="B0F1ACD9"/>
    <w:lvl w:ilvl="0" w:tentative="0">
      <w:start w:val="1"/>
      <w:numFmt w:val="decimal"/>
      <w:lvlText w:val="%1."/>
      <w:lvlJc w:val="left"/>
      <w:pPr>
        <w:tabs>
          <w:tab w:val="left" w:pos="1080"/>
        </w:tabs>
        <w:ind w:left="720" w:hanging="360"/>
      </w:pPr>
    </w:lvl>
  </w:abstractNum>
  <w:abstractNum w:abstractNumId="6">
    <w:nsid w:val="B5E306ED"/>
    <w:multiLevelType w:val="singleLevel"/>
    <w:tmpl w:val="B5E306ED"/>
    <w:lvl w:ilvl="0" w:tentative="0">
      <w:start w:val="1"/>
      <w:numFmt w:val="bullet"/>
      <w:lvlText w:val=""/>
      <w:lvlJc w:val="left"/>
      <w:pPr>
        <w:tabs>
          <w:tab w:val="left" w:pos="1080"/>
        </w:tabs>
        <w:ind w:left="720" w:hanging="360"/>
      </w:pPr>
      <w:rPr>
        <w:rFonts w:hint="default" w:ascii="Symbol" w:hAnsi="Symbol"/>
      </w:rPr>
    </w:lvl>
  </w:abstractNum>
  <w:abstractNum w:abstractNumId="7">
    <w:nsid w:val="BE923771"/>
    <w:multiLevelType w:val="singleLevel"/>
    <w:tmpl w:val="BE923771"/>
    <w:lvl w:ilvl="0" w:tentative="0">
      <w:start w:val="1"/>
      <w:numFmt w:val="bullet"/>
      <w:lvlText w:val=""/>
      <w:lvlJc w:val="left"/>
      <w:pPr>
        <w:tabs>
          <w:tab w:val="left" w:pos="1080"/>
        </w:tabs>
        <w:ind w:left="720" w:hanging="360"/>
      </w:pPr>
      <w:rPr>
        <w:rFonts w:hint="default" w:ascii="Symbol" w:hAnsi="Symbol"/>
      </w:rPr>
    </w:lvl>
  </w:abstractNum>
  <w:abstractNum w:abstractNumId="8">
    <w:nsid w:val="BF205925"/>
    <w:multiLevelType w:val="singleLevel"/>
    <w:tmpl w:val="BF205925"/>
    <w:lvl w:ilvl="0" w:tentative="0">
      <w:start w:val="1"/>
      <w:numFmt w:val="bullet"/>
      <w:lvlText w:val=""/>
      <w:lvlJc w:val="left"/>
      <w:pPr>
        <w:tabs>
          <w:tab w:val="left" w:pos="1080"/>
        </w:tabs>
        <w:ind w:left="720" w:hanging="360"/>
      </w:pPr>
      <w:rPr>
        <w:rFonts w:hint="default" w:ascii="Symbol" w:hAnsi="Symbol"/>
      </w:rPr>
    </w:lvl>
  </w:abstractNum>
  <w:abstractNum w:abstractNumId="9">
    <w:nsid w:val="C8879AEF"/>
    <w:multiLevelType w:val="singleLevel"/>
    <w:tmpl w:val="C8879AEF"/>
    <w:lvl w:ilvl="0" w:tentative="0">
      <w:start w:val="1"/>
      <w:numFmt w:val="bullet"/>
      <w:lvlText w:val=""/>
      <w:lvlJc w:val="left"/>
      <w:pPr>
        <w:tabs>
          <w:tab w:val="left" w:pos="1080"/>
        </w:tabs>
        <w:ind w:left="720" w:hanging="360"/>
      </w:pPr>
      <w:rPr>
        <w:rFonts w:hint="default" w:ascii="Symbol" w:hAnsi="Symbol"/>
      </w:rPr>
    </w:lvl>
  </w:abstractNum>
  <w:abstractNum w:abstractNumId="10">
    <w:nsid w:val="CF092B84"/>
    <w:multiLevelType w:val="singleLevel"/>
    <w:tmpl w:val="CF092B84"/>
    <w:lvl w:ilvl="0" w:tentative="0">
      <w:start w:val="1"/>
      <w:numFmt w:val="bullet"/>
      <w:lvlText w:val=""/>
      <w:lvlJc w:val="left"/>
      <w:pPr>
        <w:tabs>
          <w:tab w:val="left" w:pos="1080"/>
        </w:tabs>
        <w:ind w:left="720" w:hanging="360"/>
      </w:pPr>
      <w:rPr>
        <w:rFonts w:hint="default" w:ascii="Symbol" w:hAnsi="Symbol"/>
      </w:rPr>
    </w:lvl>
  </w:abstractNum>
  <w:abstractNum w:abstractNumId="11">
    <w:nsid w:val="D7F9FE59"/>
    <w:multiLevelType w:val="singleLevel"/>
    <w:tmpl w:val="D7F9FE59"/>
    <w:lvl w:ilvl="0" w:tentative="0">
      <w:start w:val="1"/>
      <w:numFmt w:val="bullet"/>
      <w:lvlText w:val=""/>
      <w:lvlJc w:val="left"/>
      <w:pPr>
        <w:tabs>
          <w:tab w:val="left" w:pos="1080"/>
        </w:tabs>
        <w:ind w:left="720" w:hanging="360"/>
      </w:pPr>
      <w:rPr>
        <w:rFonts w:hint="default" w:ascii="Symbol" w:hAnsi="Symbol"/>
      </w:rPr>
    </w:lvl>
  </w:abstractNum>
  <w:abstractNum w:abstractNumId="12">
    <w:nsid w:val="DCBA6B53"/>
    <w:multiLevelType w:val="singleLevel"/>
    <w:tmpl w:val="DCBA6B53"/>
    <w:lvl w:ilvl="0" w:tentative="0">
      <w:start w:val="1"/>
      <w:numFmt w:val="bullet"/>
      <w:lvlText w:val=""/>
      <w:lvlJc w:val="left"/>
      <w:pPr>
        <w:tabs>
          <w:tab w:val="left" w:pos="1080"/>
        </w:tabs>
        <w:ind w:left="720" w:hanging="360"/>
      </w:pPr>
      <w:rPr>
        <w:rFonts w:hint="default" w:ascii="Symbol" w:hAnsi="Symbol"/>
      </w:rPr>
    </w:lvl>
  </w:abstractNum>
  <w:abstractNum w:abstractNumId="13">
    <w:nsid w:val="E093A4B0"/>
    <w:multiLevelType w:val="singleLevel"/>
    <w:tmpl w:val="E093A4B0"/>
    <w:lvl w:ilvl="0" w:tentative="0">
      <w:start w:val="1"/>
      <w:numFmt w:val="bullet"/>
      <w:lvlText w:val=""/>
      <w:lvlJc w:val="left"/>
      <w:pPr>
        <w:tabs>
          <w:tab w:val="left" w:pos="1080"/>
        </w:tabs>
        <w:ind w:left="720" w:hanging="360"/>
      </w:pPr>
      <w:rPr>
        <w:rFonts w:hint="default" w:ascii="Symbol" w:hAnsi="Symbol"/>
      </w:rPr>
    </w:lvl>
  </w:abstractNum>
  <w:abstractNum w:abstractNumId="14">
    <w:nsid w:val="F4B5D9F5"/>
    <w:multiLevelType w:val="singleLevel"/>
    <w:tmpl w:val="F4B5D9F5"/>
    <w:lvl w:ilvl="0" w:tentative="0">
      <w:start w:val="1"/>
      <w:numFmt w:val="bullet"/>
      <w:lvlText w:val=""/>
      <w:lvlJc w:val="left"/>
      <w:pPr>
        <w:tabs>
          <w:tab w:val="left" w:pos="1080"/>
        </w:tabs>
        <w:ind w:left="720" w:hanging="360"/>
      </w:pPr>
      <w:rPr>
        <w:rFonts w:hint="default" w:ascii="Symbol" w:hAnsi="Symbol"/>
      </w:rPr>
    </w:lvl>
  </w:abstractNum>
  <w:abstractNum w:abstractNumId="15">
    <w:nsid w:val="F7735DC9"/>
    <w:multiLevelType w:val="singleLevel"/>
    <w:tmpl w:val="F7735DC9"/>
    <w:lvl w:ilvl="0" w:tentative="0">
      <w:start w:val="1"/>
      <w:numFmt w:val="bullet"/>
      <w:lvlText w:val=""/>
      <w:lvlJc w:val="left"/>
      <w:pPr>
        <w:tabs>
          <w:tab w:val="left" w:pos="1080"/>
        </w:tabs>
        <w:ind w:left="720" w:hanging="360"/>
      </w:pPr>
      <w:rPr>
        <w:rFonts w:hint="default" w:ascii="Symbol" w:hAnsi="Symbol"/>
      </w:rPr>
    </w:lvl>
  </w:abstractNum>
  <w:abstractNum w:abstractNumId="16">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abstractNum w:abstractNumId="17">
    <w:nsid w:val="0248C179"/>
    <w:multiLevelType w:val="singleLevel"/>
    <w:tmpl w:val="0248C179"/>
    <w:lvl w:ilvl="0" w:tentative="0">
      <w:start w:val="1"/>
      <w:numFmt w:val="bullet"/>
      <w:lvlText w:val=""/>
      <w:lvlJc w:val="left"/>
      <w:pPr>
        <w:tabs>
          <w:tab w:val="left" w:pos="1080"/>
        </w:tabs>
        <w:ind w:left="720" w:hanging="360"/>
      </w:pPr>
      <w:rPr>
        <w:rFonts w:hint="default" w:ascii="Symbol" w:hAnsi="Symbol"/>
      </w:rPr>
    </w:lvl>
  </w:abstractNum>
  <w:abstractNum w:abstractNumId="18">
    <w:nsid w:val="03D62ECE"/>
    <w:multiLevelType w:val="singleLevel"/>
    <w:tmpl w:val="03D62ECE"/>
    <w:lvl w:ilvl="0" w:tentative="0">
      <w:start w:val="1"/>
      <w:numFmt w:val="bullet"/>
      <w:lvlText w:val=""/>
      <w:lvlJc w:val="left"/>
      <w:pPr>
        <w:tabs>
          <w:tab w:val="left" w:pos="1080"/>
        </w:tabs>
        <w:ind w:left="720" w:hanging="360"/>
      </w:pPr>
      <w:rPr>
        <w:rFonts w:hint="default" w:ascii="Symbol" w:hAnsi="Symbol"/>
      </w:rPr>
    </w:lvl>
  </w:abstractNum>
  <w:abstractNum w:abstractNumId="19">
    <w:nsid w:val="0E640482"/>
    <w:multiLevelType w:val="singleLevel"/>
    <w:tmpl w:val="0E640482"/>
    <w:lvl w:ilvl="0" w:tentative="0">
      <w:start w:val="1"/>
      <w:numFmt w:val="bullet"/>
      <w:lvlText w:val=""/>
      <w:lvlJc w:val="left"/>
      <w:pPr>
        <w:tabs>
          <w:tab w:val="left" w:pos="1080"/>
        </w:tabs>
        <w:ind w:left="720" w:hanging="360"/>
      </w:pPr>
      <w:rPr>
        <w:rFonts w:hint="default" w:ascii="Symbol" w:hAnsi="Symbol"/>
      </w:rPr>
    </w:lvl>
  </w:abstractNum>
  <w:abstractNum w:abstractNumId="20">
    <w:nsid w:val="243FCF68"/>
    <w:multiLevelType w:val="singleLevel"/>
    <w:tmpl w:val="243FCF68"/>
    <w:lvl w:ilvl="0" w:tentative="0">
      <w:start w:val="1"/>
      <w:numFmt w:val="bullet"/>
      <w:lvlText w:val=""/>
      <w:lvlJc w:val="left"/>
      <w:pPr>
        <w:tabs>
          <w:tab w:val="left" w:pos="1080"/>
        </w:tabs>
        <w:ind w:left="720" w:hanging="360"/>
      </w:pPr>
      <w:rPr>
        <w:rFonts w:hint="default" w:ascii="Symbol" w:hAnsi="Symbol"/>
      </w:rPr>
    </w:lvl>
  </w:abstractNum>
  <w:abstractNum w:abstractNumId="21">
    <w:nsid w:val="2470EC97"/>
    <w:multiLevelType w:val="singleLevel"/>
    <w:tmpl w:val="2470EC97"/>
    <w:lvl w:ilvl="0" w:tentative="0">
      <w:start w:val="1"/>
      <w:numFmt w:val="bullet"/>
      <w:lvlText w:val=""/>
      <w:lvlJc w:val="left"/>
      <w:pPr>
        <w:tabs>
          <w:tab w:val="left" w:pos="1080"/>
        </w:tabs>
        <w:ind w:left="720" w:hanging="360"/>
      </w:pPr>
      <w:rPr>
        <w:rFonts w:hint="default" w:ascii="Symbol" w:hAnsi="Symbol"/>
      </w:rPr>
    </w:lvl>
  </w:abstractNum>
  <w:abstractNum w:abstractNumId="22">
    <w:nsid w:val="25B654F3"/>
    <w:multiLevelType w:val="singleLevel"/>
    <w:tmpl w:val="25B654F3"/>
    <w:lvl w:ilvl="0" w:tentative="0">
      <w:start w:val="1"/>
      <w:numFmt w:val="bullet"/>
      <w:lvlText w:val=""/>
      <w:lvlJc w:val="left"/>
      <w:pPr>
        <w:tabs>
          <w:tab w:val="left" w:pos="1080"/>
        </w:tabs>
        <w:ind w:left="720" w:hanging="360"/>
      </w:pPr>
      <w:rPr>
        <w:rFonts w:hint="default" w:ascii="Symbol" w:hAnsi="Symbol"/>
      </w:rPr>
    </w:lvl>
  </w:abstractNum>
  <w:abstractNum w:abstractNumId="23">
    <w:nsid w:val="2A8F537B"/>
    <w:multiLevelType w:val="singleLevel"/>
    <w:tmpl w:val="2A8F537B"/>
    <w:lvl w:ilvl="0" w:tentative="0">
      <w:start w:val="1"/>
      <w:numFmt w:val="bullet"/>
      <w:lvlText w:val=""/>
      <w:lvlJc w:val="left"/>
      <w:pPr>
        <w:tabs>
          <w:tab w:val="left" w:pos="1080"/>
        </w:tabs>
        <w:ind w:left="720" w:hanging="360"/>
      </w:pPr>
      <w:rPr>
        <w:rFonts w:hint="default" w:ascii="Symbol" w:hAnsi="Symbol"/>
      </w:rPr>
    </w:lvl>
  </w:abstractNum>
  <w:abstractNum w:abstractNumId="24">
    <w:nsid w:val="30FC5B15"/>
    <w:multiLevelType w:val="singleLevel"/>
    <w:tmpl w:val="30FC5B15"/>
    <w:lvl w:ilvl="0" w:tentative="0">
      <w:start w:val="1"/>
      <w:numFmt w:val="bullet"/>
      <w:lvlText w:val=""/>
      <w:lvlJc w:val="left"/>
      <w:pPr>
        <w:tabs>
          <w:tab w:val="left" w:pos="1080"/>
        </w:tabs>
        <w:ind w:left="720" w:hanging="360"/>
      </w:pPr>
      <w:rPr>
        <w:rFonts w:hint="default" w:ascii="Symbol" w:hAnsi="Symbol"/>
      </w:rPr>
    </w:lvl>
  </w:abstractNum>
  <w:abstractNum w:abstractNumId="25">
    <w:nsid w:val="39A0D9AC"/>
    <w:multiLevelType w:val="singleLevel"/>
    <w:tmpl w:val="39A0D9AC"/>
    <w:lvl w:ilvl="0" w:tentative="0">
      <w:start w:val="1"/>
      <w:numFmt w:val="bullet"/>
      <w:lvlText w:val=""/>
      <w:lvlJc w:val="left"/>
      <w:pPr>
        <w:tabs>
          <w:tab w:val="left" w:pos="1080"/>
        </w:tabs>
        <w:ind w:left="720" w:hanging="360"/>
      </w:pPr>
      <w:rPr>
        <w:rFonts w:hint="default" w:ascii="Symbol" w:hAnsi="Symbol"/>
      </w:rPr>
    </w:lvl>
  </w:abstractNum>
  <w:abstractNum w:abstractNumId="26">
    <w:nsid w:val="46A08BB8"/>
    <w:multiLevelType w:val="singleLevel"/>
    <w:tmpl w:val="46A08BB8"/>
    <w:lvl w:ilvl="0" w:tentative="0">
      <w:start w:val="1"/>
      <w:numFmt w:val="bullet"/>
      <w:lvlText w:val=""/>
      <w:lvlJc w:val="left"/>
      <w:pPr>
        <w:tabs>
          <w:tab w:val="left" w:pos="1080"/>
        </w:tabs>
        <w:ind w:left="720" w:hanging="360"/>
      </w:pPr>
      <w:rPr>
        <w:rFonts w:hint="default" w:ascii="Symbol" w:hAnsi="Symbol"/>
      </w:rPr>
    </w:lvl>
  </w:abstractNum>
  <w:abstractNum w:abstractNumId="27">
    <w:nsid w:val="4C1BAE26"/>
    <w:multiLevelType w:val="singleLevel"/>
    <w:tmpl w:val="4C1BAE26"/>
    <w:lvl w:ilvl="0" w:tentative="0">
      <w:start w:val="1"/>
      <w:numFmt w:val="bullet"/>
      <w:lvlText w:val=""/>
      <w:lvlJc w:val="left"/>
      <w:pPr>
        <w:tabs>
          <w:tab w:val="left" w:pos="1080"/>
        </w:tabs>
        <w:ind w:left="720" w:hanging="360"/>
      </w:pPr>
      <w:rPr>
        <w:rFonts w:hint="default" w:ascii="Symbol" w:hAnsi="Symbol"/>
      </w:rPr>
    </w:lvl>
  </w:abstractNum>
  <w:abstractNum w:abstractNumId="28">
    <w:nsid w:val="4D4DC07F"/>
    <w:multiLevelType w:val="singleLevel"/>
    <w:tmpl w:val="4D4DC07F"/>
    <w:lvl w:ilvl="0" w:tentative="0">
      <w:start w:val="1"/>
      <w:numFmt w:val="bullet"/>
      <w:lvlText w:val=""/>
      <w:lvlJc w:val="left"/>
      <w:pPr>
        <w:tabs>
          <w:tab w:val="left" w:pos="1080"/>
        </w:tabs>
        <w:ind w:left="720" w:hanging="360"/>
      </w:pPr>
      <w:rPr>
        <w:rFonts w:hint="default" w:ascii="Symbol" w:hAnsi="Symbol"/>
      </w:rPr>
    </w:lvl>
  </w:abstractNum>
  <w:abstractNum w:abstractNumId="29">
    <w:nsid w:val="4D94DA66"/>
    <w:multiLevelType w:val="singleLevel"/>
    <w:tmpl w:val="4D94DA66"/>
    <w:lvl w:ilvl="0" w:tentative="0">
      <w:start w:val="1"/>
      <w:numFmt w:val="bullet"/>
      <w:lvlText w:val=""/>
      <w:lvlJc w:val="left"/>
      <w:pPr>
        <w:tabs>
          <w:tab w:val="left" w:pos="1080"/>
        </w:tabs>
        <w:ind w:left="720" w:hanging="360"/>
      </w:pPr>
      <w:rPr>
        <w:rFonts w:hint="default" w:ascii="Symbol" w:hAnsi="Symbol"/>
      </w:rPr>
    </w:lvl>
  </w:abstractNum>
  <w:abstractNum w:abstractNumId="30">
    <w:nsid w:val="58765686"/>
    <w:multiLevelType w:val="singleLevel"/>
    <w:tmpl w:val="58765686"/>
    <w:lvl w:ilvl="0" w:tentative="0">
      <w:start w:val="1"/>
      <w:numFmt w:val="bullet"/>
      <w:lvlText w:val=""/>
      <w:lvlJc w:val="left"/>
      <w:pPr>
        <w:tabs>
          <w:tab w:val="left" w:pos="1080"/>
        </w:tabs>
        <w:ind w:left="720" w:hanging="360"/>
      </w:pPr>
      <w:rPr>
        <w:rFonts w:hint="default" w:ascii="Symbol" w:hAnsi="Symbol"/>
      </w:rPr>
    </w:lvl>
  </w:abstractNum>
  <w:abstractNum w:abstractNumId="31">
    <w:nsid w:val="59ADCABA"/>
    <w:multiLevelType w:val="singleLevel"/>
    <w:tmpl w:val="59ADCABA"/>
    <w:lvl w:ilvl="0" w:tentative="0">
      <w:start w:val="1"/>
      <w:numFmt w:val="bullet"/>
      <w:lvlText w:val=""/>
      <w:lvlJc w:val="left"/>
      <w:pPr>
        <w:tabs>
          <w:tab w:val="left" w:pos="1080"/>
        </w:tabs>
        <w:ind w:left="720" w:hanging="360"/>
      </w:pPr>
      <w:rPr>
        <w:rFonts w:hint="default" w:ascii="Symbol" w:hAnsi="Symbol"/>
      </w:rPr>
    </w:lvl>
  </w:abstractNum>
  <w:abstractNum w:abstractNumId="32">
    <w:nsid w:val="5A241D34"/>
    <w:multiLevelType w:val="singleLevel"/>
    <w:tmpl w:val="5A241D34"/>
    <w:lvl w:ilvl="0" w:tentative="0">
      <w:start w:val="1"/>
      <w:numFmt w:val="decimal"/>
      <w:lvlText w:val="%1."/>
      <w:lvlJc w:val="left"/>
      <w:pPr>
        <w:tabs>
          <w:tab w:val="left" w:pos="1080"/>
        </w:tabs>
        <w:ind w:left="720" w:hanging="360"/>
      </w:pPr>
    </w:lvl>
  </w:abstractNum>
  <w:abstractNum w:abstractNumId="33">
    <w:nsid w:val="60382F6E"/>
    <w:multiLevelType w:val="singleLevel"/>
    <w:tmpl w:val="60382F6E"/>
    <w:lvl w:ilvl="0" w:tentative="0">
      <w:start w:val="1"/>
      <w:numFmt w:val="bullet"/>
      <w:lvlText w:val=""/>
      <w:lvlJc w:val="left"/>
      <w:pPr>
        <w:tabs>
          <w:tab w:val="left" w:pos="1080"/>
        </w:tabs>
        <w:ind w:left="720" w:hanging="360"/>
      </w:pPr>
      <w:rPr>
        <w:rFonts w:hint="default" w:ascii="Symbol" w:hAnsi="Symbol"/>
      </w:rPr>
    </w:lvl>
  </w:abstractNum>
  <w:abstractNum w:abstractNumId="34">
    <w:nsid w:val="629F7852"/>
    <w:multiLevelType w:val="singleLevel"/>
    <w:tmpl w:val="629F7852"/>
    <w:lvl w:ilvl="0" w:tentative="0">
      <w:start w:val="1"/>
      <w:numFmt w:val="bullet"/>
      <w:lvlText w:val=""/>
      <w:lvlJc w:val="left"/>
      <w:pPr>
        <w:tabs>
          <w:tab w:val="left" w:pos="1080"/>
        </w:tabs>
        <w:ind w:left="720" w:hanging="360"/>
      </w:pPr>
      <w:rPr>
        <w:rFonts w:hint="default" w:ascii="Symbol" w:hAnsi="Symbol"/>
      </w:rPr>
    </w:lvl>
  </w:abstractNum>
  <w:abstractNum w:abstractNumId="35">
    <w:nsid w:val="72183CF9"/>
    <w:multiLevelType w:val="singleLevel"/>
    <w:tmpl w:val="72183CF9"/>
    <w:lvl w:ilvl="0" w:tentative="0">
      <w:start w:val="1"/>
      <w:numFmt w:val="bullet"/>
      <w:lvlText w:val=""/>
      <w:lvlJc w:val="left"/>
      <w:pPr>
        <w:tabs>
          <w:tab w:val="left" w:pos="1080"/>
        </w:tabs>
        <w:ind w:left="720" w:hanging="360"/>
      </w:pPr>
      <w:rPr>
        <w:rFonts w:hint="default" w:ascii="Symbol" w:hAnsi="Symbol"/>
      </w:rPr>
    </w:lvl>
  </w:abstractNum>
  <w:abstractNum w:abstractNumId="36">
    <w:nsid w:val="77ECEA79"/>
    <w:multiLevelType w:val="singleLevel"/>
    <w:tmpl w:val="77ECEA79"/>
    <w:lvl w:ilvl="0" w:tentative="0">
      <w:start w:val="1"/>
      <w:numFmt w:val="bullet"/>
      <w:lvlText w:val=""/>
      <w:lvlJc w:val="left"/>
      <w:pPr>
        <w:tabs>
          <w:tab w:val="left" w:pos="1080"/>
        </w:tabs>
        <w:ind w:left="720" w:hanging="360"/>
      </w:pPr>
      <w:rPr>
        <w:rFonts w:hint="default" w:ascii="Symbol" w:hAnsi="Symbol"/>
      </w:rPr>
    </w:lvl>
  </w:abstractNum>
  <w:abstractNum w:abstractNumId="37">
    <w:nsid w:val="79AA4FA4"/>
    <w:multiLevelType w:val="singleLevel"/>
    <w:tmpl w:val="79AA4FA4"/>
    <w:lvl w:ilvl="0" w:tentative="0">
      <w:start w:val="1"/>
      <w:numFmt w:val="bullet"/>
      <w:lvlText w:val=""/>
      <w:lvlJc w:val="left"/>
      <w:pPr>
        <w:tabs>
          <w:tab w:val="left" w:pos="1080"/>
        </w:tabs>
        <w:ind w:left="720" w:hanging="360"/>
      </w:pPr>
      <w:rPr>
        <w:rFonts w:hint="default" w:ascii="Symbol" w:hAnsi="Symbol"/>
      </w:rPr>
    </w:lvl>
  </w:abstractNum>
  <w:abstractNum w:abstractNumId="38">
    <w:nsid w:val="7C246926"/>
    <w:multiLevelType w:val="singleLevel"/>
    <w:tmpl w:val="7C246926"/>
    <w:lvl w:ilvl="0" w:tentative="0">
      <w:start w:val="1"/>
      <w:numFmt w:val="bullet"/>
      <w:lvlText w:val=""/>
      <w:lvlJc w:val="left"/>
      <w:pPr>
        <w:tabs>
          <w:tab w:val="left" w:pos="1080"/>
        </w:tabs>
        <w:ind w:left="720" w:hanging="360"/>
      </w:pPr>
      <w:rPr>
        <w:rFonts w:hint="default" w:ascii="Symbol" w:hAnsi="Symbol"/>
      </w:rPr>
    </w:lvl>
  </w:abstractNum>
  <w:abstractNum w:abstractNumId="39">
    <w:nsid w:val="7DEC2089"/>
    <w:multiLevelType w:val="singleLevel"/>
    <w:tmpl w:val="7DEC2089"/>
    <w:lvl w:ilvl="0" w:tentative="0">
      <w:start w:val="1"/>
      <w:numFmt w:val="bullet"/>
      <w:lvlText w:val=""/>
      <w:lvlJc w:val="left"/>
      <w:pPr>
        <w:tabs>
          <w:tab w:val="left" w:pos="1080"/>
        </w:tabs>
        <w:ind w:left="720" w:hanging="360"/>
      </w:pPr>
      <w:rPr>
        <w:rFonts w:hint="default" w:ascii="Symbol" w:hAnsi="Symbol"/>
      </w:rPr>
    </w:lvl>
  </w:abstractNum>
  <w:num w:numId="1">
    <w:abstractNumId w:val="16"/>
  </w:num>
  <w:num w:numId="2">
    <w:abstractNumId w:val="10"/>
  </w:num>
  <w:num w:numId="3">
    <w:abstractNumId w:val="31"/>
  </w:num>
  <w:num w:numId="4">
    <w:abstractNumId w:val="8"/>
  </w:num>
  <w:num w:numId="5">
    <w:abstractNumId w:val="6"/>
  </w:num>
  <w:num w:numId="6">
    <w:abstractNumId w:val="18"/>
  </w:num>
  <w:num w:numId="7">
    <w:abstractNumId w:val="22"/>
  </w:num>
  <w:num w:numId="8">
    <w:abstractNumId w:val="35"/>
  </w:num>
  <w:num w:numId="9">
    <w:abstractNumId w:val="17"/>
  </w:num>
  <w:num w:numId="10">
    <w:abstractNumId w:val="2"/>
  </w:num>
  <w:num w:numId="11">
    <w:abstractNumId w:val="23"/>
  </w:num>
  <w:num w:numId="12">
    <w:abstractNumId w:val="32"/>
  </w:num>
  <w:num w:numId="13">
    <w:abstractNumId w:val="9"/>
  </w:num>
  <w:num w:numId="14">
    <w:abstractNumId w:val="28"/>
  </w:num>
  <w:num w:numId="15">
    <w:abstractNumId w:val="14"/>
  </w:num>
  <w:num w:numId="16">
    <w:abstractNumId w:val="21"/>
  </w:num>
  <w:num w:numId="17">
    <w:abstractNumId w:val="12"/>
  </w:num>
  <w:num w:numId="18">
    <w:abstractNumId w:val="11"/>
  </w:num>
  <w:num w:numId="19">
    <w:abstractNumId w:val="4"/>
  </w:num>
  <w:num w:numId="20">
    <w:abstractNumId w:val="27"/>
  </w:num>
  <w:num w:numId="21">
    <w:abstractNumId w:val="33"/>
  </w:num>
  <w:num w:numId="22">
    <w:abstractNumId w:val="19"/>
  </w:num>
  <w:num w:numId="23">
    <w:abstractNumId w:val="26"/>
  </w:num>
  <w:num w:numId="24">
    <w:abstractNumId w:val="5"/>
  </w:num>
  <w:num w:numId="25">
    <w:abstractNumId w:val="38"/>
  </w:num>
  <w:num w:numId="26">
    <w:abstractNumId w:val="36"/>
  </w:num>
  <w:num w:numId="27">
    <w:abstractNumId w:val="7"/>
  </w:num>
  <w:num w:numId="28">
    <w:abstractNumId w:val="34"/>
  </w:num>
  <w:num w:numId="29">
    <w:abstractNumId w:val="3"/>
  </w:num>
  <w:num w:numId="30">
    <w:abstractNumId w:val="25"/>
  </w:num>
  <w:num w:numId="31">
    <w:abstractNumId w:val="1"/>
  </w:num>
  <w:num w:numId="32">
    <w:abstractNumId w:val="30"/>
  </w:num>
  <w:num w:numId="33">
    <w:abstractNumId w:val="39"/>
  </w:num>
  <w:num w:numId="34">
    <w:abstractNumId w:val="0"/>
  </w:num>
  <w:num w:numId="35">
    <w:abstractNumId w:val="20"/>
  </w:num>
  <w:num w:numId="36">
    <w:abstractNumId w:val="29"/>
  </w:num>
  <w:num w:numId="37">
    <w:abstractNumId w:val="15"/>
  </w:num>
  <w:num w:numId="38">
    <w:abstractNumId w:val="13"/>
  </w:num>
  <w:num w:numId="39">
    <w:abstractNumId w:val="24"/>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3B56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3"/>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352</Words>
  <Characters>2269</Characters>
  <TotalTime>62</TotalTime>
  <ScaleCrop>false</ScaleCrop>
  <LinksUpToDate>false</LinksUpToDate>
  <CharactersWithSpaces>2582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2026-03-25T15:16:00Z</dcterms:created>
  <dc:creator>html-to-docx</dc:creator>
  <cp:keywords>html-to-docx</cp:keywords>
  <cp:lastModifiedBy>WPS_1773770013</cp:lastModifiedBy>
  <dcterms:modified xsi:type="dcterms:W3CDTF">2026-03-25T17:33:40Z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eyJoZGlkIjoiMjljZTliYmU1MzY0NWRjMGQxMGIwYTEwN2Q3OTNjOTkiLCJ1c2VySWQiOiIzODQ4MjkxNTM2MjExIn0=</vt:lpwstr>
  </property>
  <property fmtid="{D5CDD505-2E9C-101B-9397-08002B2CF9AE}" pid="3" name="KSOProductBuildVer">
    <vt:lpwstr>1033-12.1.0.25242</vt:lpwstr>
  </property>
  <property fmtid="{D5CDD505-2E9C-101B-9397-08002B2CF9AE}" pid="4" name="ICV">
    <vt:lpwstr>302EE0ED347443B19795AC442AEAE5E5_12</vt:lpwstr>
  </property>
</Properties>
</file>