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13"/>
        <w:gridCol w:w="4513"/>
      </w:tblGrid>
      <w:tr w14:paraId="22851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587" w:type="dxa"/>
            <w:tcBorders>
              <w:top w:val="nil"/>
              <w:left w:val="nil"/>
              <w:bottom w:val="nil"/>
              <w:right w:val="nil"/>
            </w:tcBorders>
          </w:tcPr>
          <w:p w14:paraId="2613ADC7">
            <w:r>
              <w:drawing>
                <wp:inline distT="0" distB="0" distL="114300" distR="114300">
                  <wp:extent cx="719455" cy="719455"/>
                  <wp:effectExtent l="0" t="0" r="1206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720000" cy="720000"/>
                          </a:xfrm>
                          <a:prstGeom prst="rect">
                            <a:avLst/>
                          </a:prstGeom>
                        </pic:spPr>
                      </pic:pic>
                    </a:graphicData>
                  </a:graphic>
                </wp:inline>
              </w:drawing>
            </w:r>
          </w:p>
        </w:tc>
        <w:tc>
          <w:tcPr>
            <w:tcW w:w="7483" w:type="dxa"/>
            <w:tcBorders>
              <w:top w:val="nil"/>
              <w:left w:val="nil"/>
              <w:bottom w:val="nil"/>
              <w:right w:val="nil"/>
            </w:tcBorders>
            <w:vAlign w:val="center"/>
          </w:tcPr>
          <w:p w14:paraId="3540A29E">
            <w:pPr>
              <w:spacing w:before="0" w:after="0" w:line="260" w:lineRule="auto"/>
            </w:pPr>
            <w:r>
              <w:rPr>
                <w:rFonts w:ascii="Arial" w:hAnsi="Arial"/>
                <w:b/>
                <w:color w:val="1A5C38"/>
                <w:sz w:val="28"/>
              </w:rPr>
              <w:t>GREEN AFRICA HUB LTD</w:t>
            </w:r>
          </w:p>
          <w:p w14:paraId="02AA7214">
            <w:pPr>
              <w:spacing w:before="20" w:after="0" w:line="260" w:lineRule="auto"/>
            </w:pPr>
            <w:r>
              <w:rPr>
                <w:rFonts w:ascii="Arial" w:hAnsi="Arial"/>
                <w:i/>
                <w:color w:val="808080"/>
                <w:sz w:val="20"/>
              </w:rPr>
              <w:t>Sustaining Heritage, Powering the Future</w:t>
            </w:r>
          </w:p>
          <w:p w14:paraId="4CE2708B">
            <w:pPr>
              <w:spacing w:before="20" w:after="0" w:line="240" w:lineRule="auto"/>
            </w:pPr>
            <w:r>
              <w:rPr>
                <w:rFonts w:ascii="Arial" w:hAnsi="Arial"/>
                <w:color w:val="666666"/>
                <w:sz w:val="16"/>
              </w:rPr>
              <w:t xml:space="preserve">Company No. 17107299 | www.greenafricahub.org.uk | gracetuase@gmail.com | </w:t>
            </w:r>
            <w:r>
              <w:rPr>
                <w:rFonts w:hint="default" w:ascii="Arial" w:hAnsi="Arial"/>
                <w:color w:val="666666"/>
                <w:sz w:val="16"/>
                <w:lang w:val="en-GB"/>
              </w:rPr>
              <w:t>+44(</w:t>
            </w:r>
            <w:r>
              <w:rPr>
                <w:rFonts w:ascii="Arial" w:hAnsi="Arial"/>
                <w:color w:val="666666"/>
                <w:sz w:val="16"/>
              </w:rPr>
              <w:t>0</w:t>
            </w:r>
            <w:r>
              <w:rPr>
                <w:rFonts w:hint="default" w:ascii="Arial" w:hAnsi="Arial"/>
                <w:color w:val="666666"/>
                <w:sz w:val="16"/>
                <w:lang w:val="en-GB"/>
              </w:rPr>
              <w:t>)</w:t>
            </w:r>
            <w:r>
              <w:rPr>
                <w:rFonts w:ascii="Arial" w:hAnsi="Arial"/>
                <w:color w:val="666666"/>
                <w:sz w:val="16"/>
              </w:rPr>
              <w:t>7776 643169</w:t>
            </w:r>
          </w:p>
        </w:tc>
      </w:tr>
    </w:tbl>
    <w:p w14:paraId="27429F3F">
      <w:pPr>
        <w:pBdr>
          <w:bottom w:val="single" w:color="1A5C38" w:sz="12" w:space="1"/>
        </w:pBdr>
        <w:spacing w:before="60" w:after="200"/>
        <w:rPr>
          <w:sz w:val="4"/>
        </w:rPr>
      </w:pPr>
    </w:p>
    <w:p w14:paraId="70F5A45C">
      <w:pPr>
        <w:spacing w:before="600" w:after="0"/>
        <w:jc w:val="center"/>
      </w:pPr>
      <w:r>
        <w:rPr>
          <w:rFonts w:ascii="Calibri" w:hAnsi="Calibri" w:eastAsia="Calibri" w:cs="Calibri"/>
          <w:b/>
          <w:bCs/>
          <w:color w:val="1A5C38"/>
          <w:sz w:val="44"/>
          <w:szCs w:val="44"/>
        </w:rPr>
        <w:t>GREEN AFRICA HUB LTD</w:t>
      </w:r>
    </w:p>
    <w:p w14:paraId="049A2263">
      <w:pPr>
        <w:spacing w:before="80" w:after="0"/>
        <w:jc w:val="center"/>
      </w:pPr>
      <w:r>
        <w:rPr>
          <w:rFonts w:ascii="Calibri" w:hAnsi="Calibri" w:eastAsia="Calibri" w:cs="Calibri"/>
          <w:color w:val="555555"/>
          <w:sz w:val="20"/>
          <w:szCs w:val="20"/>
        </w:rPr>
        <w:t>Company No. 17107299  |  Incorporated 21 March 2026</w:t>
      </w:r>
    </w:p>
    <w:p w14:paraId="1DE8BC59">
      <w:pPr>
        <w:spacing w:before="60" w:after="0"/>
        <w:jc w:val="center"/>
      </w:pPr>
      <w:r>
        <w:fldChar w:fldCharType="begin"/>
      </w:r>
      <w:r>
        <w:instrText xml:space="preserve"> HYPERLINK "https://www.greenafricahub.org.uk" </w:instrText>
      </w:r>
      <w:r>
        <w:fldChar w:fldCharType="separate"/>
      </w:r>
      <w:r>
        <w:rPr>
          <w:rStyle w:val="15"/>
          <w:rFonts w:ascii="Calibri" w:hAnsi="Calibri" w:eastAsia="Calibri" w:cs="Calibri"/>
          <w:color w:val="1A5C38"/>
          <w:sz w:val="20"/>
          <w:szCs w:val="20"/>
        </w:rPr>
        <w:t>www.greenafricahub.org.uk</w:t>
      </w:r>
      <w:r>
        <w:rPr>
          <w:rStyle w:val="15"/>
          <w:rFonts w:ascii="Calibri" w:hAnsi="Calibri" w:eastAsia="Calibri" w:cs="Calibri"/>
          <w:color w:val="1A5C38"/>
          <w:sz w:val="20"/>
          <w:szCs w:val="20"/>
        </w:rPr>
        <w:fldChar w:fldCharType="end"/>
      </w:r>
      <w:r>
        <w:rPr>
          <w:rFonts w:ascii="Calibri" w:hAnsi="Calibri" w:eastAsia="Calibri" w:cs="Calibri"/>
          <w:color w:val="555555"/>
          <w:sz w:val="20"/>
          <w:szCs w:val="20"/>
        </w:rPr>
        <w:t xml:space="preserve">  |  gracetuase@gmail.com  |  +44 (0) 7776 643169</w:t>
      </w:r>
    </w:p>
    <w:p w14:paraId="672C40B5">
      <w:pPr>
        <w:spacing w:before="60" w:after="200"/>
        <w:jc w:val="center"/>
      </w:pPr>
      <w:r>
        <w:rPr>
          <w:rFonts w:ascii="Calibri" w:hAnsi="Calibri" w:eastAsia="Calibri" w:cs="Calibri"/>
          <w:color w:val="555555"/>
          <w:sz w:val="20"/>
          <w:szCs w:val="20"/>
        </w:rPr>
        <w:t>Bristol, England &amp; Wales</w:t>
      </w:r>
    </w:p>
    <w:p w14:paraId="6400A0D6">
      <w:pPr>
        <w:pBdr>
          <w:bottom w:val="single" w:color="1A5C38" w:sz="6" w:space="1"/>
        </w:pBdr>
        <w:spacing w:before="0" w:after="0"/>
      </w:pPr>
    </w:p>
    <w:p w14:paraId="2BD8E5AA">
      <w:pPr>
        <w:spacing w:before="600" w:after="120"/>
        <w:jc w:val="center"/>
      </w:pPr>
      <w:r>
        <w:rPr>
          <w:rFonts w:ascii="Calibri" w:hAnsi="Calibri" w:eastAsia="Calibri" w:cs="Calibri"/>
          <w:b/>
          <w:bCs/>
          <w:color w:val="1A5C38"/>
          <w:sz w:val="40"/>
          <w:szCs w:val="40"/>
        </w:rPr>
        <w:t xml:space="preserve">Business Plan </w:t>
      </w:r>
    </w:p>
    <w:p w14:paraId="36752FF7">
      <w:pPr>
        <w:spacing w:before="0" w:after="60"/>
        <w:jc w:val="center"/>
      </w:pPr>
      <w:r>
        <w:rPr>
          <w:rFonts w:ascii="Calibri" w:hAnsi="Calibri" w:eastAsia="Calibri" w:cs="Calibri"/>
          <w:color w:val="555555"/>
          <w:sz w:val="24"/>
          <w:szCs w:val="24"/>
        </w:rPr>
        <w:t xml:space="preserve">Version </w:t>
      </w:r>
      <w:r>
        <w:rPr>
          <w:rFonts w:hint="default" w:cs="Calibri"/>
          <w:color w:val="555555"/>
          <w:sz w:val="24"/>
          <w:szCs w:val="24"/>
          <w:lang w:val="en-GB"/>
        </w:rPr>
        <w:t>3</w:t>
      </w:r>
      <w:r>
        <w:rPr>
          <w:rFonts w:ascii="Calibri" w:hAnsi="Calibri" w:eastAsia="Calibri" w:cs="Calibri"/>
          <w:color w:val="555555"/>
          <w:sz w:val="24"/>
          <w:szCs w:val="24"/>
        </w:rPr>
        <w:t>.0 — March 2026</w:t>
      </w:r>
    </w:p>
    <w:p w14:paraId="3EA50166">
      <w:pPr>
        <w:spacing w:before="100" w:after="400"/>
        <w:jc w:val="center"/>
      </w:pPr>
      <w:r>
        <w:rPr>
          <w:rFonts w:ascii="Calibri" w:hAnsi="Calibri" w:eastAsia="Calibri" w:cs="Calibri"/>
          <w:b/>
          <w:bCs/>
          <w:color w:val="888888"/>
          <w:sz w:val="20"/>
          <w:szCs w:val="20"/>
        </w:rPr>
        <w:t>Business Confidential</w:t>
      </w:r>
    </w:p>
    <w:p w14:paraId="2A7D69B1">
      <w:pPr>
        <w:spacing w:before="20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F5E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8E6C9" w:sz="0" w:space="0"/>
              <w:left w:val="single" w:color="1A5C38" w:sz="18" w:space="0"/>
              <w:bottom w:val="single" w:color="C8E6C9" w:sz="0" w:space="0"/>
              <w:right w:val="single" w:color="C8E6C9" w:sz="0" w:space="0"/>
            </w:tcBorders>
            <w:shd w:val="clear" w:color="auto" w:fill="E8F5E9"/>
            <w:tcMar>
              <w:top w:w="200" w:type="dxa"/>
              <w:left w:w="300" w:type="dxa"/>
              <w:bottom w:w="200" w:type="dxa"/>
              <w:right w:w="300" w:type="dxa"/>
            </w:tcMar>
          </w:tcPr>
          <w:p w14:paraId="114D36BD">
            <w:pPr>
              <w:spacing w:before="0" w:after="120"/>
              <w:jc w:val="center"/>
            </w:pPr>
            <w:r>
              <w:rPr>
                <w:rFonts w:ascii="Calibri" w:hAnsi="Calibri" w:eastAsia="Calibri" w:cs="Calibri"/>
                <w:b/>
                <w:bCs/>
                <w:i/>
                <w:iCs/>
                <w:color w:val="1A5C38"/>
                <w:sz w:val="26"/>
                <w:szCs w:val="26"/>
              </w:rPr>
              <w:t>"Sustainability is everyone's business — and should be the business of everyone."</w:t>
            </w:r>
          </w:p>
          <w:p w14:paraId="10692C3A">
            <w:pPr>
              <w:spacing w:before="0" w:after="0"/>
              <w:jc w:val="center"/>
            </w:pPr>
            <w:r>
              <w:rPr>
                <w:rFonts w:ascii="Calibri" w:hAnsi="Calibri" w:eastAsia="Calibri" w:cs="Calibri"/>
                <w:color w:val="1A5C38"/>
                <w:sz w:val="22"/>
                <w:szCs w:val="22"/>
              </w:rPr>
              <w:t>Green Africa Hub exists to ensure that Black communities are not just part of the green transition but leading it — protecting our heritage, powering our future, and making this planet a better place for our children, our communities, and for all.</w:t>
            </w:r>
          </w:p>
        </w:tc>
      </w:tr>
    </w:tbl>
    <w:p w14:paraId="35C1163D">
      <w:r>
        <w:br w:type="page"/>
      </w:r>
    </w:p>
    <w:p w14:paraId="23CBF261">
      <w:pPr>
        <w:spacing w:before="200" w:after="300"/>
        <w:jc w:val="left"/>
      </w:pPr>
      <w:r>
        <w:rPr>
          <w:rFonts w:ascii="Calibri" w:hAnsi="Calibri" w:eastAsia="Calibri" w:cs="Calibri"/>
          <w:b/>
          <w:bCs/>
          <w:color w:val="1A5C38"/>
          <w:sz w:val="32"/>
          <w:szCs w:val="32"/>
        </w:rPr>
        <w:t>Table of Contents</w:t>
      </w:r>
    </w:p>
    <w:p w14:paraId="2BA9E134">
      <w:pPr>
        <w:spacing w:before="60" w:after="60"/>
        <w:ind w:left="200"/>
      </w:pPr>
      <w:r>
        <w:rPr>
          <w:rFonts w:ascii="Calibri" w:hAnsi="Calibri" w:eastAsia="Calibri" w:cs="Calibri"/>
          <w:b/>
          <w:bCs/>
          <w:color w:val="1A5C38"/>
          <w:sz w:val="22"/>
          <w:szCs w:val="22"/>
        </w:rPr>
        <w:t xml:space="preserve">1.  </w:t>
      </w:r>
      <w:r>
        <w:rPr>
          <w:rFonts w:ascii="Calibri" w:hAnsi="Calibri" w:eastAsia="Calibri" w:cs="Calibri"/>
          <w:color w:val="1A1A1A"/>
          <w:sz w:val="22"/>
          <w:szCs w:val="22"/>
        </w:rPr>
        <w:t>Executive Summary</w:t>
      </w:r>
    </w:p>
    <w:p w14:paraId="2079A59D">
      <w:pPr>
        <w:spacing w:before="60" w:after="60"/>
        <w:ind w:left="200"/>
      </w:pPr>
      <w:r>
        <w:rPr>
          <w:rFonts w:ascii="Calibri" w:hAnsi="Calibri" w:eastAsia="Calibri" w:cs="Calibri"/>
          <w:b/>
          <w:bCs/>
          <w:color w:val="1A5C38"/>
          <w:sz w:val="22"/>
          <w:szCs w:val="22"/>
        </w:rPr>
        <w:t xml:space="preserve">2.  </w:t>
      </w:r>
      <w:r>
        <w:rPr>
          <w:rFonts w:ascii="Calibri" w:hAnsi="Calibri" w:eastAsia="Calibri" w:cs="Calibri"/>
          <w:color w:val="1A1A1A"/>
          <w:sz w:val="22"/>
          <w:szCs w:val="22"/>
        </w:rPr>
        <w:t>The Founder — Grace's Story</w:t>
      </w:r>
      <w:r>
        <w:rPr>
          <w:rFonts w:ascii="Calibri" w:hAnsi="Calibri" w:eastAsia="Calibri" w:cs="Calibri"/>
          <w:b/>
          <w:bCs/>
          <w:i/>
          <w:iCs/>
          <w:color w:val="1A5C38"/>
          <w:sz w:val="20"/>
          <w:szCs w:val="20"/>
        </w:rPr>
        <w:t xml:space="preserve">  </w:t>
      </w:r>
    </w:p>
    <w:p w14:paraId="677077B0">
      <w:pPr>
        <w:spacing w:before="60" w:after="60"/>
        <w:ind w:left="200"/>
      </w:pPr>
      <w:r>
        <w:rPr>
          <w:rFonts w:ascii="Calibri" w:hAnsi="Calibri" w:eastAsia="Calibri" w:cs="Calibri"/>
          <w:b/>
          <w:bCs/>
          <w:color w:val="1A5C38"/>
          <w:sz w:val="22"/>
          <w:szCs w:val="22"/>
        </w:rPr>
        <w:t xml:space="preserve">3.  </w:t>
      </w:r>
      <w:r>
        <w:rPr>
          <w:rFonts w:ascii="Calibri" w:hAnsi="Calibri" w:eastAsia="Calibri" w:cs="Calibri"/>
          <w:color w:val="1A1A1A"/>
          <w:sz w:val="22"/>
          <w:szCs w:val="22"/>
        </w:rPr>
        <w:t>The Problem</w:t>
      </w:r>
    </w:p>
    <w:p w14:paraId="6A3D19BE">
      <w:pPr>
        <w:spacing w:before="60" w:after="60"/>
        <w:ind w:left="200"/>
      </w:pPr>
      <w:r>
        <w:rPr>
          <w:rFonts w:ascii="Calibri" w:hAnsi="Calibri" w:eastAsia="Calibri" w:cs="Calibri"/>
          <w:b/>
          <w:bCs/>
          <w:color w:val="1A5C38"/>
          <w:sz w:val="22"/>
          <w:szCs w:val="22"/>
        </w:rPr>
        <w:t xml:space="preserve">4.  </w:t>
      </w:r>
      <w:r>
        <w:rPr>
          <w:rFonts w:ascii="Calibri" w:hAnsi="Calibri" w:eastAsia="Calibri" w:cs="Calibri"/>
          <w:color w:val="1A1A1A"/>
          <w:sz w:val="22"/>
          <w:szCs w:val="22"/>
        </w:rPr>
        <w:t>The Solution — Smart Kitchen Hub</w:t>
      </w:r>
    </w:p>
    <w:p w14:paraId="6D1BD71D">
      <w:pPr>
        <w:spacing w:before="60" w:after="60"/>
        <w:ind w:left="200"/>
      </w:pPr>
      <w:r>
        <w:rPr>
          <w:rFonts w:ascii="Calibri" w:hAnsi="Calibri" w:eastAsia="Calibri" w:cs="Calibri"/>
          <w:b/>
          <w:bCs/>
          <w:color w:val="1A5C38"/>
          <w:sz w:val="22"/>
          <w:szCs w:val="22"/>
        </w:rPr>
        <w:t xml:space="preserve">5.  </w:t>
      </w:r>
      <w:r>
        <w:rPr>
          <w:rFonts w:ascii="Calibri" w:hAnsi="Calibri" w:eastAsia="Calibri" w:cs="Calibri"/>
          <w:color w:val="1A1A1A"/>
          <w:sz w:val="22"/>
          <w:szCs w:val="22"/>
        </w:rPr>
        <w:t>The Pilot Plan</w:t>
      </w:r>
      <w:r>
        <w:rPr>
          <w:rFonts w:ascii="Calibri" w:hAnsi="Calibri" w:eastAsia="Calibri" w:cs="Calibri"/>
          <w:b/>
          <w:bCs/>
          <w:i/>
          <w:iCs/>
          <w:color w:val="1A5C38"/>
          <w:sz w:val="20"/>
          <w:szCs w:val="20"/>
        </w:rPr>
        <w:t xml:space="preserve">  </w:t>
      </w:r>
    </w:p>
    <w:p w14:paraId="54D6FDF8">
      <w:pPr>
        <w:spacing w:before="60" w:after="60"/>
        <w:ind w:left="200"/>
      </w:pPr>
      <w:r>
        <w:rPr>
          <w:rFonts w:ascii="Calibri" w:hAnsi="Calibri" w:eastAsia="Calibri" w:cs="Calibri"/>
          <w:b/>
          <w:bCs/>
          <w:color w:val="1A5C38"/>
          <w:sz w:val="22"/>
          <w:szCs w:val="22"/>
        </w:rPr>
        <w:t xml:space="preserve">6.  </w:t>
      </w:r>
      <w:r>
        <w:rPr>
          <w:rFonts w:ascii="Calibri" w:hAnsi="Calibri" w:eastAsia="Calibri" w:cs="Calibri"/>
          <w:color w:val="1A1A1A"/>
          <w:sz w:val="22"/>
          <w:szCs w:val="22"/>
        </w:rPr>
        <w:t>Revenue Model</w:t>
      </w:r>
    </w:p>
    <w:p w14:paraId="7DF60D7C">
      <w:pPr>
        <w:spacing w:before="60" w:after="60"/>
        <w:ind w:left="200"/>
      </w:pPr>
      <w:r>
        <w:rPr>
          <w:rFonts w:ascii="Calibri" w:hAnsi="Calibri" w:eastAsia="Calibri" w:cs="Calibri"/>
          <w:b/>
          <w:bCs/>
          <w:color w:val="1A5C38"/>
          <w:sz w:val="22"/>
          <w:szCs w:val="22"/>
        </w:rPr>
        <w:t xml:space="preserve">7.  </w:t>
      </w:r>
      <w:r>
        <w:rPr>
          <w:rFonts w:ascii="Calibri" w:hAnsi="Calibri" w:eastAsia="Calibri" w:cs="Calibri"/>
          <w:color w:val="1A1A1A"/>
          <w:sz w:val="22"/>
          <w:szCs w:val="22"/>
        </w:rPr>
        <w:t>Break-Even Analysis</w:t>
      </w:r>
      <w:r>
        <w:rPr>
          <w:rFonts w:ascii="Calibri" w:hAnsi="Calibri" w:eastAsia="Calibri" w:cs="Calibri"/>
          <w:b/>
          <w:bCs/>
          <w:i/>
          <w:iCs/>
          <w:color w:val="1A5C38"/>
          <w:sz w:val="20"/>
          <w:szCs w:val="20"/>
        </w:rPr>
        <w:t xml:space="preserve">  </w:t>
      </w:r>
    </w:p>
    <w:p w14:paraId="39942AFF">
      <w:pPr>
        <w:spacing w:before="60" w:after="60"/>
        <w:ind w:left="200"/>
        <w:rPr>
          <w:rFonts w:hint="default"/>
          <w:lang w:val="en-GB"/>
        </w:rPr>
      </w:pPr>
      <w:r>
        <w:rPr>
          <w:rFonts w:ascii="Calibri" w:hAnsi="Calibri" w:eastAsia="Calibri" w:cs="Calibri"/>
          <w:b/>
          <w:bCs/>
          <w:color w:val="1A5C38"/>
          <w:sz w:val="22"/>
          <w:szCs w:val="22"/>
        </w:rPr>
        <w:t xml:space="preserve">8.  </w:t>
      </w:r>
      <w:r>
        <w:rPr>
          <w:rFonts w:ascii="Calibri" w:hAnsi="Calibri" w:eastAsia="Calibri" w:cs="Calibri"/>
          <w:color w:val="1A1A1A"/>
          <w:sz w:val="22"/>
          <w:szCs w:val="22"/>
        </w:rPr>
        <w:t>Market Opportunity</w:t>
      </w:r>
      <w:r>
        <w:rPr>
          <w:rFonts w:hint="default" w:cs="Calibri"/>
          <w:color w:val="1A1A1A"/>
          <w:sz w:val="22"/>
          <w:szCs w:val="22"/>
          <w:lang w:val="en-GB"/>
        </w:rPr>
        <w:t xml:space="preserve"> and Marketing Strategy</w:t>
      </w:r>
    </w:p>
    <w:p w14:paraId="18D9C831">
      <w:pPr>
        <w:spacing w:before="60" w:after="60"/>
        <w:ind w:left="200"/>
      </w:pPr>
      <w:r>
        <w:rPr>
          <w:rFonts w:ascii="Calibri" w:hAnsi="Calibri" w:eastAsia="Calibri" w:cs="Calibri"/>
          <w:b/>
          <w:bCs/>
          <w:color w:val="1A5C38"/>
          <w:sz w:val="22"/>
          <w:szCs w:val="22"/>
        </w:rPr>
        <w:t xml:space="preserve">9.  </w:t>
      </w:r>
      <w:r>
        <w:rPr>
          <w:rFonts w:ascii="Calibri" w:hAnsi="Calibri" w:eastAsia="Calibri" w:cs="Calibri"/>
          <w:color w:val="1A1A1A"/>
          <w:sz w:val="22"/>
          <w:szCs w:val="22"/>
        </w:rPr>
        <w:t>Operations &amp; Timeline</w:t>
      </w:r>
    </w:p>
    <w:p w14:paraId="19F1E184">
      <w:pPr>
        <w:spacing w:before="60" w:after="60"/>
        <w:ind w:left="200"/>
      </w:pPr>
      <w:r>
        <w:rPr>
          <w:rFonts w:ascii="Calibri" w:hAnsi="Calibri" w:eastAsia="Calibri" w:cs="Calibri"/>
          <w:b/>
          <w:bCs/>
          <w:color w:val="1A5C38"/>
          <w:sz w:val="22"/>
          <w:szCs w:val="22"/>
        </w:rPr>
        <w:t xml:space="preserve">10.  </w:t>
      </w:r>
      <w:r>
        <w:rPr>
          <w:rFonts w:ascii="Calibri" w:hAnsi="Calibri" w:eastAsia="Calibri" w:cs="Calibri"/>
          <w:color w:val="1A1A1A"/>
          <w:sz w:val="22"/>
          <w:szCs w:val="22"/>
        </w:rPr>
        <w:t>Funding Strategy</w:t>
      </w:r>
    </w:p>
    <w:p w14:paraId="7F567D82">
      <w:pPr>
        <w:spacing w:before="60" w:after="60"/>
        <w:ind w:left="200"/>
      </w:pPr>
      <w:r>
        <w:rPr>
          <w:rFonts w:ascii="Calibri" w:hAnsi="Calibri" w:eastAsia="Calibri" w:cs="Calibri"/>
          <w:b/>
          <w:bCs/>
          <w:color w:val="1A5C38"/>
          <w:sz w:val="22"/>
          <w:szCs w:val="22"/>
        </w:rPr>
        <w:t xml:space="preserve">11.  </w:t>
      </w:r>
      <w:r>
        <w:rPr>
          <w:rFonts w:ascii="Calibri" w:hAnsi="Calibri" w:eastAsia="Calibri" w:cs="Calibri"/>
          <w:color w:val="1A1A1A"/>
          <w:sz w:val="22"/>
          <w:szCs w:val="22"/>
        </w:rPr>
        <w:t>SDG Alignment</w:t>
      </w:r>
    </w:p>
    <w:p w14:paraId="7D003C2E">
      <w:pPr>
        <w:spacing w:before="60" w:after="60"/>
        <w:ind w:left="200"/>
      </w:pPr>
      <w:r>
        <w:rPr>
          <w:rFonts w:ascii="Calibri" w:hAnsi="Calibri" w:eastAsia="Calibri" w:cs="Calibri"/>
          <w:b/>
          <w:bCs/>
          <w:color w:val="1A5C38"/>
          <w:sz w:val="22"/>
          <w:szCs w:val="22"/>
        </w:rPr>
        <w:t xml:space="preserve">12.  </w:t>
      </w:r>
      <w:r>
        <w:rPr>
          <w:rFonts w:ascii="Calibri" w:hAnsi="Calibri" w:eastAsia="Calibri" w:cs="Calibri"/>
          <w:color w:val="1A1A1A"/>
          <w:sz w:val="22"/>
          <w:szCs w:val="22"/>
        </w:rPr>
        <w:t>Risk Register</w:t>
      </w:r>
    </w:p>
    <w:p w14:paraId="4657B805">
      <w:pPr>
        <w:spacing w:before="60" w:after="60"/>
        <w:ind w:left="200"/>
      </w:pPr>
      <w:r>
        <w:rPr>
          <w:rFonts w:ascii="Calibri" w:hAnsi="Calibri" w:eastAsia="Calibri" w:cs="Calibri"/>
          <w:b/>
          <w:bCs/>
          <w:color w:val="1A5C38"/>
          <w:sz w:val="22"/>
          <w:szCs w:val="22"/>
        </w:rPr>
        <w:t xml:space="preserve">13.  </w:t>
      </w:r>
      <w:r>
        <w:rPr>
          <w:rFonts w:ascii="Calibri" w:hAnsi="Calibri" w:eastAsia="Calibri" w:cs="Calibri"/>
          <w:color w:val="1A1A1A"/>
          <w:sz w:val="22"/>
          <w:szCs w:val="22"/>
        </w:rPr>
        <w:t>Conclusion</w:t>
      </w:r>
    </w:p>
    <w:p w14:paraId="7A4B089F">
      <w:bookmarkStart w:id="0" w:name="_GoBack"/>
      <w:bookmarkEnd w:id="0"/>
      <w:r>
        <w:br w:type="page"/>
      </w:r>
    </w:p>
    <w:p w14:paraId="4F98E458">
      <w:pPr>
        <w:pStyle w:val="2"/>
        <w:numPr>
          <w:ilvl w:val="0"/>
          <w:numId w:val="1"/>
        </w:numPr>
        <w:spacing w:before="360" w:after="180"/>
        <w:rPr>
          <w:rFonts w:ascii="Calibri" w:hAnsi="Calibri" w:eastAsia="Calibri" w:cs="Calibri"/>
          <w:b/>
          <w:bCs/>
          <w:color w:val="1A5C38"/>
          <w:sz w:val="32"/>
          <w:szCs w:val="32"/>
        </w:rPr>
      </w:pPr>
      <w:r>
        <w:rPr>
          <w:rFonts w:ascii="Calibri" w:hAnsi="Calibri" w:eastAsia="Calibri" w:cs="Calibri"/>
          <w:b/>
          <w:bCs/>
          <w:color w:val="1A5C38"/>
          <w:sz w:val="32"/>
          <w:szCs w:val="32"/>
        </w:rPr>
        <w:t>Executive Summary</w:t>
      </w:r>
    </w:p>
    <w:p w14:paraId="3148D56C">
      <w:pPr>
        <w:numPr>
          <w:numId w:val="0"/>
        </w:numPr>
        <w:rPr>
          <w:rFonts w:hint="default"/>
        </w:rPr>
      </w:pPr>
    </w:p>
    <w:p w14:paraId="4F7199FA">
      <w:pPr>
        <w:numPr>
          <w:numId w:val="0"/>
        </w:numPr>
        <w:rPr>
          <w:rFonts w:hint="default"/>
        </w:rPr>
      </w:pPr>
    </w:p>
    <w:p w14:paraId="1E075BFA">
      <w:pPr>
        <w:pStyle w:val="16"/>
        <w:keepNext w:val="0"/>
        <w:keepLines w:val="0"/>
        <w:widowControl/>
        <w:suppressLineNumbers w:val="0"/>
        <w:spacing w:before="0" w:beforeAutospacing="1" w:after="0" w:afterAutospacing="1"/>
        <w:ind w:left="720" w:right="720"/>
      </w:pPr>
      <w:r>
        <w:rPr>
          <w:rStyle w:val="17"/>
          <w:rFonts w:hint="eastAsia" w:ascii="SimSun" w:hAnsi="SimSun" w:eastAsia="SimSun" w:cs="SimSun"/>
          <w:sz w:val="24"/>
          <w:szCs w:val="24"/>
        </w:rPr>
        <w:t>1. Executive Summary</w:t>
      </w:r>
    </w:p>
    <w:p w14:paraId="4DDBA401">
      <w:pPr>
        <w:pStyle w:val="16"/>
        <w:keepNext w:val="0"/>
        <w:keepLines w:val="0"/>
        <w:widowControl/>
        <w:suppressLineNumbers w:val="0"/>
        <w:spacing w:before="0" w:beforeAutospacing="1" w:after="0" w:afterAutospacing="1"/>
        <w:ind w:left="720" w:right="720"/>
        <w:rPr>
          <w:rFonts w:hint="eastAsia" w:ascii="SimSun" w:hAnsi="SimSun" w:eastAsia="SimSun" w:cs="SimSun"/>
          <w:sz w:val="24"/>
          <w:szCs w:val="24"/>
        </w:rPr>
      </w:pPr>
      <w:r>
        <w:rPr>
          <w:rFonts w:hint="eastAsia" w:ascii="SimSun" w:hAnsi="SimSun" w:eastAsia="SimSun" w:cs="SimSun"/>
          <w:sz w:val="24"/>
          <w:szCs w:val="24"/>
        </w:rPr>
        <w:t>Green Africa Hub Ltd is a newly incorporated UK social enterprise (Company No. 17107299, incorporated 21 March 2026) addressing a critical and underserved market gap: African and Caribbean communities in the UK are disproportionately affected by fuel poverty and have been systematically excluded from the green technology transition. The business exists to make Afro</w:t>
      </w:r>
      <w:r>
        <w:rPr>
          <w:rFonts w:hint="eastAsia" w:ascii="SimSun" w:hAnsi="SimSun" w:eastAsia="SimSun" w:cs="SimSun"/>
          <w:sz w:val="24"/>
          <w:szCs w:val="24"/>
        </w:rPr>
        <w:noBreakHyphen/>
      </w:r>
      <w:r>
        <w:rPr>
          <w:rFonts w:hint="eastAsia" w:ascii="SimSun" w:hAnsi="SimSun" w:eastAsia="SimSun" w:cs="SimSun"/>
          <w:sz w:val="24"/>
          <w:szCs w:val="24"/>
        </w:rPr>
        <w:t>Caribbean cooking affordable, green and future</w:t>
      </w:r>
      <w:r>
        <w:rPr>
          <w:rFonts w:hint="eastAsia" w:ascii="SimSun" w:hAnsi="SimSun" w:eastAsia="SimSun" w:cs="SimSun"/>
          <w:sz w:val="24"/>
          <w:szCs w:val="24"/>
        </w:rPr>
        <w:noBreakHyphen/>
      </w:r>
      <w:r>
        <w:rPr>
          <w:rFonts w:hint="eastAsia" w:ascii="SimSun" w:hAnsi="SimSun" w:eastAsia="SimSun" w:cs="SimSun"/>
          <w:sz w:val="24"/>
          <w:szCs w:val="24"/>
        </w:rPr>
        <w:t>proof, so that households and micro</w:t>
      </w:r>
      <w:r>
        <w:rPr>
          <w:rFonts w:hint="eastAsia" w:ascii="SimSun" w:hAnsi="SimSun" w:eastAsia="SimSun" w:cs="SimSun"/>
          <w:sz w:val="24"/>
          <w:szCs w:val="24"/>
        </w:rPr>
        <w:noBreakHyphen/>
      </w:r>
      <w:r>
        <w:rPr>
          <w:rFonts w:hint="eastAsia" w:ascii="SimSun" w:hAnsi="SimSun" w:eastAsia="SimSun" w:cs="SimSun"/>
          <w:sz w:val="24"/>
          <w:szCs w:val="24"/>
        </w:rPr>
        <w:t>caterers can keep cooking the food they love while meeting rising expectations on energy use, carbon and honest sustainability stories.</w:t>
      </w:r>
    </w:p>
    <w:p w14:paraId="7337D1A7">
      <w:pPr>
        <w:pStyle w:val="16"/>
        <w:keepNext w:val="0"/>
        <w:keepLines w:val="0"/>
        <w:widowControl/>
        <w:suppressLineNumbers w:val="0"/>
        <w:spacing w:before="0" w:beforeAutospacing="1" w:after="0" w:afterAutospacing="1"/>
        <w:ind w:left="720" w:right="720"/>
      </w:pPr>
      <w:r>
        <w:rPr>
          <w:rFonts w:hint="eastAsia" w:ascii="SimSun" w:hAnsi="SimSun" w:eastAsia="SimSun" w:cs="SimSun"/>
          <w:sz w:val="24"/>
          <w:szCs w:val="24"/>
        </w:rPr>
        <w:t>The company is led by Grace Omotuase – a Chartered Manager, Data Scientist and professional cook with 14 years of financial leadership including 12 years at the Central Bank of Nigeria. Over 18 months of pre</w:t>
      </w:r>
      <w:r>
        <w:rPr>
          <w:rFonts w:hint="eastAsia" w:ascii="SimSun" w:hAnsi="SimSun" w:eastAsia="SimSun" w:cs="SimSun"/>
          <w:sz w:val="24"/>
          <w:szCs w:val="24"/>
        </w:rPr>
        <w:noBreakHyphen/>
      </w:r>
      <w:r>
        <w:rPr>
          <w:rFonts w:hint="eastAsia" w:ascii="SimSun" w:hAnsi="SimSun" w:eastAsia="SimSun" w:cs="SimSun"/>
          <w:sz w:val="24"/>
          <w:szCs w:val="24"/>
        </w:rPr>
        <w:t>incorporation research, Grace developed a proprietary Smart</w:t>
      </w:r>
      <w:r>
        <w:rPr>
          <w:rFonts w:hint="eastAsia" w:ascii="SimSun" w:hAnsi="SimSun" w:eastAsia="SimSun" w:cs="SimSun"/>
          <w:sz w:val="24"/>
          <w:szCs w:val="24"/>
        </w:rPr>
        <w:noBreakHyphen/>
      </w:r>
      <w:r>
        <w:rPr>
          <w:rFonts w:hint="eastAsia" w:ascii="SimSun" w:hAnsi="SimSun" w:eastAsia="SimSun" w:cs="SimSun"/>
          <w:sz w:val="24"/>
          <w:szCs w:val="24"/>
        </w:rPr>
        <w:t>Prep Methodology that adapts traditional African and Caribbean recipes for energy</w:t>
      </w:r>
      <w:r>
        <w:rPr>
          <w:rFonts w:hint="eastAsia" w:ascii="SimSun" w:hAnsi="SimSun" w:eastAsia="SimSun" w:cs="SimSun"/>
          <w:sz w:val="24"/>
          <w:szCs w:val="24"/>
        </w:rPr>
        <w:noBreakHyphen/>
      </w:r>
      <w:r>
        <w:rPr>
          <w:rFonts w:hint="eastAsia" w:ascii="SimSun" w:hAnsi="SimSun" w:eastAsia="SimSun" w:cs="SimSun"/>
          <w:sz w:val="24"/>
          <w:szCs w:val="24"/>
        </w:rPr>
        <w:t>efficient induction cooking, alongside an AI carbon</w:t>
      </w:r>
      <w:r>
        <w:rPr>
          <w:rFonts w:hint="eastAsia" w:ascii="SimSun" w:hAnsi="SimSun" w:eastAsia="SimSun" w:cs="SimSun"/>
          <w:sz w:val="24"/>
          <w:szCs w:val="24"/>
        </w:rPr>
        <w:noBreakHyphen/>
      </w:r>
      <w:r>
        <w:rPr>
          <w:rFonts w:hint="eastAsia" w:ascii="SimSun" w:hAnsi="SimSun" w:eastAsia="SimSun" w:cs="SimSun"/>
          <w:sz w:val="24"/>
          <w:szCs w:val="24"/>
        </w:rPr>
        <w:t>tracking dashboard built in Python, Scikit</w:t>
      </w:r>
      <w:r>
        <w:rPr>
          <w:rFonts w:hint="eastAsia" w:ascii="SimSun" w:hAnsi="SimSun" w:eastAsia="SimSun" w:cs="SimSun"/>
          <w:sz w:val="24"/>
          <w:szCs w:val="24"/>
        </w:rPr>
        <w:noBreakHyphen/>
      </w:r>
      <w:r>
        <w:rPr>
          <w:rFonts w:hint="eastAsia" w:ascii="SimSun" w:hAnsi="SimSun" w:eastAsia="SimSun" w:cs="SimSun"/>
          <w:sz w:val="24"/>
          <w:szCs w:val="24"/>
        </w:rPr>
        <w:t>learn and Power BI. This combination of lived experience, financial discipline and technical innovation underpins Green Africa Hub’s approach.paste.txt+1</w:t>
      </w:r>
    </w:p>
    <w:p w14:paraId="738E103A">
      <w:pPr>
        <w:pStyle w:val="16"/>
        <w:keepNext w:val="0"/>
        <w:keepLines w:val="0"/>
        <w:widowControl/>
        <w:suppressLineNumbers w:val="0"/>
        <w:spacing w:before="0" w:beforeAutospacing="1" w:after="0" w:afterAutospacing="1"/>
        <w:ind w:left="720" w:right="720"/>
      </w:pPr>
      <w:r>
        <w:rPr>
          <w:rFonts w:hint="eastAsia" w:ascii="SimSun" w:hAnsi="SimSun" w:eastAsia="SimSun" w:cs="SimSun"/>
          <w:sz w:val="24"/>
          <w:szCs w:val="24"/>
        </w:rPr>
        <w:t>Green Africa Hub will build its model in three phases over the first three years: Phase 1 (Months 1–6) pilots Smart Kitchen Hub workshops and the From Root to Table cookbook in partner community kitchens in Bristol; Phase 2 (Months 7–18) adds a regular workshop calendar, Smart</w:t>
      </w:r>
      <w:r>
        <w:rPr>
          <w:rFonts w:hint="eastAsia" w:ascii="SimSun" w:hAnsi="SimSun" w:eastAsia="SimSun" w:cs="SimSun"/>
          <w:sz w:val="24"/>
          <w:szCs w:val="24"/>
        </w:rPr>
        <w:noBreakHyphen/>
      </w:r>
      <w:r>
        <w:rPr>
          <w:rFonts w:hint="eastAsia" w:ascii="SimSun" w:hAnsi="SimSun" w:eastAsia="SimSun" w:cs="SimSun"/>
          <w:sz w:val="24"/>
          <w:szCs w:val="24"/>
        </w:rPr>
        <w:t>Prep catering and menu/net</w:t>
      </w:r>
      <w:r>
        <w:rPr>
          <w:rFonts w:hint="eastAsia" w:ascii="SimSun" w:hAnsi="SimSun" w:eastAsia="SimSun" w:cs="SimSun"/>
          <w:sz w:val="24"/>
          <w:szCs w:val="24"/>
        </w:rPr>
        <w:noBreakHyphen/>
      </w:r>
      <w:r>
        <w:rPr>
          <w:rFonts w:hint="eastAsia" w:ascii="SimSun" w:hAnsi="SimSun" w:eastAsia="SimSun" w:cs="SimSun"/>
          <w:sz w:val="24"/>
          <w:szCs w:val="24"/>
        </w:rPr>
        <w:t>zero consulting for African and Caribbean food businesses; Phase 3 (Months 19–36) launches digital learning subscriptions, kitchen memberships and licensed Smart Kitchen Hub “Spokes” in other UK cities, supported by the AI carbon</w:t>
      </w:r>
      <w:r>
        <w:rPr>
          <w:rFonts w:hint="eastAsia" w:ascii="SimSun" w:hAnsi="SimSun" w:eastAsia="SimSun" w:cs="SimSun"/>
          <w:sz w:val="24"/>
          <w:szCs w:val="24"/>
        </w:rPr>
        <w:noBreakHyphen/>
      </w:r>
      <w:r>
        <w:rPr>
          <w:rFonts w:hint="eastAsia" w:ascii="SimSun" w:hAnsi="SimSun" w:eastAsia="SimSun" w:cs="SimSun"/>
          <w:sz w:val="24"/>
          <w:szCs w:val="24"/>
        </w:rPr>
        <w:t>tracking platform.GreenAfricaHub_BusinessPlan_Updated_Logo.docx+1</w:t>
      </w:r>
    </w:p>
    <w:p w14:paraId="1F41072C">
      <w:pPr>
        <w:pStyle w:val="16"/>
        <w:keepNext w:val="0"/>
        <w:keepLines w:val="0"/>
        <w:widowControl/>
        <w:suppressLineNumbers w:val="0"/>
        <w:spacing w:before="0" w:beforeAutospacing="1" w:after="0" w:afterAutospacing="1"/>
        <w:ind w:left="720" w:right="720"/>
      </w:pPr>
      <w:r>
        <w:rPr>
          <w:rFonts w:hint="eastAsia" w:ascii="SimSun" w:hAnsi="SimSun" w:eastAsia="SimSun" w:cs="SimSun"/>
          <w:sz w:val="24"/>
          <w:szCs w:val="24"/>
        </w:rPr>
        <w:t>A refreshed 3</w:t>
      </w:r>
      <w:r>
        <w:rPr>
          <w:rFonts w:hint="eastAsia" w:ascii="SimSun" w:hAnsi="SimSun" w:eastAsia="SimSun" w:cs="SimSun"/>
          <w:sz w:val="24"/>
          <w:szCs w:val="24"/>
        </w:rPr>
        <w:noBreakHyphen/>
      </w:r>
      <w:r>
        <w:rPr>
          <w:rFonts w:hint="eastAsia" w:ascii="SimSun" w:hAnsi="SimSun" w:eastAsia="SimSun" w:cs="SimSun"/>
          <w:sz w:val="24"/>
          <w:szCs w:val="24"/>
        </w:rPr>
        <w:t xml:space="preserve">year financial projection prepared in March 2026 shows Green Africa Hub generating approximately </w:t>
      </w:r>
      <w:r>
        <w:rPr>
          <w:rStyle w:val="17"/>
          <w:rFonts w:hint="eastAsia" w:ascii="SimSun" w:hAnsi="SimSun" w:eastAsia="SimSun" w:cs="SimSun"/>
          <w:sz w:val="24"/>
          <w:szCs w:val="24"/>
        </w:rPr>
        <w:t>£11,700</w:t>
      </w:r>
      <w:r>
        <w:rPr>
          <w:rFonts w:hint="eastAsia" w:ascii="SimSun" w:hAnsi="SimSun" w:eastAsia="SimSun" w:cs="SimSun"/>
          <w:sz w:val="24"/>
          <w:szCs w:val="24"/>
        </w:rPr>
        <w:t xml:space="preserve"> of revenue in Year 1, </w:t>
      </w:r>
      <w:r>
        <w:rPr>
          <w:rStyle w:val="17"/>
          <w:rFonts w:hint="eastAsia" w:ascii="SimSun" w:hAnsi="SimSun" w:eastAsia="SimSun" w:cs="SimSun"/>
          <w:sz w:val="24"/>
          <w:szCs w:val="24"/>
        </w:rPr>
        <w:t>£30,000</w:t>
      </w:r>
      <w:r>
        <w:rPr>
          <w:rFonts w:hint="eastAsia" w:ascii="SimSun" w:hAnsi="SimSun" w:eastAsia="SimSun" w:cs="SimSun"/>
          <w:sz w:val="24"/>
          <w:szCs w:val="24"/>
        </w:rPr>
        <w:t xml:space="preserve"> in Year 2 and </w:t>
      </w:r>
      <w:r>
        <w:rPr>
          <w:rStyle w:val="17"/>
          <w:rFonts w:hint="eastAsia" w:ascii="SimSun" w:hAnsi="SimSun" w:eastAsia="SimSun" w:cs="SimSun"/>
          <w:sz w:val="24"/>
          <w:szCs w:val="24"/>
        </w:rPr>
        <w:t>£55,000</w:t>
      </w:r>
      <w:r>
        <w:rPr>
          <w:rFonts w:hint="eastAsia" w:ascii="SimSun" w:hAnsi="SimSun" w:eastAsia="SimSun" w:cs="SimSun"/>
          <w:sz w:val="24"/>
          <w:szCs w:val="24"/>
        </w:rPr>
        <w:t xml:space="preserve"> in Year 3, for total three</w:t>
      </w:r>
      <w:r>
        <w:rPr>
          <w:rFonts w:hint="eastAsia" w:ascii="SimSun" w:hAnsi="SimSun" w:eastAsia="SimSun" w:cs="SimSun"/>
          <w:sz w:val="24"/>
          <w:szCs w:val="24"/>
        </w:rPr>
        <w:noBreakHyphen/>
      </w:r>
      <w:r>
        <w:rPr>
          <w:rFonts w:hint="eastAsia" w:ascii="SimSun" w:hAnsi="SimSun" w:eastAsia="SimSun" w:cs="SimSun"/>
          <w:sz w:val="24"/>
          <w:szCs w:val="24"/>
        </w:rPr>
        <w:t xml:space="preserve">year revenue of around </w:t>
      </w:r>
      <w:r>
        <w:rPr>
          <w:rStyle w:val="17"/>
          <w:rFonts w:hint="eastAsia" w:ascii="SimSun" w:hAnsi="SimSun" w:eastAsia="SimSun" w:cs="SimSun"/>
          <w:sz w:val="24"/>
          <w:szCs w:val="24"/>
        </w:rPr>
        <w:t>£97,000</w:t>
      </w:r>
      <w:r>
        <w:rPr>
          <w:rFonts w:hint="eastAsia" w:ascii="SimSun" w:hAnsi="SimSun" w:eastAsia="SimSun" w:cs="SimSun"/>
          <w:sz w:val="24"/>
          <w:szCs w:val="24"/>
        </w:rPr>
        <w:t xml:space="preserve"> in the base</w:t>
      </w:r>
      <w:r>
        <w:rPr>
          <w:rFonts w:hint="eastAsia" w:ascii="SimSun" w:hAnsi="SimSun" w:eastAsia="SimSun" w:cs="SimSun"/>
          <w:sz w:val="24"/>
          <w:szCs w:val="24"/>
        </w:rPr>
        <w:noBreakHyphen/>
      </w:r>
      <w:r>
        <w:rPr>
          <w:rFonts w:hint="eastAsia" w:ascii="SimSun" w:hAnsi="SimSun" w:eastAsia="SimSun" w:cs="SimSun"/>
          <w:sz w:val="24"/>
          <w:szCs w:val="24"/>
        </w:rPr>
        <w:t>case scenario. Across the same period the model delivers a growing surplus, with an early financial break</w:t>
      </w:r>
      <w:r>
        <w:rPr>
          <w:rFonts w:hint="eastAsia" w:ascii="SimSun" w:hAnsi="SimSun" w:eastAsia="SimSun" w:cs="SimSun"/>
          <w:sz w:val="24"/>
          <w:szCs w:val="24"/>
        </w:rPr>
        <w:noBreakHyphen/>
      </w:r>
      <w:r>
        <w:rPr>
          <w:rFonts w:hint="eastAsia" w:ascii="SimSun" w:hAnsi="SimSun" w:eastAsia="SimSun" w:cs="SimSun"/>
          <w:sz w:val="24"/>
          <w:szCs w:val="24"/>
        </w:rPr>
        <w:t xml:space="preserve">even point around </w:t>
      </w:r>
      <w:r>
        <w:rPr>
          <w:rStyle w:val="17"/>
          <w:rFonts w:hint="eastAsia" w:ascii="SimSun" w:hAnsi="SimSun" w:eastAsia="SimSun" w:cs="SimSun"/>
          <w:sz w:val="24"/>
          <w:szCs w:val="24"/>
        </w:rPr>
        <w:t>Month 5 of Year 1</w:t>
      </w:r>
      <w:r>
        <w:rPr>
          <w:rFonts w:hint="eastAsia" w:ascii="SimSun" w:hAnsi="SimSun" w:eastAsia="SimSun" w:cs="SimSun"/>
          <w:sz w:val="24"/>
          <w:szCs w:val="24"/>
        </w:rPr>
        <w:t xml:space="preserve"> thanks to low fixed overheads, careful cost control and a mix of community workshops, digital subscriptions, kitchen memberships, equipment commissions and B2B sustainability events. The business is currently bootstrapped with £1,500 of founder capital to fund initial cookbook printing, pilot workshop delivery and basic marketing, and is seeking approximately </w:t>
      </w:r>
      <w:r>
        <w:rPr>
          <w:rStyle w:val="17"/>
          <w:rFonts w:hint="eastAsia" w:ascii="SimSun" w:hAnsi="SimSun" w:eastAsia="SimSun" w:cs="SimSun"/>
          <w:sz w:val="24"/>
          <w:szCs w:val="24"/>
        </w:rPr>
        <w:t>£50,000 of external capital in 2026</w:t>
      </w:r>
      <w:r>
        <w:rPr>
          <w:rFonts w:hint="eastAsia" w:ascii="SimSun" w:hAnsi="SimSun" w:eastAsia="SimSun" w:cs="SimSun"/>
          <w:sz w:val="24"/>
          <w:szCs w:val="24"/>
        </w:rPr>
        <w:t xml:space="preserve"> to purchase induction equipment, secure hub access, build early team capacity and provide working capital to reach this projected scale by the end of Year 3.image.jpg+3</w:t>
      </w:r>
    </w:p>
    <w:p w14:paraId="483DBA6D">
      <w:pPr>
        <w:pStyle w:val="16"/>
        <w:keepNext w:val="0"/>
        <w:keepLines w:val="0"/>
        <w:widowControl/>
        <w:suppressLineNumbers w:val="0"/>
        <w:spacing w:before="0" w:beforeAutospacing="1" w:after="0" w:afterAutospacing="1"/>
        <w:ind w:left="720" w:right="720"/>
      </w:pPr>
      <w:r>
        <w:rPr>
          <w:rFonts w:hint="eastAsia" w:ascii="SimSun" w:hAnsi="SimSun" w:eastAsia="SimSun" w:cs="SimSun"/>
          <w:sz w:val="24"/>
          <w:szCs w:val="24"/>
        </w:rPr>
        <w:t>At a Glance</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17"/>
          <w:rFonts w:hint="eastAsia" w:ascii="SimSun" w:hAnsi="SimSun" w:eastAsia="SimSun" w:cs="SimSun"/>
          <w:sz w:val="24"/>
          <w:szCs w:val="24"/>
        </w:rPr>
        <w:t>Mission:</w:t>
      </w:r>
      <w:r>
        <w:rPr>
          <w:rFonts w:hint="eastAsia" w:ascii="SimSun" w:hAnsi="SimSun" w:eastAsia="SimSun" w:cs="SimSun"/>
          <w:sz w:val="24"/>
          <w:szCs w:val="24"/>
        </w:rPr>
        <w:t xml:space="preserve"> To make African and Caribbean cooking affordable, green and future</w:t>
      </w:r>
      <w:r>
        <w:rPr>
          <w:rFonts w:hint="eastAsia" w:ascii="SimSun" w:hAnsi="SimSun" w:eastAsia="SimSun" w:cs="SimSun"/>
          <w:sz w:val="24"/>
          <w:szCs w:val="24"/>
        </w:rPr>
        <w:noBreakHyphen/>
      </w:r>
      <w:r>
        <w:rPr>
          <w:rFonts w:hint="eastAsia" w:ascii="SimSun" w:hAnsi="SimSun" w:eastAsia="SimSun" w:cs="SimSun"/>
          <w:sz w:val="24"/>
          <w:szCs w:val="24"/>
        </w:rPr>
        <w:t>proof.paste.txt+1</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17"/>
          <w:rFonts w:hint="eastAsia" w:ascii="SimSun" w:hAnsi="SimSun" w:eastAsia="SimSun" w:cs="SimSun"/>
          <w:sz w:val="24"/>
          <w:szCs w:val="24"/>
        </w:rPr>
        <w:t>Innovation:</w:t>
      </w:r>
      <w:r>
        <w:rPr>
          <w:rFonts w:hint="eastAsia" w:ascii="SimSun" w:hAnsi="SimSun" w:eastAsia="SimSun" w:cs="SimSun"/>
          <w:sz w:val="24"/>
          <w:szCs w:val="24"/>
        </w:rPr>
        <w:t xml:space="preserve"> The UK’s first AI</w:t>
      </w:r>
      <w:r>
        <w:rPr>
          <w:rFonts w:hint="eastAsia" w:ascii="SimSun" w:hAnsi="SimSun" w:eastAsia="SimSun" w:cs="SimSun"/>
          <w:sz w:val="24"/>
          <w:szCs w:val="24"/>
        </w:rPr>
        <w:noBreakHyphen/>
      </w:r>
      <w:r>
        <w:rPr>
          <w:rFonts w:hint="eastAsia" w:ascii="SimSun" w:hAnsi="SimSun" w:eastAsia="SimSun" w:cs="SimSun"/>
          <w:sz w:val="24"/>
          <w:szCs w:val="24"/>
        </w:rPr>
        <w:t>powered carbon</w:t>
      </w:r>
      <w:r>
        <w:rPr>
          <w:rFonts w:hint="eastAsia" w:ascii="SimSun" w:hAnsi="SimSun" w:eastAsia="SimSun" w:cs="SimSun"/>
          <w:sz w:val="24"/>
          <w:szCs w:val="24"/>
        </w:rPr>
        <w:noBreakHyphen/>
      </w:r>
      <w:r>
        <w:rPr>
          <w:rFonts w:hint="eastAsia" w:ascii="SimSun" w:hAnsi="SimSun" w:eastAsia="SimSun" w:cs="SimSun"/>
          <w:sz w:val="24"/>
          <w:szCs w:val="24"/>
        </w:rPr>
        <w:t>tracking Smart Kitchen Hub for African/Caribbean food culture, underpinned by the Smart</w:t>
      </w:r>
      <w:r>
        <w:rPr>
          <w:rFonts w:hint="eastAsia" w:ascii="SimSun" w:hAnsi="SimSun" w:eastAsia="SimSun" w:cs="SimSun"/>
          <w:sz w:val="24"/>
          <w:szCs w:val="24"/>
        </w:rPr>
        <w:noBreakHyphen/>
      </w:r>
      <w:r>
        <w:rPr>
          <w:rFonts w:hint="eastAsia" w:ascii="SimSun" w:hAnsi="SimSun" w:eastAsia="SimSun" w:cs="SimSun"/>
          <w:sz w:val="24"/>
          <w:szCs w:val="24"/>
        </w:rPr>
        <w:t>Prep Methodology™.GreenAfricaHub_BusinessPlan_Updated_Logo.docx+1</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17"/>
          <w:rFonts w:hint="eastAsia" w:ascii="SimSun" w:hAnsi="SimSun" w:eastAsia="SimSun" w:cs="SimSun"/>
          <w:sz w:val="24"/>
          <w:szCs w:val="24"/>
        </w:rPr>
        <w:t>Phased model:</w:t>
      </w:r>
      <w:r>
        <w:rPr>
          <w:rFonts w:hint="eastAsia" w:ascii="SimSun" w:hAnsi="SimSun" w:eastAsia="SimSun" w:cs="SimSun"/>
          <w:sz w:val="24"/>
          <w:szCs w:val="24"/>
        </w:rPr>
        <w:t xml:space="preserve"> 6</w:t>
      </w:r>
      <w:r>
        <w:rPr>
          <w:rFonts w:hint="eastAsia" w:ascii="SimSun" w:hAnsi="SimSun" w:eastAsia="SimSun" w:cs="SimSun"/>
          <w:sz w:val="24"/>
          <w:szCs w:val="24"/>
        </w:rPr>
        <w:noBreakHyphen/>
      </w:r>
      <w:r>
        <w:rPr>
          <w:rFonts w:hint="eastAsia" w:ascii="SimSun" w:hAnsi="SimSun" w:eastAsia="SimSun" w:cs="SimSun"/>
          <w:sz w:val="24"/>
          <w:szCs w:val="24"/>
        </w:rPr>
        <w:t>month Bristol pilot, then regional expansion through Smart Kitchen Hub workshops, cookbook sales, digital subscriptions, kitchen memberships and licensed “Spokes”.paste.txt+1</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17"/>
          <w:rFonts w:hint="eastAsia" w:ascii="SimSun" w:hAnsi="SimSun" w:eastAsia="SimSun" w:cs="SimSun"/>
          <w:sz w:val="24"/>
          <w:szCs w:val="24"/>
        </w:rPr>
        <w:t>Revenue (base case):</w:t>
      </w:r>
      <w:r>
        <w:rPr>
          <w:rFonts w:hint="eastAsia" w:ascii="SimSun" w:hAnsi="SimSun" w:eastAsia="SimSun" w:cs="SimSun"/>
          <w:sz w:val="24"/>
          <w:szCs w:val="24"/>
        </w:rPr>
        <w:t xml:space="preserve"> Year 1 c. </w:t>
      </w:r>
      <w:r>
        <w:rPr>
          <w:rStyle w:val="17"/>
          <w:rFonts w:hint="eastAsia" w:ascii="SimSun" w:hAnsi="SimSun" w:eastAsia="SimSun" w:cs="SimSun"/>
          <w:sz w:val="24"/>
          <w:szCs w:val="24"/>
        </w:rPr>
        <w:t>£11,700</w:t>
      </w:r>
      <w:r>
        <w:rPr>
          <w:rFonts w:hint="eastAsia" w:ascii="SimSun" w:hAnsi="SimSun" w:eastAsia="SimSun" w:cs="SimSun"/>
          <w:sz w:val="24"/>
          <w:szCs w:val="24"/>
        </w:rPr>
        <w:t xml:space="preserve"> → Year 2 c. </w:t>
      </w:r>
      <w:r>
        <w:rPr>
          <w:rStyle w:val="17"/>
          <w:rFonts w:hint="eastAsia" w:ascii="SimSun" w:hAnsi="SimSun" w:eastAsia="SimSun" w:cs="SimSun"/>
          <w:sz w:val="24"/>
          <w:szCs w:val="24"/>
        </w:rPr>
        <w:t>£30,000</w:t>
      </w:r>
      <w:r>
        <w:rPr>
          <w:rFonts w:hint="eastAsia" w:ascii="SimSun" w:hAnsi="SimSun" w:eastAsia="SimSun" w:cs="SimSun"/>
          <w:sz w:val="24"/>
          <w:szCs w:val="24"/>
        </w:rPr>
        <w:t xml:space="preserve"> → Year 3 c. </w:t>
      </w:r>
      <w:r>
        <w:rPr>
          <w:rStyle w:val="17"/>
          <w:rFonts w:hint="eastAsia" w:ascii="SimSun" w:hAnsi="SimSun" w:eastAsia="SimSun" w:cs="SimSun"/>
          <w:sz w:val="24"/>
          <w:szCs w:val="24"/>
        </w:rPr>
        <w:t>£55,000</w:t>
      </w:r>
      <w:r>
        <w:rPr>
          <w:rFonts w:hint="eastAsia" w:ascii="SimSun" w:hAnsi="SimSun" w:eastAsia="SimSun" w:cs="SimSun"/>
          <w:sz w:val="24"/>
          <w:szCs w:val="24"/>
        </w:rPr>
        <w:t xml:space="preserve"> (total c. </w:t>
      </w:r>
      <w:r>
        <w:rPr>
          <w:rStyle w:val="17"/>
          <w:rFonts w:hint="eastAsia" w:ascii="SimSun" w:hAnsi="SimSun" w:eastAsia="SimSun" w:cs="SimSun"/>
          <w:sz w:val="24"/>
          <w:szCs w:val="24"/>
        </w:rPr>
        <w:t>£97,000</w:t>
      </w:r>
      <w:r>
        <w:rPr>
          <w:rFonts w:hint="eastAsia" w:ascii="SimSun" w:hAnsi="SimSun" w:eastAsia="SimSun" w:cs="SimSun"/>
          <w:sz w:val="24"/>
          <w:szCs w:val="24"/>
        </w:rPr>
        <w:t>).image.jpg+1</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17"/>
          <w:rFonts w:hint="eastAsia" w:ascii="SimSun" w:hAnsi="SimSun" w:eastAsia="SimSun" w:cs="SimSun"/>
          <w:sz w:val="24"/>
          <w:szCs w:val="24"/>
        </w:rPr>
        <w:t>Break</w:t>
      </w:r>
      <w:r>
        <w:rPr>
          <w:rStyle w:val="17"/>
          <w:rFonts w:hint="eastAsia" w:ascii="SimSun" w:hAnsi="SimSun" w:eastAsia="SimSun" w:cs="SimSun"/>
          <w:sz w:val="24"/>
          <w:szCs w:val="24"/>
        </w:rPr>
        <w:noBreakHyphen/>
      </w:r>
      <w:r>
        <w:rPr>
          <w:rStyle w:val="17"/>
          <w:rFonts w:hint="eastAsia" w:ascii="SimSun" w:hAnsi="SimSun" w:eastAsia="SimSun" w:cs="SimSun"/>
          <w:sz w:val="24"/>
          <w:szCs w:val="24"/>
        </w:rPr>
        <w:t>even:</w:t>
      </w:r>
      <w:r>
        <w:rPr>
          <w:rFonts w:hint="eastAsia" w:ascii="SimSun" w:hAnsi="SimSun" w:eastAsia="SimSun" w:cs="SimSun"/>
          <w:sz w:val="24"/>
          <w:szCs w:val="24"/>
        </w:rPr>
        <w:t xml:space="preserve"> Financial break</w:t>
      </w:r>
      <w:r>
        <w:rPr>
          <w:rFonts w:hint="eastAsia" w:ascii="SimSun" w:hAnsi="SimSun" w:eastAsia="SimSun" w:cs="SimSun"/>
          <w:sz w:val="24"/>
          <w:szCs w:val="24"/>
        </w:rPr>
        <w:noBreakHyphen/>
      </w:r>
      <w:r>
        <w:rPr>
          <w:rFonts w:hint="eastAsia" w:ascii="SimSun" w:hAnsi="SimSun" w:eastAsia="SimSun" w:cs="SimSun"/>
          <w:sz w:val="24"/>
          <w:szCs w:val="24"/>
        </w:rPr>
        <w:t xml:space="preserve">even around </w:t>
      </w:r>
      <w:r>
        <w:rPr>
          <w:rStyle w:val="17"/>
          <w:rFonts w:hint="eastAsia" w:ascii="SimSun" w:hAnsi="SimSun" w:eastAsia="SimSun" w:cs="SimSun"/>
          <w:sz w:val="24"/>
          <w:szCs w:val="24"/>
        </w:rPr>
        <w:t>Month 5</w:t>
      </w:r>
      <w:r>
        <w:rPr>
          <w:rFonts w:hint="eastAsia" w:ascii="SimSun" w:hAnsi="SimSun" w:eastAsia="SimSun" w:cs="SimSun"/>
          <w:sz w:val="24"/>
          <w:szCs w:val="24"/>
        </w:rPr>
        <w:t xml:space="preserve"> in the base</w:t>
      </w:r>
      <w:r>
        <w:rPr>
          <w:rFonts w:hint="eastAsia" w:ascii="SimSun" w:hAnsi="SimSun" w:eastAsia="SimSun" w:cs="SimSun"/>
          <w:sz w:val="24"/>
          <w:szCs w:val="24"/>
        </w:rPr>
        <w:noBreakHyphen/>
      </w:r>
      <w:r>
        <w:rPr>
          <w:rFonts w:hint="eastAsia" w:ascii="SimSun" w:hAnsi="SimSun" w:eastAsia="SimSun" w:cs="SimSun"/>
          <w:sz w:val="24"/>
          <w:szCs w:val="24"/>
        </w:rPr>
        <w:t>case model.image.jpg+1</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17"/>
          <w:rFonts w:hint="eastAsia" w:ascii="SimSun" w:hAnsi="SimSun" w:eastAsia="SimSun" w:cs="SimSun"/>
          <w:sz w:val="24"/>
          <w:szCs w:val="24"/>
        </w:rPr>
        <w:t>Funding:</w:t>
      </w:r>
      <w:r>
        <w:rPr>
          <w:rFonts w:hint="eastAsia" w:ascii="SimSun" w:hAnsi="SimSun" w:eastAsia="SimSun" w:cs="SimSun"/>
          <w:sz w:val="24"/>
          <w:szCs w:val="24"/>
        </w:rPr>
        <w:t xml:space="preserve"> Bootstrapped with £1,500 founder capital; seeking c. </w:t>
      </w:r>
      <w:r>
        <w:rPr>
          <w:rStyle w:val="17"/>
          <w:rFonts w:hint="eastAsia" w:ascii="SimSun" w:hAnsi="SimSun" w:eastAsia="SimSun" w:cs="SimSun"/>
          <w:sz w:val="24"/>
          <w:szCs w:val="24"/>
        </w:rPr>
        <w:t>£50,000 in 2026</w:t>
      </w:r>
      <w:r>
        <w:rPr>
          <w:rFonts w:hint="eastAsia" w:ascii="SimSun" w:hAnsi="SimSun" w:eastAsia="SimSun" w:cs="SimSun"/>
          <w:sz w:val="24"/>
          <w:szCs w:val="24"/>
        </w:rPr>
        <w:t xml:space="preserve"> (grants, investment or blended) to fund equipment, hub access, early staff and working capital.20260326-Grace-Omotuase-121-Record-of-Support.pdf+2</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17"/>
          <w:rFonts w:hint="eastAsia" w:ascii="SimSun" w:hAnsi="SimSun" w:eastAsia="SimSun" w:cs="SimSun"/>
          <w:sz w:val="24"/>
          <w:szCs w:val="24"/>
        </w:rPr>
        <w:t>Partners (current and target):</w:t>
      </w:r>
      <w:r>
        <w:rPr>
          <w:rFonts w:hint="eastAsia" w:ascii="SimSun" w:hAnsi="SimSun" w:eastAsia="SimSun" w:cs="SimSun"/>
          <w:sz w:val="24"/>
          <w:szCs w:val="24"/>
        </w:rPr>
        <w:t xml:space="preserve"> Future Leap (WECA</w:t>
      </w:r>
      <w:r>
        <w:rPr>
          <w:rFonts w:hint="eastAsia" w:ascii="SimSun" w:hAnsi="SimSun" w:eastAsia="SimSun" w:cs="SimSun"/>
          <w:sz w:val="24"/>
          <w:szCs w:val="24"/>
        </w:rPr>
        <w:noBreakHyphen/>
      </w:r>
      <w:r>
        <w:rPr>
          <w:rFonts w:hint="eastAsia" w:ascii="SimSun" w:hAnsi="SimSun" w:eastAsia="SimSun" w:cs="SimSun"/>
          <w:sz w:val="24"/>
          <w:szCs w:val="24"/>
        </w:rPr>
        <w:t>funded) as a sustainability and facilities partner, plus community</w:t>
      </w:r>
      <w:r>
        <w:rPr>
          <w:rFonts w:hint="eastAsia" w:ascii="SimSun" w:hAnsi="SimSun" w:eastAsia="SimSun" w:cs="SimSun"/>
          <w:sz w:val="24"/>
          <w:szCs w:val="24"/>
        </w:rPr>
        <w:noBreakHyphen/>
      </w:r>
      <w:r>
        <w:rPr>
          <w:rFonts w:hint="eastAsia" w:ascii="SimSun" w:hAnsi="SimSun" w:eastAsia="SimSun" w:cs="SimSun"/>
          <w:sz w:val="24"/>
          <w:szCs w:val="24"/>
        </w:rPr>
        <w:t>kitchen and network partners such as Coexist Community Kitchen, Produce West, Black South West Network, Bristol Food Network and FoodWorks SW.</w:t>
      </w:r>
    </w:p>
    <w:p w14:paraId="79313839">
      <w:pPr>
        <w:pStyle w:val="16"/>
        <w:keepNext w:val="0"/>
        <w:keepLines w:val="0"/>
        <w:widowControl/>
        <w:suppressLineNumbers w:val="0"/>
        <w:spacing w:before="0" w:beforeAutospacing="1" w:after="0" w:afterAutospacing="1"/>
        <w:ind w:left="0" w:right="0"/>
      </w:pPr>
    </w:p>
    <w:p w14:paraId="05E79360">
      <w:pPr>
        <w:numPr>
          <w:numId w:val="0"/>
        </w:numPr>
        <w:rPr>
          <w:rFonts w:hint="default"/>
        </w:rPr>
      </w:pPr>
    </w:p>
    <w:p w14:paraId="3823CE29">
      <w:pPr>
        <w:numPr>
          <w:numId w:val="0"/>
        </w:numPr>
        <w:rPr>
          <w:rFonts w:hint="default"/>
        </w:rPr>
      </w:pPr>
    </w:p>
    <w:p w14:paraId="2FDCB66D">
      <w:pPr>
        <w:pStyle w:val="2"/>
        <w:numPr>
          <w:ilvl w:val="0"/>
          <w:numId w:val="1"/>
        </w:numPr>
        <w:spacing w:before="360" w:after="180"/>
        <w:ind w:left="0" w:leftChars="0" w:firstLine="0" w:firstLineChars="0"/>
        <w:rPr>
          <w:rFonts w:ascii="Calibri" w:hAnsi="Calibri" w:eastAsia="Calibri" w:cs="Calibri"/>
          <w:b/>
          <w:bCs/>
          <w:color w:val="1A5C38"/>
          <w:sz w:val="32"/>
          <w:szCs w:val="32"/>
        </w:rPr>
      </w:pPr>
      <w:r>
        <w:rPr>
          <w:rFonts w:ascii="Calibri" w:hAnsi="Calibri" w:eastAsia="Calibri" w:cs="Calibri"/>
          <w:b/>
          <w:bCs/>
          <w:color w:val="1A5C38"/>
          <w:sz w:val="32"/>
          <w:szCs w:val="32"/>
        </w:rPr>
        <w:t>The Founder — Grace's Story</w:t>
      </w:r>
    </w:p>
    <w:p w14:paraId="69D07221">
      <w:pPr>
        <w:numPr>
          <w:numId w:val="0"/>
        </w:numPr>
        <w:ind w:leftChars="0"/>
      </w:pPr>
    </w:p>
    <w:p w14:paraId="46EB2E46">
      <w:pPr>
        <w:numPr>
          <w:numId w:val="0"/>
        </w:numPr>
        <w:ind w:leftChars="0"/>
        <w:rPr>
          <w:rFonts w:hint="default"/>
        </w:rPr>
      </w:pPr>
    </w:p>
    <w:p w14:paraId="1EBB3F68">
      <w:pPr>
        <w:numPr>
          <w:numId w:val="0"/>
        </w:numPr>
        <w:ind w:leftChars="0"/>
        <w:rPr>
          <w:rFonts w:hint="default"/>
        </w:rPr>
      </w:pPr>
    </w:p>
    <w:p w14:paraId="66C41323">
      <w:pPr>
        <w:numPr>
          <w:numId w:val="0"/>
        </w:numPr>
        <w:ind w:leftChars="0"/>
        <w:rPr>
          <w:rFonts w:hint="default"/>
        </w:rPr>
      </w:pPr>
      <w:r>
        <w:rPr>
          <w:rFonts w:hint="default"/>
        </w:rPr>
        <w:t>Grace Omotuase is not a typical startup founder. She came to this business through a lifetime of experience — financial leadership at scale, technical expertise in data science and AI, professional cookery training, and a deep personal connection to African and Caribbean food culture.</w:t>
      </w:r>
    </w:p>
    <w:p w14:paraId="6EE624AC">
      <w:pPr>
        <w:numPr>
          <w:numId w:val="0"/>
        </w:numPr>
        <w:ind w:leftChars="0"/>
        <w:rPr>
          <w:rFonts w:hint="default"/>
        </w:rPr>
      </w:pPr>
    </w:p>
    <w:p w14:paraId="2E956560">
      <w:pPr>
        <w:numPr>
          <w:numId w:val="0"/>
        </w:numPr>
        <w:ind w:leftChars="0"/>
        <w:rPr>
          <w:rFonts w:hint="default"/>
        </w:rPr>
      </w:pPr>
      <w:r>
        <w:rPr>
          <w:rFonts w:hint="default"/>
        </w:rPr>
        <w:t>Born in Nigeria, Grace spent 12 years at the Central Bank of Nigeria managing teams of over 30 staff and overseeing financial programmes exceeding £300 million. She later pursued advanced qualifications in the UK — an MSc in Financial Technology at the University of Bradford, a Data Science Certificate at the University of Texas at Austin, a Professional Cookery qualification at Bradford College, Chartered Manager status through the Chartered Management Institute, CIMA Management Level, IBM AI Fundamentals and CMI Level 5 Leadership &amp; Management.</w:t>
      </w:r>
    </w:p>
    <w:p w14:paraId="0E089B27">
      <w:pPr>
        <w:numPr>
          <w:numId w:val="0"/>
        </w:numPr>
        <w:ind w:leftChars="0"/>
        <w:rPr>
          <w:rFonts w:hint="default"/>
        </w:rPr>
      </w:pPr>
    </w:p>
    <w:p w14:paraId="1E6445B7">
      <w:pPr>
        <w:numPr>
          <w:numId w:val="0"/>
        </w:numPr>
        <w:ind w:leftChars="0"/>
        <w:rPr>
          <w:rFonts w:hint="default"/>
        </w:rPr>
      </w:pPr>
      <w:r>
        <w:rPr>
          <w:rFonts w:hint="default"/>
        </w:rPr>
        <w:t>Her path to Green Africa Hub began not in a boardroom or a lecture hall, but in her own kitchen.</w:t>
      </w:r>
      <w:r>
        <w:rPr>
          <w:rFonts w:hint="default"/>
          <w:lang w:val="en-GB"/>
        </w:rPr>
        <w:t xml:space="preserve"> </w:t>
      </w:r>
      <w:r>
        <w:rPr>
          <w:rFonts w:hint="default"/>
        </w:rPr>
        <w:t>Grace spent 18 months before incorporation developing and testing the Smart‑Prep Methodology™ — personally adapting 11 traditional recipes for energy‑efficient induction cooking, building and validating the carbon‑accounting framework against DEFRA‑aligned emissions factors, and developing the AI carbon‑tracking dashboard prototype in Python and Power BI. She completed the WECA Sustainability in Business Bootcamp at Future Leap in March 2026, which provided institutional validation, community connections and direct advisor feedback that has been incorporated into this version of the business plan.</w:t>
      </w:r>
    </w:p>
    <w:p w14:paraId="452B43A2">
      <w:pPr>
        <w:numPr>
          <w:numId w:val="0"/>
        </w:numPr>
        <w:ind w:leftChars="0"/>
        <w:rPr>
          <w:rFonts w:hint="default"/>
        </w:rPr>
      </w:pPr>
    </w:p>
    <w:p w14:paraId="3D0E2491">
      <w:pPr>
        <w:numPr>
          <w:numId w:val="0"/>
        </w:numPr>
        <w:ind w:leftChars="0"/>
      </w:pPr>
      <w:r>
        <w:rPr>
          <w:rFonts w:hint="default"/>
        </w:rPr>
        <w:t>Her immediate focus for 2026–2027 is to deliver a six‑month Smart Kitchen Hub pilot in Bristol — combining paid Smart‑Prep workshops, the launch of the From Root to Table cookbook and early masterclasses for Afro‑Caribbean food businesses — and to use the results to secure long‑term venue partnerships, grant funding, approximately £50,000 of external capital and regional expansion. As a Chartered Manager and former senior finance leader, she brings disciplined planning and risk management, including a detailed 36‑month financial model and a clear break‑even path; as a professional cook with lived experience in African food culture, she brings the credibility and empathy needed to help households, micro‑caterers and supply‑chain businesses navigate the transition to induction, lower‑carbon menus and emerging net‑zero expectations in a way that feels achievable rather than threatening.</w:t>
      </w:r>
    </w:p>
    <w:p w14:paraId="50057FA9">
      <w:pPr>
        <w:spacing w:before="8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423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8E6C9" w:sz="0" w:space="0"/>
              <w:left w:val="single" w:color="1A5C38" w:sz="12" w:space="0"/>
              <w:bottom w:val="single" w:color="C8E6C9" w:sz="0" w:space="0"/>
              <w:right w:val="single" w:color="C8E6C9" w:sz="0" w:space="0"/>
            </w:tcBorders>
            <w:shd w:val="clear" w:color="auto" w:fill="E8F5E9"/>
            <w:tcMar>
              <w:top w:w="200" w:type="dxa"/>
              <w:left w:w="300" w:type="dxa"/>
              <w:bottom w:w="200" w:type="dxa"/>
              <w:right w:w="300" w:type="dxa"/>
            </w:tcMar>
          </w:tcPr>
          <w:p w14:paraId="2306CC25">
            <w:pPr>
              <w:spacing w:before="0" w:after="120"/>
            </w:pPr>
            <w:r>
              <w:rPr>
                <w:rFonts w:ascii="Calibri" w:hAnsi="Calibri" w:eastAsia="Calibri" w:cs="Calibri"/>
                <w:i/>
                <w:iCs/>
                <w:color w:val="1A1A1A"/>
                <w:sz w:val="22"/>
                <w:szCs w:val="22"/>
              </w:rPr>
              <w:t>"My lightbulb moment came from a simple observation: the conflict between tradition and the cost of living. I saw talented home cooks and micro-caterers — women I knew, families I respected — struggling with massive gas bills and the rising cost of imported staples. I watched the green technology conversation happen entirely around and above them, as if their kitchens didn't matter.</w:t>
            </w:r>
          </w:p>
          <w:p w14:paraId="06BDB6F5">
            <w:pPr>
              <w:spacing w:before="0" w:after="120"/>
            </w:pPr>
            <w:r>
              <w:rPr>
                <w:rFonts w:ascii="Calibri" w:hAnsi="Calibri" w:eastAsia="Calibri" w:cs="Calibri"/>
                <w:i/>
                <w:iCs/>
                <w:color w:val="1A1A1A"/>
                <w:sz w:val="22"/>
                <w:szCs w:val="22"/>
              </w:rPr>
              <w:t>I realised that if we didn't find a way to make our cultural cooking green, it would eventually become too expensive to survive. Our children would grow up without the flavours that connect them to home. And our community would be left behind — again — in a transition that affects all of us.</w:t>
            </w:r>
          </w:p>
          <w:p w14:paraId="0885FEFB">
            <w:pPr>
              <w:spacing w:before="0" w:after="120"/>
            </w:pPr>
            <w:r>
              <w:rPr>
                <w:rFonts w:ascii="Calibri" w:hAnsi="Calibri" w:eastAsia="Calibri" w:cs="Calibri"/>
                <w:i/>
                <w:iCs/>
                <w:color w:val="1A1A1A"/>
                <w:sz w:val="22"/>
                <w:szCs w:val="22"/>
              </w:rPr>
              <w:t>Green Africa Hub is my answer to that. It is built from lived experience, professional expertise, and a conviction that our heritage and our future are not in conflict. They are the same journey."</w:t>
            </w:r>
          </w:p>
          <w:p w14:paraId="3E0272C2">
            <w:pPr>
              <w:spacing w:before="80" w:after="0"/>
              <w:jc w:val="right"/>
            </w:pPr>
            <w:r>
              <w:rPr>
                <w:rFonts w:ascii="Calibri" w:hAnsi="Calibri" w:eastAsia="Calibri" w:cs="Calibri"/>
                <w:b/>
                <w:bCs/>
                <w:color w:val="1A5C38"/>
                <w:sz w:val="22"/>
                <w:szCs w:val="22"/>
              </w:rPr>
              <w:t>— Grace Omotuase, Founder &amp; CEO</w:t>
            </w:r>
          </w:p>
        </w:tc>
      </w:tr>
    </w:tbl>
    <w:p w14:paraId="2CFB7BC1">
      <w:pPr>
        <w:spacing w:before="80" w:after="0"/>
      </w:pPr>
    </w:p>
    <w:p w14:paraId="6A8C5149">
      <w:r>
        <w:br w:type="page"/>
      </w:r>
    </w:p>
    <w:p w14:paraId="5A6AD225">
      <w:pPr>
        <w:pStyle w:val="2"/>
        <w:spacing w:before="360" w:after="180"/>
      </w:pPr>
      <w:r>
        <w:rPr>
          <w:rFonts w:ascii="Calibri" w:hAnsi="Calibri" w:eastAsia="Calibri" w:cs="Calibri"/>
          <w:b/>
          <w:bCs/>
          <w:color w:val="1A5C38"/>
          <w:sz w:val="32"/>
          <w:szCs w:val="32"/>
        </w:rPr>
        <w:t>3. The Problem</w:t>
      </w:r>
    </w:p>
    <w:p w14:paraId="08D41FC0">
      <w:pPr>
        <w:spacing w:before="80" w:after="80"/>
        <w:jc w:val="both"/>
      </w:pPr>
      <w:r>
        <w:rPr>
          <w:rFonts w:ascii="Calibri" w:hAnsi="Calibri" w:eastAsia="Calibri" w:cs="Calibri"/>
          <w:color w:val="1A1A1A"/>
          <w:sz w:val="22"/>
          <w:szCs w:val="22"/>
        </w:rPr>
        <w:t>African and Caribbean households and micro-food businesses in the UK face four interconnected challenges:</w:t>
      </w:r>
    </w:p>
    <w:p w14:paraId="2195913E">
      <w:pPr>
        <w:pStyle w:val="3"/>
        <w:spacing w:before="240" w:after="120"/>
      </w:pPr>
      <w:r>
        <w:rPr>
          <w:rFonts w:ascii="Calibri" w:hAnsi="Calibri" w:eastAsia="Calibri" w:cs="Calibri"/>
          <w:b/>
          <w:bCs/>
          <w:color w:val="1A5C38"/>
          <w:sz w:val="24"/>
          <w:szCs w:val="24"/>
        </w:rPr>
        <w:t>3.1 Rising Energy Costs</w:t>
      </w:r>
    </w:p>
    <w:p w14:paraId="123F71D2">
      <w:pPr>
        <w:spacing w:before="80" w:after="80"/>
        <w:jc w:val="both"/>
        <w:rPr>
          <w:rFonts w:hint="default" w:cs="Calibri"/>
          <w:color w:val="1A1A1A"/>
          <w:sz w:val="22"/>
          <w:szCs w:val="22"/>
          <w:lang w:val="en-GB"/>
        </w:rPr>
      </w:pPr>
      <w:r>
        <w:rPr>
          <w:rFonts w:ascii="Calibri" w:hAnsi="Calibri" w:eastAsia="Calibri" w:cs="Calibri"/>
          <w:color w:val="1A1A1A"/>
          <w:sz w:val="22"/>
          <w:szCs w:val="22"/>
        </w:rPr>
        <w:t>Traditional African and Caribbean cooking relies on gas for extended high-heat methods — long-simmering stews, deep frying, steaming over high heat. With UK gas prices rising over 40% since 2021, small caterers and households face unmanageable costs. Average energy bills for African and Caribbean households run £2,400–£3,200 annually, approximately 40% above the national average. Fuel poverty rates in Black African and Black Caribbean communities run at 25–30%, compared to the 13% national average (ONS, 2021 Census data).</w:t>
      </w:r>
      <w:r>
        <w:rPr>
          <w:rFonts w:hint="default" w:cs="Calibri"/>
          <w:color w:val="1A1A1A"/>
          <w:sz w:val="22"/>
          <w:szCs w:val="22"/>
          <w:lang w:val="en-GB"/>
        </w:rPr>
        <w:t xml:space="preserve"> These pressures are felt acutely by African and Caribbean households and micro‑businesses using long‑simmering, gas‑intensive cooking methods, who often have limited access to tailored advice on energy‑efficient equipment such as induction.</w:t>
      </w:r>
    </w:p>
    <w:p w14:paraId="1BE6D05E">
      <w:pPr>
        <w:spacing w:before="80" w:after="80"/>
        <w:jc w:val="both"/>
        <w:rPr>
          <w:rFonts w:hint="default"/>
          <w:lang w:val="en-GB"/>
        </w:rPr>
      </w:pPr>
    </w:p>
    <w:p w14:paraId="684218F1">
      <w:pPr>
        <w:pStyle w:val="3"/>
        <w:spacing w:before="240" w:after="120"/>
        <w:rPr>
          <w:rFonts w:ascii="Calibri" w:hAnsi="Calibri" w:eastAsia="Calibri" w:cs="Calibri"/>
          <w:b/>
          <w:bCs/>
          <w:color w:val="1A5C38"/>
          <w:sz w:val="24"/>
          <w:szCs w:val="24"/>
        </w:rPr>
      </w:pPr>
      <w:r>
        <w:rPr>
          <w:rFonts w:ascii="Calibri" w:hAnsi="Calibri" w:eastAsia="Calibri" w:cs="Calibri"/>
          <w:b/>
          <w:bCs/>
          <w:color w:val="1A5C38"/>
          <w:sz w:val="24"/>
          <w:szCs w:val="24"/>
        </w:rPr>
        <w:t>3.2 High Carbon Footprint</w:t>
      </w:r>
    </w:p>
    <w:p w14:paraId="4E332971">
      <w:pPr>
        <w:rPr>
          <w:rFonts w:hint="default"/>
          <w:lang w:val="en-GB"/>
        </w:rPr>
      </w:pPr>
      <w:r>
        <w:rPr>
          <w:rFonts w:hint="default"/>
        </w:rPr>
        <w:t>Gas cooking produces significant Scope 1 emissions directly in the home or kitchen. Imported ingredients</w:t>
      </w:r>
      <w:r>
        <w:rPr>
          <w:rFonts w:hint="default"/>
          <w:lang w:val="en-GB"/>
        </w:rPr>
        <w:t xml:space="preserve">, </w:t>
      </w:r>
      <w:r>
        <w:rPr>
          <w:rFonts w:hint="default"/>
        </w:rPr>
        <w:t>including plantain, yams, scotch bonnets and certain speciality products</w:t>
      </w:r>
      <w:r>
        <w:rPr>
          <w:rFonts w:hint="default"/>
          <w:lang w:val="en-GB"/>
        </w:rPr>
        <w:t xml:space="preserve">, </w:t>
      </w:r>
      <w:r>
        <w:rPr>
          <w:rFonts w:hint="default"/>
        </w:rPr>
        <w:t>create additional Scope 3 supply‑chain emissions, which are often invisible to small traders. Many Afro‑Caribbean suppliers still depend on air</w:t>
      </w:r>
      <w:r>
        <w:rPr>
          <w:rFonts w:hint="default"/>
          <w:lang w:val="en-GB"/>
        </w:rPr>
        <w:t>-</w:t>
      </w:r>
      <w:r>
        <w:rPr>
          <w:rFonts w:hint="default"/>
        </w:rPr>
        <w:t>freighted goods where slower, lower</w:t>
      </w:r>
      <w:r>
        <w:rPr>
          <w:rFonts w:hint="default"/>
          <w:lang w:val="en-GB"/>
        </w:rPr>
        <w:t>-</w:t>
      </w:r>
      <w:r>
        <w:rPr>
          <w:rFonts w:hint="default"/>
        </w:rPr>
        <w:t>carbon options might be available, simply because they have never been supported to analyse these trade</w:t>
      </w:r>
      <w:r>
        <w:rPr>
          <w:rFonts w:hint="default"/>
          <w:lang w:val="en-GB"/>
        </w:rPr>
        <w:t>-</w:t>
      </w:r>
      <w:r>
        <w:rPr>
          <w:rFonts w:hint="default"/>
        </w:rPr>
        <w:t>offs. Very few African and Caribbean micro‑food businesses have any form of carbon</w:t>
      </w:r>
      <w:r>
        <w:rPr>
          <w:rFonts w:hint="default"/>
          <w:lang w:val="en-GB"/>
        </w:rPr>
        <w:t>-</w:t>
      </w:r>
      <w:r>
        <w:rPr>
          <w:rFonts w:hint="default"/>
        </w:rPr>
        <w:t>footprint data, leaving them exposed as larger customers start to demand evidence in response to UK Net Zero and reporting expectations.</w:t>
      </w:r>
      <w:r>
        <w:rPr>
          <w:rFonts w:hint="default"/>
          <w:lang w:val="en-GB"/>
        </w:rPr>
        <w:t xml:space="preserve"> </w:t>
      </w:r>
    </w:p>
    <w:p w14:paraId="25826123"/>
    <w:p w14:paraId="726A6389">
      <w:pPr>
        <w:pStyle w:val="3"/>
        <w:spacing w:before="240" w:after="120"/>
      </w:pPr>
      <w:r>
        <w:rPr>
          <w:rFonts w:ascii="Calibri" w:hAnsi="Calibri" w:eastAsia="Calibri" w:cs="Calibri"/>
          <w:b/>
          <w:bCs/>
          <w:color w:val="1A5C38"/>
          <w:sz w:val="24"/>
          <w:szCs w:val="24"/>
        </w:rPr>
        <w:t>3.3 Exclusion from Green Technology</w:t>
      </w:r>
    </w:p>
    <w:p w14:paraId="125524AB">
      <w:pPr>
        <w:spacing w:before="80" w:after="80"/>
        <w:jc w:val="both"/>
        <w:rPr>
          <w:rFonts w:ascii="Calibri" w:hAnsi="Calibri" w:eastAsia="Calibri" w:cs="Calibri"/>
          <w:color w:val="1A1A1A"/>
          <w:sz w:val="22"/>
          <w:szCs w:val="22"/>
        </w:rPr>
      </w:pPr>
      <w:r>
        <w:rPr>
          <w:rFonts w:ascii="Calibri" w:hAnsi="Calibri" w:eastAsia="Calibri" w:cs="Calibri"/>
          <w:color w:val="1A1A1A"/>
          <w:sz w:val="22"/>
          <w:szCs w:val="22"/>
        </w:rPr>
        <w:t>Based on community engagement during the WECA Sustainability in Business Bootcamp (March 2026) and direct conversations with Bristol's African and Caribbean food community, Green Africa Hub's founder observed that the overwhelming majority of small African and Caribbean community caterers have not accessed green kitchen technology. The barriers are consistent: high upfront costs of quality induction equipment (£600–£1,500), no community-specific guidance or demonstration, and a widespread perception</w:t>
      </w:r>
      <w:r>
        <w:rPr>
          <w:rFonts w:hint="default" w:cs="Calibri"/>
          <w:color w:val="1A1A1A"/>
          <w:sz w:val="22"/>
          <w:szCs w:val="22"/>
          <w:lang w:val="en-GB"/>
        </w:rPr>
        <w:t xml:space="preserve"> </w:t>
      </w:r>
      <w:r>
        <w:rPr>
          <w:rFonts w:ascii="Calibri" w:hAnsi="Calibri" w:eastAsia="Calibri" w:cs="Calibri"/>
          <w:color w:val="1A1A1A"/>
          <w:sz w:val="22"/>
          <w:szCs w:val="22"/>
        </w:rPr>
        <w:t>understandable given the lack of evidence to the contrary that induction technology cannot replicate the results of traditional gas cooking.</w:t>
      </w:r>
    </w:p>
    <w:p w14:paraId="6A1422D1">
      <w:pPr>
        <w:spacing w:before="80" w:after="80"/>
        <w:jc w:val="both"/>
        <w:rPr>
          <w:rFonts w:ascii="Calibri" w:hAnsi="Calibri" w:eastAsia="Calibri" w:cs="Calibri"/>
          <w:color w:val="1A1A1A"/>
          <w:sz w:val="22"/>
          <w:szCs w:val="22"/>
        </w:rPr>
      </w:pPr>
      <w:r>
        <w:rPr>
          <w:rFonts w:hint="default" w:ascii="Calibri" w:hAnsi="Calibri" w:eastAsia="Calibri" w:cs="Calibri"/>
          <w:color w:val="1A1A1A"/>
          <w:sz w:val="22"/>
          <w:szCs w:val="22"/>
        </w:rPr>
        <w:t>At the same time, the UK’s legal commitment to reach net</w:t>
      </w:r>
      <w:r>
        <w:rPr>
          <w:rFonts w:hint="default" w:cs="Calibri"/>
          <w:color w:val="1A1A1A"/>
          <w:sz w:val="22"/>
          <w:szCs w:val="22"/>
          <w:lang w:val="en-GB"/>
        </w:rPr>
        <w:t>-</w:t>
      </w:r>
      <w:r>
        <w:rPr>
          <w:rFonts w:hint="default" w:ascii="Calibri" w:hAnsi="Calibri" w:eastAsia="Calibri" w:cs="Calibri"/>
          <w:color w:val="1A1A1A"/>
          <w:sz w:val="22"/>
          <w:szCs w:val="22"/>
        </w:rPr>
        <w:t>zero emissions by 2050, and Bristol’s 2030 carbon‑neutral ambition, mean that expectations on the food system from households to suppliers  will only increase, yet the communities most affected by fuel poverty have had the least access to practical, culturally‑relevant support.</w:t>
      </w:r>
    </w:p>
    <w:p w14:paraId="2B247130">
      <w:pPr>
        <w:spacing w:before="80" w:after="80"/>
        <w:jc w:val="both"/>
        <w:rPr>
          <w:rFonts w:ascii="Calibri" w:hAnsi="Calibri" w:eastAsia="Calibri" w:cs="Calibri"/>
          <w:color w:val="1A1A1A"/>
          <w:sz w:val="22"/>
          <w:szCs w:val="22"/>
        </w:rPr>
      </w:pPr>
    </w:p>
    <w:p w14:paraId="6440F882">
      <w:pPr>
        <w:spacing w:before="80" w:after="80"/>
        <w:jc w:val="both"/>
      </w:pPr>
      <w:r>
        <w:rPr>
          <w:rFonts w:ascii="Calibri" w:hAnsi="Calibri" w:eastAsia="Calibri" w:cs="Calibri"/>
          <w:b/>
          <w:bCs/>
          <w:i/>
          <w:iCs/>
          <w:color w:val="555555"/>
          <w:sz w:val="22"/>
          <w:szCs w:val="22"/>
        </w:rPr>
        <w:t xml:space="preserve">Note: </w:t>
      </w:r>
      <w:r>
        <w:rPr>
          <w:rFonts w:ascii="Calibri" w:hAnsi="Calibri" w:eastAsia="Calibri" w:cs="Calibri"/>
          <w:i/>
          <w:iCs/>
          <w:color w:val="555555"/>
          <w:sz w:val="22"/>
          <w:szCs w:val="22"/>
        </w:rPr>
        <w:t>This observation is based on Grace Omotuase's direct community engagement and the WECA Bootcamp research process. Formal market research will be conducted during the pilot phase (April–</w:t>
      </w:r>
      <w:r>
        <w:rPr>
          <w:rFonts w:hint="default" w:cs="Calibri"/>
          <w:i/>
          <w:iCs/>
          <w:color w:val="555555"/>
          <w:sz w:val="22"/>
          <w:szCs w:val="22"/>
          <w:lang w:val="en-GB"/>
        </w:rPr>
        <w:t>September</w:t>
      </w:r>
      <w:r>
        <w:rPr>
          <w:rFonts w:ascii="Calibri" w:hAnsi="Calibri" w:eastAsia="Calibri" w:cs="Calibri"/>
          <w:i/>
          <w:iCs/>
          <w:color w:val="555555"/>
          <w:sz w:val="22"/>
          <w:szCs w:val="22"/>
        </w:rPr>
        <w:t xml:space="preserve"> 2026) to generate quantified data.</w:t>
      </w:r>
    </w:p>
    <w:p w14:paraId="5AC0366C">
      <w:pPr>
        <w:pStyle w:val="3"/>
        <w:spacing w:before="240" w:after="120"/>
        <w:rPr>
          <w:rFonts w:hint="default"/>
          <w:lang w:val="en-GB"/>
        </w:rPr>
      </w:pPr>
      <w:r>
        <w:rPr>
          <w:rFonts w:ascii="Calibri" w:hAnsi="Calibri" w:eastAsia="Calibri" w:cs="Calibri"/>
          <w:b/>
          <w:bCs/>
          <w:color w:val="1A5C38"/>
          <w:sz w:val="24"/>
          <w:szCs w:val="24"/>
        </w:rPr>
        <w:t>3.4 The Cultural Dimension</w:t>
      </w:r>
      <w:r>
        <w:rPr>
          <w:rFonts w:hint="default" w:cs="Calibri"/>
          <w:b/>
          <w:bCs/>
          <w:color w:val="1A5C38"/>
          <w:sz w:val="24"/>
          <w:szCs w:val="24"/>
          <w:lang w:val="en-GB"/>
        </w:rPr>
        <w:t xml:space="preserve"> “risk of being left behind”</w:t>
      </w:r>
    </w:p>
    <w:p w14:paraId="102C9FE1">
      <w:pPr>
        <w:spacing w:before="80" w:after="80"/>
        <w:jc w:val="both"/>
        <w:rPr>
          <w:rFonts w:ascii="Calibri" w:hAnsi="Calibri" w:eastAsia="Calibri" w:cs="Calibri"/>
          <w:color w:val="1A1A1A"/>
          <w:sz w:val="22"/>
          <w:szCs w:val="22"/>
        </w:rPr>
      </w:pPr>
      <w:r>
        <w:rPr>
          <w:rFonts w:ascii="Calibri" w:hAnsi="Calibri" w:eastAsia="Calibri" w:cs="Calibri"/>
          <w:color w:val="1A1A1A"/>
          <w:sz w:val="22"/>
          <w:szCs w:val="22"/>
        </w:rPr>
        <w:t>Many African and Caribbean cooks believe — often correctly, based on their experience of poorly adapted equipment — that induction cooking cannot replicate traditional methods. This perception, combined with high costs and a lack of trusted guidance from within the community, perpetuates gas dependency despite its economic and environmental costs. Green Africa Hub addresses this not through generic sustainability messaging, but through culturally credible demonstration: Grace cooks the food herself, in the community, with the technology.</w:t>
      </w:r>
    </w:p>
    <w:p w14:paraId="77035BF2">
      <w:pPr>
        <w:spacing w:before="80" w:after="80"/>
        <w:jc w:val="both"/>
        <w:rPr>
          <w:rFonts w:ascii="Calibri" w:hAnsi="Calibri" w:eastAsia="Calibri" w:cs="Calibri"/>
          <w:color w:val="1A1A1A"/>
          <w:sz w:val="22"/>
          <w:szCs w:val="22"/>
        </w:rPr>
      </w:pPr>
    </w:p>
    <w:p w14:paraId="3EF37A14">
      <w:pPr>
        <w:spacing w:before="80" w:after="80"/>
        <w:jc w:val="both"/>
        <w:rPr>
          <w:rFonts w:ascii="Calibri" w:hAnsi="Calibri" w:eastAsia="Calibri" w:cs="Calibri"/>
          <w:color w:val="1A1A1A"/>
          <w:sz w:val="22"/>
          <w:szCs w:val="22"/>
        </w:rPr>
      </w:pPr>
      <w:r>
        <w:rPr>
          <w:rFonts w:hint="default" w:ascii="Calibri" w:hAnsi="Calibri" w:eastAsia="Calibri" w:cs="Calibri"/>
          <w:color w:val="1A1A1A"/>
          <w:sz w:val="22"/>
          <w:szCs w:val="22"/>
        </w:rPr>
        <w:t>Without targeted support, there is a real risk that Afro‑Caribbean food businesses will be doubly disadvantaged: paying more for energy and high‑carbon supply chains today, and losing future opportunities as larger buyers prioritise suppliers who can show credible progress on sustainability, Net Zero alignment and honest carbon stories.</w:t>
      </w:r>
    </w:p>
    <w:p w14:paraId="51EA4A76">
      <w:pPr>
        <w:spacing w:before="80" w:after="80"/>
        <w:jc w:val="both"/>
        <w:rPr>
          <w:rFonts w:ascii="Calibri" w:hAnsi="Calibri" w:eastAsia="Calibri" w:cs="Calibri"/>
          <w:color w:val="1A1A1A"/>
          <w:sz w:val="22"/>
          <w:szCs w:val="22"/>
        </w:rPr>
      </w:pPr>
    </w:p>
    <w:p w14:paraId="3DB595B8">
      <w:r>
        <w:br w:type="page"/>
      </w:r>
    </w:p>
    <w:p w14:paraId="0F2812EE">
      <w:pPr>
        <w:pStyle w:val="2"/>
        <w:spacing w:before="360" w:after="180"/>
      </w:pPr>
      <w:r>
        <w:rPr>
          <w:rFonts w:ascii="Calibri" w:hAnsi="Calibri" w:eastAsia="Calibri" w:cs="Calibri"/>
          <w:b/>
          <w:bCs/>
          <w:color w:val="1A5C38"/>
          <w:sz w:val="32"/>
          <w:szCs w:val="32"/>
        </w:rPr>
        <w:t>4. The Solution — Smart Kitchen Hub</w:t>
      </w:r>
    </w:p>
    <w:p w14:paraId="1C1C3C71">
      <w:pPr>
        <w:pStyle w:val="3"/>
        <w:spacing w:before="240" w:after="120"/>
      </w:pPr>
      <w:r>
        <w:rPr>
          <w:rFonts w:ascii="Calibri" w:hAnsi="Calibri" w:eastAsia="Calibri" w:cs="Calibri"/>
          <w:b/>
          <w:bCs/>
          <w:color w:val="1A5C38"/>
          <w:sz w:val="24"/>
          <w:szCs w:val="24"/>
        </w:rPr>
        <w:t>4.1 Smart-Prep Methodology</w:t>
      </w:r>
    </w:p>
    <w:p w14:paraId="65B262AB">
      <w:pPr>
        <w:spacing w:before="80" w:after="80"/>
        <w:jc w:val="both"/>
      </w:pPr>
      <w:r>
        <w:rPr>
          <w:rFonts w:ascii="Calibri" w:hAnsi="Calibri" w:eastAsia="Calibri" w:cs="Calibri"/>
          <w:color w:val="1A1A1A"/>
          <w:sz w:val="22"/>
          <w:szCs w:val="22"/>
        </w:rPr>
        <w:t>Green Africa Hub's core proprietary asset is the Smart-Prep Methodology</w:t>
      </w:r>
      <w:r>
        <w:rPr>
          <w:rFonts w:hint="default" w:cs="Calibri"/>
          <w:color w:val="1A1A1A"/>
          <w:sz w:val="22"/>
          <w:szCs w:val="22"/>
          <w:lang w:val="en-GB"/>
        </w:rPr>
        <w:t xml:space="preserve">, </w:t>
      </w:r>
      <w:r>
        <w:rPr>
          <w:rFonts w:ascii="Calibri" w:hAnsi="Calibri" w:eastAsia="Calibri" w:cs="Calibri"/>
          <w:color w:val="1A1A1A"/>
          <w:sz w:val="22"/>
          <w:szCs w:val="22"/>
        </w:rPr>
        <w:t>a systematic process for adapting traditional African and Caribbean recipes to energy-efficient induction cooking. Each adapted recipe preserves cultural authenticity while reducing energy consumption and carbon emissions.</w:t>
      </w:r>
    </w:p>
    <w:p w14:paraId="76580334">
      <w:pPr>
        <w:spacing w:before="80" w:after="80"/>
        <w:jc w:val="both"/>
        <w:rPr>
          <w:rFonts w:hint="default" w:ascii="Calibri" w:hAnsi="Calibri" w:eastAsia="Calibri" w:cs="Calibri"/>
          <w:color w:val="1A1A1A"/>
          <w:sz w:val="22"/>
          <w:szCs w:val="22"/>
        </w:rPr>
      </w:pPr>
      <w:r>
        <w:rPr>
          <w:rFonts w:hint="default" w:ascii="Calibri" w:hAnsi="Calibri" w:eastAsia="Calibri" w:cs="Calibri"/>
          <w:color w:val="1A1A1A"/>
          <w:sz w:val="22"/>
          <w:szCs w:val="22"/>
        </w:rPr>
        <w:t>To date, 11 Smart</w:t>
      </w:r>
      <w:r>
        <w:rPr>
          <w:rFonts w:hint="default" w:cs="Calibri"/>
          <w:color w:val="1A1A1A"/>
          <w:sz w:val="22"/>
          <w:szCs w:val="22"/>
          <w:lang w:val="en-GB"/>
        </w:rPr>
        <w:t>-</w:t>
      </w:r>
      <w:r>
        <w:rPr>
          <w:rFonts w:hint="default" w:ascii="Calibri" w:hAnsi="Calibri" w:eastAsia="Calibri" w:cs="Calibri"/>
          <w:color w:val="1A1A1A"/>
          <w:sz w:val="22"/>
          <w:szCs w:val="22"/>
        </w:rPr>
        <w:t xml:space="preserve">Prep recipes have been fully tested and validated for induction cooking, with 40+ additional dishes in the pipeline. These initial recipes form the core content of the </w:t>
      </w:r>
      <w:r>
        <w:rPr>
          <w:rFonts w:hint="default" w:cs="Calibri"/>
          <w:color w:val="1A1A1A"/>
          <w:sz w:val="22"/>
          <w:szCs w:val="22"/>
          <w:lang w:val="en-GB"/>
        </w:rPr>
        <w:t>“</w:t>
      </w:r>
      <w:r>
        <w:rPr>
          <w:rFonts w:hint="default" w:ascii="Calibri" w:hAnsi="Calibri" w:eastAsia="Calibri" w:cs="Calibri"/>
          <w:color w:val="1A1A1A"/>
          <w:sz w:val="22"/>
          <w:szCs w:val="22"/>
        </w:rPr>
        <w:t>From Root to Table</w:t>
      </w:r>
      <w:r>
        <w:rPr>
          <w:rFonts w:hint="default" w:cs="Calibri"/>
          <w:color w:val="1A1A1A"/>
          <w:sz w:val="22"/>
          <w:szCs w:val="22"/>
          <w:lang w:val="en-GB"/>
        </w:rPr>
        <w:t>”</w:t>
      </w:r>
      <w:r>
        <w:rPr>
          <w:rFonts w:hint="default" w:ascii="Calibri" w:hAnsi="Calibri" w:eastAsia="Calibri" w:cs="Calibri"/>
          <w:color w:val="1A1A1A"/>
          <w:sz w:val="22"/>
          <w:szCs w:val="22"/>
        </w:rPr>
        <w:t xml:space="preserve"> pilot cookbook and are used as the teaching backbone for Phase 1 workshops. Each recipe is linked to a simple carbon and energy profile using emissions factors derived from DEFRA‑aligned datasets, allowing participants to see how Smart</w:t>
      </w:r>
      <w:r>
        <w:rPr>
          <w:rFonts w:hint="default" w:cs="Calibri"/>
          <w:color w:val="1A1A1A"/>
          <w:sz w:val="22"/>
          <w:szCs w:val="22"/>
          <w:lang w:val="en-GB"/>
        </w:rPr>
        <w:t>-</w:t>
      </w:r>
      <w:r>
        <w:rPr>
          <w:rFonts w:hint="default" w:ascii="Calibri" w:hAnsi="Calibri" w:eastAsia="Calibri" w:cs="Calibri"/>
          <w:color w:val="1A1A1A"/>
          <w:sz w:val="22"/>
          <w:szCs w:val="22"/>
        </w:rPr>
        <w:t>Prep choices reduce emissions compared with typical gas‑based methods.</w:t>
      </w:r>
    </w:p>
    <w:p w14:paraId="4B0E626B">
      <w:pPr>
        <w:pStyle w:val="3"/>
        <w:spacing w:before="240" w:after="120"/>
      </w:pPr>
      <w:r>
        <w:rPr>
          <w:rFonts w:ascii="Calibri" w:hAnsi="Calibri" w:eastAsia="Calibri" w:cs="Calibri"/>
          <w:b/>
          <w:bCs/>
          <w:color w:val="1A5C38"/>
          <w:sz w:val="24"/>
          <w:szCs w:val="24"/>
        </w:rPr>
        <w:t>4.2 AI Carbon Tracking Dashboard</w:t>
      </w:r>
    </w:p>
    <w:p w14:paraId="32741B24">
      <w:pPr>
        <w:spacing w:before="80" w:after="80"/>
        <w:jc w:val="both"/>
        <w:rPr>
          <w:rFonts w:hint="default"/>
          <w:lang w:val="en-GB"/>
        </w:rPr>
      </w:pPr>
      <w:r>
        <w:rPr>
          <w:rFonts w:ascii="Calibri" w:hAnsi="Calibri" w:eastAsia="Calibri" w:cs="Calibri"/>
          <w:color w:val="1A1A1A"/>
          <w:sz w:val="22"/>
          <w:szCs w:val="22"/>
        </w:rPr>
        <w:t>The UK's first AI-powered carbon tracking tool designed specifically for African and Caribbean cooking. Built by Grace using Python, Scikit-learn, and Power BI — the tool maps each recipe's ingredients and cooking method to real emissions data using DEFRA 2025 factors and recommends culturally appropriate lower-carbon alternatives. Prototype functional. Pilot with 50 households planned for Year 1.</w:t>
      </w:r>
      <w:r>
        <w:rPr>
          <w:rFonts w:hint="default" w:cs="Calibri"/>
          <w:color w:val="1A1A1A"/>
          <w:sz w:val="22"/>
          <w:szCs w:val="22"/>
          <w:lang w:val="en-GB"/>
        </w:rPr>
        <w:t xml:space="preserve"> In Phase 1 the dashboard is used by Green Africa Hub to generate example carbon and energy comparisons for workshop recipes; in Phases 2–3 it will be made available to micro‑businesses and supply‑chain partners as part of consulting and masterclass offers, helping them respond to emerging Net Zero and SECR expectations in a practical, food‑specific way.</w:t>
      </w:r>
    </w:p>
    <w:p w14:paraId="70D1C456">
      <w:pPr>
        <w:pStyle w:val="3"/>
        <w:spacing w:before="240" w:after="120"/>
      </w:pPr>
      <w:r>
        <w:rPr>
          <w:rFonts w:ascii="Calibri" w:hAnsi="Calibri" w:eastAsia="Calibri" w:cs="Calibri"/>
          <w:b/>
          <w:bCs/>
          <w:color w:val="1A5C38"/>
          <w:sz w:val="24"/>
          <w:szCs w:val="24"/>
        </w:rPr>
        <w:t>4.3 Smart Kitchen Hub — Bristol</w:t>
      </w:r>
    </w:p>
    <w:p w14:paraId="1AA9522E">
      <w:pPr>
        <w:spacing w:before="80" w:after="80"/>
        <w:jc w:val="both"/>
      </w:pPr>
      <w:r>
        <w:rPr>
          <w:rFonts w:ascii="Calibri" w:hAnsi="Calibri" w:eastAsia="Calibri" w:cs="Calibri"/>
          <w:color w:val="1A1A1A"/>
          <w:sz w:val="22"/>
          <w:szCs w:val="22"/>
        </w:rPr>
        <w:t>A community-facing hub in Bristol combining:</w:t>
      </w:r>
    </w:p>
    <w:p w14:paraId="3DEF38C4">
      <w:pPr>
        <w:pStyle w:val="19"/>
        <w:numPr>
          <w:ilvl w:val="0"/>
          <w:numId w:val="2"/>
        </w:numPr>
        <w:spacing w:before="40" w:after="40"/>
      </w:pPr>
      <w:r>
        <w:rPr>
          <w:rFonts w:ascii="Calibri" w:hAnsi="Calibri" w:eastAsia="Calibri" w:cs="Calibri"/>
          <w:color w:val="1A1A1A"/>
          <w:sz w:val="22"/>
          <w:szCs w:val="22"/>
        </w:rPr>
        <w:t>Shared electric induction cooking facilities</w:t>
      </w:r>
    </w:p>
    <w:p w14:paraId="334DCBC3">
      <w:pPr>
        <w:pStyle w:val="19"/>
        <w:numPr>
          <w:ilvl w:val="0"/>
          <w:numId w:val="2"/>
        </w:numPr>
        <w:spacing w:before="40" w:after="40"/>
      </w:pPr>
      <w:r>
        <w:rPr>
          <w:rFonts w:ascii="Calibri" w:hAnsi="Calibri" w:eastAsia="Calibri" w:cs="Calibri"/>
          <w:color w:val="1A1A1A"/>
          <w:sz w:val="22"/>
          <w:szCs w:val="22"/>
        </w:rPr>
        <w:t>In-person Smart-Prep cooking sessions</w:t>
      </w:r>
    </w:p>
    <w:p w14:paraId="1F52BD12">
      <w:pPr>
        <w:pStyle w:val="19"/>
        <w:numPr>
          <w:ilvl w:val="0"/>
          <w:numId w:val="2"/>
        </w:numPr>
        <w:spacing w:before="40" w:after="40"/>
      </w:pPr>
      <w:r>
        <w:rPr>
          <w:rFonts w:ascii="Calibri" w:hAnsi="Calibri" w:eastAsia="Calibri" w:cs="Calibri"/>
          <w:color w:val="1A1A1A"/>
          <w:sz w:val="22"/>
          <w:szCs w:val="22"/>
        </w:rPr>
        <w:t>Live carbon tracking and education</w:t>
      </w:r>
    </w:p>
    <w:p w14:paraId="5A4852DC">
      <w:pPr>
        <w:pStyle w:val="19"/>
        <w:numPr>
          <w:ilvl w:val="0"/>
          <w:numId w:val="2"/>
        </w:numPr>
        <w:spacing w:before="40" w:after="40"/>
      </w:pPr>
      <w:r>
        <w:rPr>
          <w:rFonts w:ascii="Calibri" w:hAnsi="Calibri" w:eastAsia="Calibri" w:cs="Calibri"/>
          <w:color w:val="1A1A1A"/>
          <w:sz w:val="22"/>
          <w:szCs w:val="22"/>
        </w:rPr>
        <w:t>Food safety and allergen training</w:t>
      </w:r>
    </w:p>
    <w:p w14:paraId="3E5B7B63">
      <w:pPr>
        <w:pStyle w:val="19"/>
        <w:numPr>
          <w:ilvl w:val="0"/>
          <w:numId w:val="2"/>
        </w:numPr>
        <w:spacing w:before="40" w:after="40"/>
      </w:pPr>
      <w:r>
        <w:rPr>
          <w:rFonts w:ascii="Calibri" w:hAnsi="Calibri" w:eastAsia="Calibri" w:cs="Calibri"/>
          <w:color w:val="1A1A1A"/>
          <w:sz w:val="22"/>
          <w:szCs w:val="22"/>
        </w:rPr>
        <w:t>Digital subscription platform access</w:t>
      </w:r>
    </w:p>
    <w:p w14:paraId="128E1F1B">
      <w:pPr>
        <w:pStyle w:val="19"/>
        <w:numPr>
          <w:numId w:val="0"/>
        </w:numPr>
        <w:spacing w:before="40" w:after="40"/>
        <w:ind w:left="360" w:leftChars="0"/>
      </w:pPr>
    </w:p>
    <w:p w14:paraId="41318982">
      <w:pPr>
        <w:pStyle w:val="19"/>
        <w:numPr>
          <w:numId w:val="0"/>
        </w:numPr>
        <w:spacing w:before="40" w:after="40"/>
        <w:rPr>
          <w:rFonts w:hint="default"/>
        </w:rPr>
      </w:pPr>
      <w:r>
        <w:rPr>
          <w:rFonts w:hint="default"/>
        </w:rPr>
        <w:t xml:space="preserve">Phased rollout. In Phase 1 (Months 1–6), the Smart Kitchen Hub operates through partner community kitchens using portable induction equipment, with Grace personally delivering paid small‑group workshops and collecting data on demand, pricing and impact. In Phase 2 (Months 7–18), Bristol becomes a regular Smart‑Prep workshop hub, adding Smart‑Prep catering and menu/net‑zero consulting for Afro‑Caribbean caterers, restaurants and suppliers. In Phase 3 (Months 19–36), the Bristol Hub functions as an R&amp;D and content centre for licensed Smart Kitchen Hub “Spokes” in other </w:t>
      </w:r>
      <w:r>
        <w:rPr>
          <w:rFonts w:hint="default"/>
          <w:lang w:val="en-GB"/>
        </w:rPr>
        <w:t xml:space="preserve">communities and </w:t>
      </w:r>
      <w:r>
        <w:rPr>
          <w:rFonts w:hint="default"/>
        </w:rPr>
        <w:t>UK cities, supported by a digital learning platform, kitchen memberships and selected retail products.</w:t>
      </w:r>
    </w:p>
    <w:p w14:paraId="19642985">
      <w:pPr>
        <w:pStyle w:val="19"/>
        <w:numPr>
          <w:numId w:val="0"/>
        </w:numPr>
        <w:spacing w:before="40" w:after="40"/>
        <w:rPr>
          <w:rFonts w:hint="default"/>
        </w:rPr>
      </w:pPr>
    </w:p>
    <w:p w14:paraId="536DC69F">
      <w:pPr>
        <w:pStyle w:val="19"/>
        <w:numPr>
          <w:numId w:val="0"/>
        </w:numPr>
        <w:spacing w:before="40" w:after="40"/>
        <w:rPr>
          <w:rFonts w:hint="default"/>
        </w:rPr>
      </w:pPr>
      <w:r>
        <w:rPr>
          <w:rFonts w:hint="default"/>
        </w:rPr>
        <w:t>The Hub also acts as a focal point for Afro‑Caribbean supply‑chain engagement. Through specialist masterclasses, importers, wholesalers and caterers learn how air‑freighted and shipped ingredients affect their carbon footprint, and use a simple maturity‑curve framework and double‑diamond design process to map where they are today and design realistic steps towards more sustainable sourcing and operations.</w:t>
      </w:r>
    </w:p>
    <w:p w14:paraId="655CE0D4">
      <w:pPr>
        <w:pStyle w:val="16"/>
        <w:keepNext w:val="0"/>
        <w:keepLines w:val="0"/>
        <w:widowControl/>
        <w:suppressLineNumbers w:val="0"/>
        <w:spacing w:before="0" w:beforeAutospacing="1" w:after="0" w:afterAutospacing="1"/>
        <w:ind w:left="0" w:right="0"/>
      </w:pPr>
    </w:p>
    <w:p w14:paraId="27232315">
      <w:pPr>
        <w:pStyle w:val="16"/>
        <w:keepNext w:val="0"/>
        <w:keepLines w:val="0"/>
        <w:widowControl/>
        <w:suppressLineNumbers w:val="0"/>
        <w:spacing w:before="0" w:beforeAutospacing="1" w:after="0" w:afterAutospacing="1"/>
        <w:ind w:left="720" w:right="720"/>
      </w:pPr>
      <w:r>
        <w:rPr>
          <w:rStyle w:val="17"/>
          <w:rFonts w:hint="eastAsia" w:ascii="SimSun" w:hAnsi="SimSun" w:eastAsia="SimSun" w:cs="SimSun"/>
          <w:sz w:val="24"/>
          <w:szCs w:val="24"/>
        </w:rPr>
        <w:t>Kitchen Sustainability Maturity Ladder</w:t>
      </w:r>
    </w:p>
    <w:p w14:paraId="1AD80C37">
      <w:pPr>
        <w:pStyle w:val="16"/>
        <w:keepNext w:val="0"/>
        <w:keepLines w:val="0"/>
        <w:widowControl/>
        <w:suppressLineNumbers w:val="0"/>
        <w:spacing w:before="0" w:beforeAutospacing="1" w:after="0" w:afterAutospacing="1"/>
        <w:ind w:right="720"/>
      </w:pPr>
      <w:r>
        <w:rPr>
          <w:rFonts w:hint="eastAsia" w:ascii="SimSun" w:hAnsi="SimSun" w:eastAsia="SimSun" w:cs="SimSun"/>
          <w:sz w:val="24"/>
          <w:szCs w:val="24"/>
        </w:rPr>
        <w:t>Green Africa Hub uses a simple kitchen sustainability maturity ladder to help households, micro</w:t>
      </w:r>
      <w:r>
        <w:rPr>
          <w:rFonts w:hint="eastAsia" w:ascii="SimSun" w:hAnsi="SimSun" w:eastAsia="SimSun" w:cs="SimSun"/>
          <w:sz w:val="24"/>
          <w:szCs w:val="24"/>
        </w:rPr>
        <w:noBreakHyphen/>
      </w:r>
      <w:r>
        <w:rPr>
          <w:rFonts w:hint="eastAsia" w:ascii="SimSun" w:hAnsi="SimSun" w:eastAsia="SimSun" w:cs="SimSun"/>
          <w:sz w:val="24"/>
          <w:szCs w:val="24"/>
        </w:rPr>
        <w:t>caterers and institutional partners understand where they are today and what the next step looks like.</w:t>
      </w:r>
    </w:p>
    <w:tbl>
      <w:tblPr>
        <w:tblStyle w:val="9"/>
        <w:tblpPr w:leftFromText="180" w:rightFromText="180" w:vertAnchor="text" w:horzAnchor="page" w:tblpX="1108" w:tblpY="2385"/>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0"/>
        <w:gridCol w:w="1969"/>
        <w:gridCol w:w="6467"/>
      </w:tblGrid>
      <w:tr w14:paraId="4103F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FEAC9C">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Level</w:t>
            </w:r>
          </w:p>
        </w:tc>
        <w:tc>
          <w:tcPr>
            <w:tcW w:w="0" w:type="auto"/>
            <w:shd w:val="clear" w:color="auto" w:fill="auto"/>
            <w:vAlign w:val="center"/>
          </w:tcPr>
          <w:p w14:paraId="311D1697">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Name</w:t>
            </w:r>
          </w:p>
        </w:tc>
        <w:tc>
          <w:tcPr>
            <w:tcW w:w="0" w:type="auto"/>
            <w:shd w:val="clear" w:color="auto" w:fill="auto"/>
            <w:vAlign w:val="center"/>
          </w:tcPr>
          <w:p w14:paraId="511F3304">
            <w:pPr>
              <w:keepNext w:val="0"/>
              <w:keepLines w:val="0"/>
              <w:widowControl/>
              <w:suppressLineNumbers w:val="0"/>
              <w:jc w:val="center"/>
              <w:rPr>
                <w:b/>
                <w:bCs/>
              </w:rPr>
            </w:pPr>
            <w:r>
              <w:rPr>
                <w:rFonts w:ascii="SimSun" w:hAnsi="SimSun" w:eastAsia="SimSun" w:cs="SimSun"/>
                <w:b/>
                <w:bCs/>
                <w:color w:val="1A1A1A"/>
                <w:kern w:val="0"/>
                <w:sz w:val="24"/>
                <w:szCs w:val="24"/>
                <w:lang w:val="en-US" w:eastAsia="zh-CN" w:bidi="ar"/>
              </w:rPr>
              <w:t>Brief description</w:t>
            </w:r>
          </w:p>
        </w:tc>
      </w:tr>
      <w:tr w14:paraId="22A86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D58314">
            <w:pPr>
              <w:keepNext w:val="0"/>
              <w:keepLines w:val="0"/>
              <w:widowControl/>
              <w:suppressLineNumbers w:val="0"/>
              <w:jc w:val="left"/>
            </w:pPr>
            <w:r>
              <w:rPr>
                <w:rFonts w:ascii="SimSun" w:hAnsi="SimSun" w:eastAsia="SimSun" w:cs="SimSun"/>
                <w:color w:val="1A1A1A"/>
                <w:kern w:val="0"/>
                <w:sz w:val="24"/>
                <w:szCs w:val="24"/>
                <w:lang w:val="en-US" w:eastAsia="zh-CN" w:bidi="ar"/>
              </w:rPr>
              <w:t>1</w:t>
            </w:r>
          </w:p>
        </w:tc>
        <w:tc>
          <w:tcPr>
            <w:tcW w:w="0" w:type="auto"/>
            <w:shd w:val="clear" w:color="auto" w:fill="auto"/>
            <w:vAlign w:val="center"/>
          </w:tcPr>
          <w:p w14:paraId="24E29A5E">
            <w:pPr>
              <w:keepNext w:val="0"/>
              <w:keepLines w:val="0"/>
              <w:widowControl/>
              <w:suppressLineNumbers w:val="0"/>
              <w:jc w:val="left"/>
            </w:pPr>
            <w:r>
              <w:rPr>
                <w:rFonts w:ascii="SimSun" w:hAnsi="SimSun" w:eastAsia="SimSun" w:cs="SimSun"/>
                <w:color w:val="1A1A1A"/>
                <w:kern w:val="0"/>
                <w:sz w:val="24"/>
                <w:szCs w:val="24"/>
                <w:lang w:val="en-US" w:eastAsia="zh-CN" w:bidi="ar"/>
              </w:rPr>
              <w:t>Awareness only</w:t>
            </w:r>
          </w:p>
        </w:tc>
        <w:tc>
          <w:tcPr>
            <w:tcW w:w="0" w:type="auto"/>
            <w:shd w:val="clear" w:color="auto" w:fill="auto"/>
            <w:vAlign w:val="center"/>
          </w:tcPr>
          <w:p w14:paraId="48A12678">
            <w:pPr>
              <w:keepNext w:val="0"/>
              <w:keepLines w:val="0"/>
              <w:widowControl/>
              <w:suppressLineNumbers w:val="0"/>
              <w:jc w:val="left"/>
            </w:pPr>
            <w:r>
              <w:rPr>
                <w:rFonts w:ascii="SimSun" w:hAnsi="SimSun" w:eastAsia="SimSun" w:cs="SimSun"/>
                <w:color w:val="1A1A1A"/>
                <w:kern w:val="0"/>
                <w:sz w:val="24"/>
                <w:szCs w:val="24"/>
                <w:lang w:val="en-US" w:eastAsia="zh-CN" w:bidi="ar"/>
              </w:rPr>
              <w:t xml:space="preserve">Knows energy and carbon matter but has no data, no induction, and no consistent sustainability practices in the kitchen. </w:t>
            </w:r>
          </w:p>
        </w:tc>
      </w:tr>
      <w:tr w14:paraId="32846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AC06E4">
            <w:pPr>
              <w:keepNext w:val="0"/>
              <w:keepLines w:val="0"/>
              <w:widowControl/>
              <w:suppressLineNumbers w:val="0"/>
              <w:jc w:val="left"/>
            </w:pPr>
            <w:r>
              <w:rPr>
                <w:rFonts w:ascii="SimSun" w:hAnsi="SimSun" w:eastAsia="SimSun" w:cs="SimSun"/>
                <w:color w:val="1A1A1A"/>
                <w:kern w:val="0"/>
                <w:sz w:val="24"/>
                <w:szCs w:val="24"/>
                <w:lang w:val="en-US" w:eastAsia="zh-CN" w:bidi="ar"/>
              </w:rPr>
              <w:t>2</w:t>
            </w:r>
          </w:p>
        </w:tc>
        <w:tc>
          <w:tcPr>
            <w:tcW w:w="0" w:type="auto"/>
            <w:shd w:val="clear" w:color="auto" w:fill="auto"/>
            <w:vAlign w:val="center"/>
          </w:tcPr>
          <w:p w14:paraId="0B8C3204">
            <w:pPr>
              <w:keepNext w:val="0"/>
              <w:keepLines w:val="0"/>
              <w:widowControl/>
              <w:suppressLineNumbers w:val="0"/>
              <w:jc w:val="left"/>
            </w:pPr>
            <w:r>
              <w:rPr>
                <w:rFonts w:ascii="SimSun" w:hAnsi="SimSun" w:eastAsia="SimSun" w:cs="SimSun"/>
                <w:color w:val="1A1A1A"/>
                <w:kern w:val="0"/>
                <w:sz w:val="24"/>
                <w:szCs w:val="24"/>
                <w:lang w:val="en-US" w:eastAsia="zh-CN" w:bidi="ar"/>
              </w:rPr>
              <w:t>First practical steps</w:t>
            </w:r>
          </w:p>
        </w:tc>
        <w:tc>
          <w:tcPr>
            <w:tcW w:w="0" w:type="auto"/>
            <w:shd w:val="clear" w:color="auto" w:fill="auto"/>
            <w:vAlign w:val="center"/>
          </w:tcPr>
          <w:p w14:paraId="521376E6">
            <w:pPr>
              <w:keepNext w:val="0"/>
              <w:keepLines w:val="0"/>
              <w:widowControl/>
              <w:suppressLineNumbers w:val="0"/>
              <w:jc w:val="left"/>
            </w:pPr>
            <w:r>
              <w:rPr>
                <w:rFonts w:ascii="SimSun" w:hAnsi="SimSun" w:eastAsia="SimSun" w:cs="SimSun"/>
                <w:color w:val="1A1A1A"/>
                <w:kern w:val="0"/>
                <w:sz w:val="24"/>
                <w:szCs w:val="24"/>
                <w:lang w:val="en-US" w:eastAsia="zh-CN" w:bidi="ar"/>
              </w:rPr>
              <w:t>Has tried some energy</w:t>
            </w:r>
            <w:r>
              <w:rPr>
                <w:rFonts w:ascii="SimSun" w:hAnsi="SimSun" w:eastAsia="SimSun" w:cs="SimSun"/>
                <w:color w:val="1A1A1A"/>
                <w:kern w:val="0"/>
                <w:sz w:val="24"/>
                <w:szCs w:val="24"/>
                <w:lang w:val="en-US" w:eastAsia="zh-CN" w:bidi="ar"/>
              </w:rPr>
              <w:noBreakHyphen/>
            </w:r>
            <w:r>
              <w:rPr>
                <w:rFonts w:ascii="SimSun" w:hAnsi="SimSun" w:eastAsia="SimSun" w:cs="SimSun"/>
                <w:color w:val="1A1A1A"/>
                <w:kern w:val="0"/>
                <w:sz w:val="24"/>
                <w:szCs w:val="24"/>
                <w:lang w:val="en-US" w:eastAsia="zh-CN" w:bidi="ar"/>
              </w:rPr>
              <w:t>saving actions, may have one induction hob, but actions are ad</w:t>
            </w:r>
            <w:r>
              <w:rPr>
                <w:rFonts w:ascii="SimSun" w:hAnsi="SimSun" w:eastAsia="SimSun" w:cs="SimSun"/>
                <w:color w:val="1A1A1A"/>
                <w:kern w:val="0"/>
                <w:sz w:val="24"/>
                <w:szCs w:val="24"/>
                <w:lang w:val="en-US" w:eastAsia="zh-CN" w:bidi="ar"/>
              </w:rPr>
              <w:noBreakHyphen/>
            </w:r>
            <w:r>
              <w:rPr>
                <w:rFonts w:ascii="SimSun" w:hAnsi="SimSun" w:eastAsia="SimSun" w:cs="SimSun"/>
                <w:color w:val="1A1A1A"/>
                <w:kern w:val="0"/>
                <w:sz w:val="24"/>
                <w:szCs w:val="24"/>
                <w:lang w:val="en-US" w:eastAsia="zh-CN" w:bidi="ar"/>
              </w:rPr>
              <w:t xml:space="preserve">hoc and not measured. </w:t>
            </w:r>
          </w:p>
        </w:tc>
      </w:tr>
      <w:tr w14:paraId="2DF12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0ED080">
            <w:pPr>
              <w:keepNext w:val="0"/>
              <w:keepLines w:val="0"/>
              <w:widowControl/>
              <w:suppressLineNumbers w:val="0"/>
              <w:jc w:val="left"/>
            </w:pPr>
            <w:r>
              <w:rPr>
                <w:rFonts w:ascii="SimSun" w:hAnsi="SimSun" w:eastAsia="SimSun" w:cs="SimSun"/>
                <w:color w:val="1A1A1A"/>
                <w:kern w:val="0"/>
                <w:sz w:val="24"/>
                <w:szCs w:val="24"/>
                <w:lang w:val="en-US" w:eastAsia="zh-CN" w:bidi="ar"/>
              </w:rPr>
              <w:t>3</w:t>
            </w:r>
          </w:p>
        </w:tc>
        <w:tc>
          <w:tcPr>
            <w:tcW w:w="0" w:type="auto"/>
            <w:shd w:val="clear" w:color="auto" w:fill="auto"/>
            <w:vAlign w:val="center"/>
          </w:tcPr>
          <w:p w14:paraId="115DAAEC">
            <w:pPr>
              <w:keepNext w:val="0"/>
              <w:keepLines w:val="0"/>
              <w:widowControl/>
              <w:suppressLineNumbers w:val="0"/>
              <w:jc w:val="left"/>
            </w:pPr>
            <w:r>
              <w:rPr>
                <w:rFonts w:ascii="SimSun" w:hAnsi="SimSun" w:eastAsia="SimSun" w:cs="SimSun"/>
                <w:color w:val="1A1A1A"/>
                <w:kern w:val="0"/>
                <w:sz w:val="24"/>
                <w:szCs w:val="24"/>
                <w:lang w:val="en-US" w:eastAsia="zh-CN" w:bidi="ar"/>
              </w:rPr>
              <w:t>Structured good practice</w:t>
            </w:r>
          </w:p>
        </w:tc>
        <w:tc>
          <w:tcPr>
            <w:tcW w:w="0" w:type="auto"/>
            <w:shd w:val="clear" w:color="auto" w:fill="auto"/>
            <w:vAlign w:val="center"/>
          </w:tcPr>
          <w:p w14:paraId="64539B32">
            <w:pPr>
              <w:keepNext w:val="0"/>
              <w:keepLines w:val="0"/>
              <w:widowControl/>
              <w:suppressLineNumbers w:val="0"/>
              <w:jc w:val="left"/>
            </w:pPr>
            <w:r>
              <w:rPr>
                <w:rFonts w:ascii="SimSun" w:hAnsi="SimSun" w:eastAsia="SimSun" w:cs="SimSun"/>
                <w:color w:val="1A1A1A"/>
                <w:kern w:val="0"/>
                <w:sz w:val="24"/>
                <w:szCs w:val="24"/>
                <w:lang w:val="en-US" w:eastAsia="zh-CN" w:bidi="ar"/>
              </w:rPr>
              <w:t xml:space="preserve">Uses induction more often, tracks basic energy or carbon per dish or event, and has simple written kitchen guidelines. </w:t>
            </w:r>
          </w:p>
        </w:tc>
      </w:tr>
      <w:tr w14:paraId="36868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0346B8">
            <w:pPr>
              <w:keepNext w:val="0"/>
              <w:keepLines w:val="0"/>
              <w:widowControl/>
              <w:suppressLineNumbers w:val="0"/>
              <w:jc w:val="left"/>
            </w:pPr>
            <w:r>
              <w:rPr>
                <w:rFonts w:ascii="SimSun" w:hAnsi="SimSun" w:eastAsia="SimSun" w:cs="SimSun"/>
                <w:color w:val="1A1A1A"/>
                <w:kern w:val="0"/>
                <w:sz w:val="24"/>
                <w:szCs w:val="24"/>
                <w:lang w:val="en-US" w:eastAsia="zh-CN" w:bidi="ar"/>
              </w:rPr>
              <w:t>4</w:t>
            </w:r>
          </w:p>
        </w:tc>
        <w:tc>
          <w:tcPr>
            <w:tcW w:w="0" w:type="auto"/>
            <w:shd w:val="clear" w:color="auto" w:fill="auto"/>
            <w:vAlign w:val="center"/>
          </w:tcPr>
          <w:p w14:paraId="6800E935">
            <w:pPr>
              <w:keepNext w:val="0"/>
              <w:keepLines w:val="0"/>
              <w:widowControl/>
              <w:suppressLineNumbers w:val="0"/>
              <w:jc w:val="left"/>
            </w:pPr>
            <w:r>
              <w:rPr>
                <w:rFonts w:ascii="SimSun" w:hAnsi="SimSun" w:eastAsia="SimSun" w:cs="SimSun"/>
                <w:color w:val="1A1A1A"/>
                <w:kern w:val="0"/>
                <w:sz w:val="24"/>
                <w:szCs w:val="24"/>
                <w:lang w:val="en-US" w:eastAsia="zh-CN" w:bidi="ar"/>
              </w:rPr>
              <w:t>Data</w:t>
            </w:r>
            <w:r>
              <w:rPr>
                <w:rFonts w:ascii="SimSun" w:hAnsi="SimSun" w:eastAsia="SimSun" w:cs="SimSun"/>
                <w:color w:val="1A1A1A"/>
                <w:kern w:val="0"/>
                <w:sz w:val="24"/>
                <w:szCs w:val="24"/>
                <w:lang w:val="en-US" w:eastAsia="zh-CN" w:bidi="ar"/>
              </w:rPr>
              <w:noBreakHyphen/>
            </w:r>
            <w:r>
              <w:rPr>
                <w:rFonts w:ascii="SimSun" w:hAnsi="SimSun" w:eastAsia="SimSun" w:cs="SimSun"/>
                <w:color w:val="1A1A1A"/>
                <w:kern w:val="0"/>
                <w:sz w:val="24"/>
                <w:szCs w:val="24"/>
                <w:lang w:val="en-US" w:eastAsia="zh-CN" w:bidi="ar"/>
              </w:rPr>
              <w:t>driven optimisation</w:t>
            </w:r>
          </w:p>
        </w:tc>
        <w:tc>
          <w:tcPr>
            <w:tcW w:w="0" w:type="auto"/>
            <w:shd w:val="clear" w:color="auto" w:fill="auto"/>
            <w:vAlign w:val="center"/>
          </w:tcPr>
          <w:p w14:paraId="163FB315">
            <w:pPr>
              <w:keepNext w:val="0"/>
              <w:keepLines w:val="0"/>
              <w:widowControl/>
              <w:suppressLineNumbers w:val="0"/>
              <w:jc w:val="left"/>
            </w:pPr>
            <w:r>
              <w:rPr>
                <w:rFonts w:ascii="SimSun" w:hAnsi="SimSun" w:eastAsia="SimSun" w:cs="SimSun"/>
                <w:color w:val="1A1A1A"/>
                <w:kern w:val="0"/>
                <w:sz w:val="24"/>
                <w:szCs w:val="24"/>
                <w:lang w:val="en-US" w:eastAsia="zh-CN" w:bidi="ar"/>
              </w:rPr>
              <w:t>Uses carbon</w:t>
            </w:r>
            <w:r>
              <w:rPr>
                <w:rFonts w:ascii="SimSun" w:hAnsi="SimSun" w:eastAsia="SimSun" w:cs="SimSun"/>
                <w:color w:val="1A1A1A"/>
                <w:kern w:val="0"/>
                <w:sz w:val="24"/>
                <w:szCs w:val="24"/>
                <w:lang w:val="en-US" w:eastAsia="zh-CN" w:bidi="ar"/>
              </w:rPr>
              <w:noBreakHyphen/>
            </w:r>
            <w:r>
              <w:rPr>
                <w:rFonts w:ascii="SimSun" w:hAnsi="SimSun" w:eastAsia="SimSun" w:cs="SimSun"/>
                <w:color w:val="1A1A1A"/>
                <w:kern w:val="0"/>
                <w:sz w:val="24"/>
                <w:szCs w:val="24"/>
                <w:lang w:val="en-US" w:eastAsia="zh-CN" w:bidi="ar"/>
              </w:rPr>
              <w:t xml:space="preserve">tracking tools regularly, compares dishes and suppliers on emissions and cost, and redesigns menus accordingly. </w:t>
            </w:r>
          </w:p>
        </w:tc>
      </w:tr>
      <w:tr w14:paraId="40E67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C3BB5B">
            <w:pPr>
              <w:keepNext w:val="0"/>
              <w:keepLines w:val="0"/>
              <w:widowControl/>
              <w:suppressLineNumbers w:val="0"/>
              <w:jc w:val="left"/>
            </w:pPr>
            <w:r>
              <w:rPr>
                <w:rFonts w:ascii="SimSun" w:hAnsi="SimSun" w:eastAsia="SimSun" w:cs="SimSun"/>
                <w:color w:val="1A1A1A"/>
                <w:kern w:val="0"/>
                <w:sz w:val="24"/>
                <w:szCs w:val="24"/>
                <w:lang w:val="en-US" w:eastAsia="zh-CN" w:bidi="ar"/>
              </w:rPr>
              <w:t>5</w:t>
            </w:r>
          </w:p>
        </w:tc>
        <w:tc>
          <w:tcPr>
            <w:tcW w:w="0" w:type="auto"/>
            <w:shd w:val="clear" w:color="auto" w:fill="auto"/>
            <w:vAlign w:val="center"/>
          </w:tcPr>
          <w:p w14:paraId="0747E03D">
            <w:pPr>
              <w:keepNext w:val="0"/>
              <w:keepLines w:val="0"/>
              <w:widowControl/>
              <w:suppressLineNumbers w:val="0"/>
              <w:jc w:val="left"/>
            </w:pPr>
            <w:r>
              <w:rPr>
                <w:rFonts w:ascii="SimSun" w:hAnsi="SimSun" w:eastAsia="SimSun" w:cs="SimSun"/>
                <w:color w:val="1A1A1A"/>
                <w:kern w:val="0"/>
                <w:sz w:val="24"/>
                <w:szCs w:val="24"/>
                <w:lang w:val="en-US" w:eastAsia="zh-CN" w:bidi="ar"/>
              </w:rPr>
              <w:t>Community leader</w:t>
            </w:r>
          </w:p>
        </w:tc>
        <w:tc>
          <w:tcPr>
            <w:tcW w:w="0" w:type="auto"/>
            <w:shd w:val="clear" w:color="auto" w:fill="auto"/>
            <w:vAlign w:val="center"/>
          </w:tcPr>
          <w:p w14:paraId="608B6D26">
            <w:pPr>
              <w:keepNext w:val="0"/>
              <w:keepLines w:val="0"/>
              <w:widowControl/>
              <w:suppressLineNumbers w:val="0"/>
              <w:jc w:val="left"/>
            </w:pPr>
            <w:r>
              <w:rPr>
                <w:rFonts w:ascii="SimSun" w:hAnsi="SimSun" w:eastAsia="SimSun" w:cs="SimSun"/>
                <w:color w:val="1A1A1A"/>
                <w:kern w:val="0"/>
                <w:sz w:val="24"/>
                <w:szCs w:val="24"/>
                <w:lang w:val="en-US" w:eastAsia="zh-CN" w:bidi="ar"/>
              </w:rPr>
              <w:t>Shares results publicly, helps peers decarbonise, co</w:t>
            </w:r>
            <w:r>
              <w:rPr>
                <w:rFonts w:ascii="SimSun" w:hAnsi="SimSun" w:eastAsia="SimSun" w:cs="SimSun"/>
                <w:color w:val="1A1A1A"/>
                <w:kern w:val="0"/>
                <w:sz w:val="24"/>
                <w:szCs w:val="24"/>
                <w:lang w:val="en-US" w:eastAsia="zh-CN" w:bidi="ar"/>
              </w:rPr>
              <w:noBreakHyphen/>
            </w:r>
            <w:r>
              <w:rPr>
                <w:rFonts w:ascii="SimSun" w:hAnsi="SimSun" w:eastAsia="SimSun" w:cs="SimSun"/>
                <w:color w:val="1A1A1A"/>
                <w:kern w:val="0"/>
                <w:sz w:val="24"/>
                <w:szCs w:val="24"/>
                <w:lang w:val="en-US" w:eastAsia="zh-CN" w:bidi="ar"/>
              </w:rPr>
              <w:t>designs low</w:t>
            </w:r>
            <w:r>
              <w:rPr>
                <w:rFonts w:ascii="SimSun" w:hAnsi="SimSun" w:eastAsia="SimSun" w:cs="SimSun"/>
                <w:color w:val="1A1A1A"/>
                <w:kern w:val="0"/>
                <w:sz w:val="24"/>
                <w:szCs w:val="24"/>
                <w:lang w:val="en-US" w:eastAsia="zh-CN" w:bidi="ar"/>
              </w:rPr>
              <w:noBreakHyphen/>
            </w:r>
            <w:r>
              <w:rPr>
                <w:rFonts w:ascii="SimSun" w:hAnsi="SimSun" w:eastAsia="SimSun" w:cs="SimSun"/>
                <w:color w:val="1A1A1A"/>
                <w:kern w:val="0"/>
                <w:sz w:val="24"/>
                <w:szCs w:val="24"/>
                <w:lang w:val="en-US" w:eastAsia="zh-CN" w:bidi="ar"/>
              </w:rPr>
              <w:t>carbon Afro</w:t>
            </w:r>
            <w:r>
              <w:rPr>
                <w:rFonts w:ascii="SimSun" w:hAnsi="SimSun" w:eastAsia="SimSun" w:cs="SimSun"/>
                <w:color w:val="1A1A1A"/>
                <w:kern w:val="0"/>
                <w:sz w:val="24"/>
                <w:szCs w:val="24"/>
                <w:lang w:val="en-US" w:eastAsia="zh-CN" w:bidi="ar"/>
              </w:rPr>
              <w:noBreakHyphen/>
            </w:r>
            <w:r>
              <w:rPr>
                <w:rFonts w:ascii="SimSun" w:hAnsi="SimSun" w:eastAsia="SimSun" w:cs="SimSun"/>
                <w:color w:val="1A1A1A"/>
                <w:kern w:val="0"/>
                <w:sz w:val="24"/>
                <w:szCs w:val="24"/>
                <w:lang w:val="en-US" w:eastAsia="zh-CN" w:bidi="ar"/>
              </w:rPr>
              <w:t xml:space="preserve">Caribbean menus, and treats sustainability as core strategy. </w:t>
            </w:r>
          </w:p>
        </w:tc>
      </w:tr>
    </w:tbl>
    <w:p w14:paraId="6F67BC00">
      <w:pPr>
        <w:pStyle w:val="16"/>
        <w:keepNext w:val="0"/>
        <w:keepLines w:val="0"/>
        <w:widowControl/>
        <w:suppressLineNumbers w:val="0"/>
        <w:spacing w:before="0" w:beforeAutospacing="1" w:after="0" w:afterAutospacing="1"/>
        <w:ind w:right="720"/>
      </w:pPr>
      <w:r>
        <w:rPr>
          <w:rFonts w:hint="eastAsia" w:ascii="SimSun" w:hAnsi="SimSun" w:eastAsia="SimSun" w:cs="SimSun"/>
          <w:sz w:val="24"/>
          <w:szCs w:val="24"/>
        </w:rPr>
        <w:t>Through its Smart</w:t>
      </w:r>
      <w:r>
        <w:rPr>
          <w:rFonts w:hint="eastAsia" w:ascii="SimSun" w:hAnsi="SimSun" w:eastAsia="SimSun" w:cs="SimSun"/>
          <w:sz w:val="24"/>
          <w:szCs w:val="24"/>
        </w:rPr>
        <w:noBreakHyphen/>
      </w:r>
      <w:r>
        <w:rPr>
          <w:rFonts w:hint="eastAsia" w:ascii="SimSun" w:hAnsi="SimSun" w:eastAsia="SimSun" w:cs="SimSun"/>
          <w:sz w:val="24"/>
          <w:szCs w:val="24"/>
        </w:rPr>
        <w:t>Prep sessions, carbon</w:t>
      </w:r>
      <w:r>
        <w:rPr>
          <w:rFonts w:hint="eastAsia" w:ascii="SimSun" w:hAnsi="SimSun" w:eastAsia="SimSun" w:cs="SimSun"/>
          <w:sz w:val="24"/>
          <w:szCs w:val="24"/>
        </w:rPr>
        <w:noBreakHyphen/>
      </w:r>
      <w:r>
        <w:rPr>
          <w:rFonts w:hint="eastAsia" w:ascii="SimSun" w:hAnsi="SimSun" w:eastAsia="SimSun" w:cs="SimSun"/>
          <w:sz w:val="24"/>
          <w:szCs w:val="24"/>
        </w:rPr>
        <w:t>tracking tools and tailored advice, Green Africa Hub helps partners move step</w:t>
      </w:r>
      <w:r>
        <w:rPr>
          <w:rFonts w:hint="eastAsia" w:ascii="SimSun" w:hAnsi="SimSun" w:eastAsia="SimSun" w:cs="SimSun"/>
          <w:sz w:val="24"/>
          <w:szCs w:val="24"/>
        </w:rPr>
        <w:noBreakHyphen/>
      </w:r>
      <w:r>
        <w:rPr>
          <w:rFonts w:hint="eastAsia" w:ascii="SimSun" w:hAnsi="SimSun" w:eastAsia="SimSun" w:cs="SimSun"/>
          <w:sz w:val="24"/>
          <w:szCs w:val="24"/>
        </w:rPr>
        <w:t>by</w:t>
      </w:r>
      <w:r>
        <w:rPr>
          <w:rFonts w:hint="eastAsia" w:ascii="SimSun" w:hAnsi="SimSun" w:eastAsia="SimSun" w:cs="SimSun"/>
          <w:sz w:val="24"/>
          <w:szCs w:val="24"/>
        </w:rPr>
        <w:noBreakHyphen/>
      </w:r>
      <w:r>
        <w:rPr>
          <w:rFonts w:hint="eastAsia" w:ascii="SimSun" w:hAnsi="SimSun" w:eastAsia="SimSun" w:cs="SimSun"/>
          <w:sz w:val="24"/>
          <w:szCs w:val="24"/>
        </w:rPr>
        <w:t>step from Level 1 to Level 4, and supports the most ambitious to become Level 5 community leaders.</w:t>
      </w:r>
    </w:p>
    <w:p w14:paraId="3E8AFD3F">
      <w:pPr>
        <w:pStyle w:val="16"/>
        <w:keepNext w:val="0"/>
        <w:keepLines w:val="0"/>
        <w:widowControl/>
        <w:suppressLineNumbers w:val="0"/>
        <w:spacing w:before="0" w:beforeAutospacing="1" w:after="0" w:afterAutospacing="1"/>
        <w:ind w:left="0" w:right="0"/>
      </w:pPr>
    </w:p>
    <w:p w14:paraId="08245FB7">
      <w:pPr>
        <w:pStyle w:val="19"/>
        <w:numPr>
          <w:numId w:val="0"/>
        </w:numPr>
        <w:spacing w:before="40" w:after="40"/>
        <w:rPr>
          <w:rFonts w:hint="default"/>
        </w:rPr>
      </w:pPr>
    </w:p>
    <w:p w14:paraId="3D179A42">
      <w:pPr>
        <w:pStyle w:val="3"/>
        <w:spacing w:before="240" w:after="120"/>
      </w:pPr>
      <w:r>
        <w:rPr>
          <w:rFonts w:ascii="Calibri" w:hAnsi="Calibri" w:eastAsia="Calibri" w:cs="Calibri"/>
          <w:b/>
          <w:bCs/>
          <w:color w:val="1A5C38"/>
          <w:sz w:val="24"/>
          <w:szCs w:val="24"/>
        </w:rPr>
        <w:t>4.4 Hub &amp; Spoke Scalability</w:t>
      </w:r>
    </w:p>
    <w:p w14:paraId="1FE06B0C">
      <w:pPr>
        <w:spacing w:before="80" w:after="80"/>
        <w:jc w:val="both"/>
        <w:rPr>
          <w:rFonts w:ascii="Calibri" w:hAnsi="Calibri" w:eastAsia="Calibri" w:cs="Calibri"/>
          <w:color w:val="1A1A1A"/>
          <w:sz w:val="22"/>
          <w:szCs w:val="22"/>
        </w:rPr>
      </w:pPr>
      <w:r>
        <w:rPr>
          <w:rFonts w:ascii="Calibri" w:hAnsi="Calibri" w:eastAsia="Calibri" w:cs="Calibri"/>
          <w:color w:val="1A1A1A"/>
          <w:sz w:val="22"/>
          <w:szCs w:val="22"/>
        </w:rPr>
        <w:t>Bristol Hub provides centralised R&amp;D, content creation, and quality assurance. Licensed community Spokes deliver local training in Birmingham (Year 2) and Manchester (Year 2–3), scaling to 10+ UK cities by Year 5. Digital platform provides national reach from Day 1.</w:t>
      </w:r>
    </w:p>
    <w:p w14:paraId="262B0331">
      <w:pPr>
        <w:spacing w:before="80" w:after="80"/>
        <w:jc w:val="both"/>
        <w:rPr>
          <w:rFonts w:ascii="Calibri" w:hAnsi="Calibri" w:eastAsia="Calibri" w:cs="Calibri"/>
          <w:color w:val="1A1A1A"/>
          <w:sz w:val="22"/>
          <w:szCs w:val="22"/>
        </w:rPr>
      </w:pPr>
    </w:p>
    <w:p w14:paraId="74D71716">
      <w:pPr>
        <w:spacing w:before="80" w:after="80"/>
        <w:jc w:val="both"/>
        <w:rPr>
          <w:rFonts w:hint="default" w:ascii="Calibri" w:hAnsi="Calibri" w:eastAsia="Calibri" w:cs="Calibri"/>
          <w:color w:val="1A1A1A"/>
          <w:sz w:val="22"/>
          <w:szCs w:val="22"/>
        </w:rPr>
      </w:pPr>
      <w:r>
        <w:rPr>
          <w:rFonts w:hint="default" w:ascii="Calibri" w:hAnsi="Calibri" w:eastAsia="Calibri" w:cs="Calibri"/>
          <w:color w:val="1A1A1A"/>
          <w:sz w:val="22"/>
          <w:szCs w:val="22"/>
        </w:rPr>
        <w:t>As UK Net Zero and reporting expectations tighten, particularly for larger buyers and public bodies, this hub‑and‑spoke model positions Afro‑Caribbean food businesses to remain competitive in tenders that increasingly ask for evidence of carbon awareness, action and honest messaging in line with the Green Claims Code.</w:t>
      </w:r>
    </w:p>
    <w:p w14:paraId="5122C415">
      <w:pPr>
        <w:spacing w:before="80" w:after="80"/>
        <w:jc w:val="both"/>
        <w:rPr>
          <w:rFonts w:ascii="Calibri" w:hAnsi="Calibri" w:eastAsia="Calibri" w:cs="Calibri"/>
          <w:color w:val="1A1A1A"/>
          <w:sz w:val="22"/>
          <w:szCs w:val="22"/>
        </w:rPr>
      </w:pPr>
    </w:p>
    <w:p w14:paraId="400C5912">
      <w:pPr>
        <w:spacing w:before="80" w:after="80"/>
        <w:jc w:val="both"/>
        <w:rPr>
          <w:rFonts w:ascii="Calibri" w:hAnsi="Calibri" w:eastAsia="Calibri" w:cs="Calibri"/>
          <w:color w:val="1A1A1A"/>
          <w:sz w:val="22"/>
          <w:szCs w:val="22"/>
        </w:rPr>
      </w:pPr>
    </w:p>
    <w:p w14:paraId="5310CCB0">
      <w:pPr>
        <w:spacing w:before="80" w:after="80"/>
        <w:jc w:val="both"/>
        <w:rPr>
          <w:rFonts w:ascii="Calibri" w:hAnsi="Calibri" w:eastAsia="Calibri" w:cs="Calibri"/>
          <w:color w:val="1A1A1A"/>
          <w:sz w:val="22"/>
          <w:szCs w:val="22"/>
        </w:rPr>
      </w:pPr>
    </w:p>
    <w:p w14:paraId="133B9502">
      <w:r>
        <w:br w:type="page"/>
      </w:r>
    </w:p>
    <w:p w14:paraId="62A451C3">
      <w:pPr>
        <w:pStyle w:val="2"/>
        <w:numPr>
          <w:ilvl w:val="0"/>
          <w:numId w:val="3"/>
        </w:numPr>
        <w:spacing w:before="360" w:after="180"/>
        <w:rPr>
          <w:rFonts w:hint="default"/>
        </w:rPr>
      </w:pPr>
      <w:r>
        <w:rPr>
          <w:rFonts w:ascii="Calibri" w:hAnsi="Calibri" w:eastAsia="Calibri" w:cs="Calibri"/>
          <w:b/>
          <w:bCs/>
          <w:color w:val="1A5C38"/>
          <w:sz w:val="32"/>
          <w:szCs w:val="32"/>
        </w:rPr>
        <w:t>The Pilot Plan — April–</w:t>
      </w:r>
      <w:r>
        <w:rPr>
          <w:rFonts w:hint="default" w:cs="Calibri"/>
          <w:b/>
          <w:bCs/>
          <w:color w:val="1A5C38"/>
          <w:sz w:val="32"/>
          <w:szCs w:val="32"/>
          <w:lang w:val="en-GB"/>
        </w:rPr>
        <w:t>September</w:t>
      </w:r>
      <w:r>
        <w:rPr>
          <w:rFonts w:ascii="Calibri" w:hAnsi="Calibri" w:eastAsia="Calibri" w:cs="Calibri"/>
          <w:b/>
          <w:bCs/>
          <w:color w:val="1A5C38"/>
          <w:sz w:val="32"/>
          <w:szCs w:val="32"/>
        </w:rPr>
        <w:t xml:space="preserve"> 2026</w:t>
      </w:r>
    </w:p>
    <w:p w14:paraId="710F3390">
      <w:pPr>
        <w:numPr>
          <w:numId w:val="0"/>
        </w:numPr>
        <w:rPr>
          <w:rFonts w:hint="default"/>
        </w:rPr>
      </w:pPr>
      <w:r>
        <w:rPr>
          <w:rFonts w:hint="default"/>
        </w:rPr>
        <w:t xml:space="preserve">Before approaching funders for larger capital, Green Africa Hub will run a structured pilot to generate real evidence of demand, willingness to pay and programme impact. Phase 1 runs for six months and combines paid community workshops with the launch of the </w:t>
      </w:r>
      <w:r>
        <w:rPr>
          <w:rFonts w:hint="default"/>
          <w:lang w:val="en-GB"/>
        </w:rPr>
        <w:t>“</w:t>
      </w:r>
      <w:r>
        <w:rPr>
          <w:rFonts w:hint="default"/>
        </w:rPr>
        <w:t>From Root to Table cookbook</w:t>
      </w:r>
      <w:r>
        <w:rPr>
          <w:rFonts w:hint="default"/>
          <w:lang w:val="en-GB"/>
        </w:rPr>
        <w:t>”</w:t>
      </w:r>
      <w:r>
        <w:rPr>
          <w:rFonts w:hint="default"/>
        </w:rPr>
        <w:t>.</w:t>
      </w:r>
    </w:p>
    <w:p w14:paraId="0131F6D0">
      <w:pPr>
        <w:numPr>
          <w:numId w:val="0"/>
        </w:numPr>
        <w:rPr>
          <w:rFonts w:hint="default"/>
        </w:rPr>
      </w:pPr>
    </w:p>
    <w:p w14:paraId="7194AAE8">
      <w:pPr>
        <w:numPr>
          <w:numId w:val="0"/>
        </w:numPr>
        <w:rPr>
          <w:rFonts w:hint="default"/>
        </w:rPr>
      </w:pPr>
      <w:r>
        <w:rPr>
          <w:rFonts w:hint="default"/>
        </w:rPr>
        <w:t>Objectives</w:t>
      </w:r>
    </w:p>
    <w:p w14:paraId="7C0B950A">
      <w:pPr>
        <w:numPr>
          <w:numId w:val="0"/>
        </w:numPr>
        <w:rPr>
          <w:rFonts w:hint="default"/>
        </w:rPr>
      </w:pPr>
      <w:r>
        <w:rPr>
          <w:rFonts w:hint="default"/>
        </w:rPr>
        <w:t>– Demonstrate that African and Caribbean households and micro‑businesses will pay for culturally credible, induction‑based Smart‑Prep cooking workshops.</w:t>
      </w:r>
    </w:p>
    <w:p w14:paraId="595A0122">
      <w:pPr>
        <w:numPr>
          <w:numId w:val="0"/>
        </w:numPr>
        <w:rPr>
          <w:rFonts w:hint="default"/>
        </w:rPr>
      </w:pPr>
      <w:r>
        <w:rPr>
          <w:rFonts w:hint="default"/>
        </w:rPr>
        <w:t>– Test price points and formats for paid workshops and cookbook sales at an accessible £20 per person price point.</w:t>
      </w:r>
    </w:p>
    <w:p w14:paraId="7A28DF41">
      <w:pPr>
        <w:numPr>
          <w:numId w:val="0"/>
        </w:numPr>
        <w:rPr>
          <w:rFonts w:hint="default"/>
        </w:rPr>
      </w:pPr>
      <w:r>
        <w:rPr>
          <w:rFonts w:hint="default"/>
        </w:rPr>
        <w:t>– Quantify indicative carbon and energy savings per recipe and per household using Green Africa Hub’s Smart‑Prep methodology and carbon‑tracking framework.</w:t>
      </w:r>
    </w:p>
    <w:p w14:paraId="226F41C6">
      <w:pPr>
        <w:numPr>
          <w:numId w:val="0"/>
        </w:numPr>
        <w:rPr>
          <w:rFonts w:hint="default"/>
        </w:rPr>
      </w:pPr>
      <w:r>
        <w:rPr>
          <w:rFonts w:hint="default"/>
        </w:rPr>
        <w:t>– Build a bank of testimonials, case studies and data to strengthen grant, partnership and venue applications.</w:t>
      </w:r>
    </w:p>
    <w:p w14:paraId="79AE0A0A">
      <w:pPr>
        <w:numPr>
          <w:numId w:val="0"/>
        </w:numPr>
        <w:rPr>
          <w:rFonts w:hint="default"/>
        </w:rPr>
      </w:pPr>
    </w:p>
    <w:p w14:paraId="31B55091">
      <w:pPr>
        <w:numPr>
          <w:numId w:val="0"/>
        </w:numPr>
        <w:rPr>
          <w:rFonts w:hint="default"/>
        </w:rPr>
      </w:pPr>
    </w:p>
    <w:p w14:paraId="48906DFE">
      <w:pPr>
        <w:numPr>
          <w:numId w:val="0"/>
        </w:numPr>
        <w:rPr>
          <w:rFonts w:hint="default"/>
        </w:rPr>
      </w:pPr>
      <w:r>
        <w:rPr>
          <w:rFonts w:hint="default"/>
        </w:rPr>
        <w:t>Phase 1 Activities</w:t>
      </w:r>
    </w:p>
    <w:p w14:paraId="3E0441D1">
      <w:pPr>
        <w:numPr>
          <w:numId w:val="0"/>
        </w:numPr>
        <w:rPr>
          <w:rFonts w:hint="default"/>
        </w:rPr>
      </w:pPr>
      <w:r>
        <w:rPr>
          <w:rFonts w:hint="default"/>
        </w:rPr>
        <w:t>– Paid Smart‑Prep community workshops (April–September 2026): At least 6 small‑group workshops in Bristol community kitchens, targeting 8–12 participants per session at £20 per person for a 3‑hour class. Each session focuses on Afro‑Caribbean dishes cooked on induction, with live discussion of energy use, carbon and cost savings.</w:t>
      </w:r>
    </w:p>
    <w:p w14:paraId="0CDAF849">
      <w:pPr>
        <w:numPr>
          <w:numId w:val="0"/>
        </w:numPr>
        <w:rPr>
          <w:rFonts w:hint="default"/>
        </w:rPr>
      </w:pPr>
      <w:r>
        <w:rPr>
          <w:rFonts w:hint="default"/>
        </w:rPr>
        <w:t>– Cookbook launch – From Root to Table: An initial wire‑bound print run for in‑person sessions, plus print‑on‑demand and digital (e‑book) formats made available online. The cookbook acts both as a teaching tool and a paid product.</w:t>
      </w:r>
    </w:p>
    <w:p w14:paraId="661098B4">
      <w:pPr>
        <w:numPr>
          <w:numId w:val="0"/>
        </w:numPr>
        <w:rPr>
          <w:rFonts w:hint="default"/>
        </w:rPr>
      </w:pPr>
      <w:r>
        <w:rPr>
          <w:rFonts w:hint="default"/>
        </w:rPr>
        <w:t>– Business‑focused taster session(s): At least one shorter “taster” session for Afro‑Caribbean caterers and suppliers, introducing the Smart Kitchen Hub concept, UK Net Zero 2050, Bristol’s 2030 ambition, SECR reporting for larger companies and the sustainability maturity curve that will be explored in depth in later masterclasses.</w:t>
      </w:r>
    </w:p>
    <w:p w14:paraId="746A99EE">
      <w:pPr>
        <w:numPr>
          <w:numId w:val="0"/>
        </w:numPr>
        <w:rPr>
          <w:rFonts w:hint="default"/>
        </w:rPr>
      </w:pPr>
    </w:p>
    <w:p w14:paraId="6A1A7275">
      <w:pPr>
        <w:numPr>
          <w:numId w:val="0"/>
        </w:numPr>
        <w:rPr>
          <w:rFonts w:hint="default"/>
        </w:rPr>
      </w:pPr>
    </w:p>
    <w:p w14:paraId="1966643D">
      <w:pPr>
        <w:numPr>
          <w:numId w:val="0"/>
        </w:numPr>
        <w:rPr>
          <w:rFonts w:hint="default"/>
        </w:rPr>
      </w:pPr>
      <w:r>
        <w:rPr>
          <w:rFonts w:hint="default"/>
        </w:rPr>
        <w:t>– Data collection and evaluation: Simple pre‑ and post‑session surveys, energy and CO₂ estimates for selected recipes, and follow‑up questionnaires on behaviour change and willingness to pay for further workshops, masterclasses and digital services.</w:t>
      </w:r>
    </w:p>
    <w:p w14:paraId="18109C5C">
      <w:pPr>
        <w:numPr>
          <w:numId w:val="0"/>
        </w:numPr>
        <w:rPr>
          <w:rFonts w:hint="default"/>
        </w:rPr>
      </w:pPr>
    </w:p>
    <w:p w14:paraId="0711274A">
      <w:pPr>
        <w:numPr>
          <w:numId w:val="0"/>
        </w:numPr>
        <w:rPr>
          <w:rFonts w:hint="default"/>
        </w:rPr>
      </w:pPr>
      <w:r>
        <w:rPr>
          <w:rFonts w:hint="default"/>
        </w:rPr>
        <w:t>Venues and partners</w:t>
      </w:r>
    </w:p>
    <w:p w14:paraId="5A8A53A8">
      <w:pPr>
        <w:numPr>
          <w:numId w:val="0"/>
        </w:numPr>
        <w:rPr>
          <w:rFonts w:hint="default"/>
        </w:rPr>
      </w:pPr>
      <w:r>
        <w:rPr>
          <w:rFonts w:hint="default"/>
        </w:rPr>
        <w:t>– Delivery through partner</w:t>
      </w:r>
      <w:r>
        <w:rPr>
          <w:rFonts w:hint="default"/>
          <w:lang w:val="en-GB"/>
        </w:rPr>
        <w:t>,</w:t>
      </w:r>
      <w:r>
        <w:rPr>
          <w:rFonts w:hint="default"/>
        </w:rPr>
        <w:t xml:space="preserve"> community kitchens and hubs in Bristol (e.g. Future Leap, Coexist Community Kitchen, Produce West, FoodWorks SW, BSWN‑linked venues), using induction‑equipped facilities where possible.</w:t>
      </w:r>
    </w:p>
    <w:p w14:paraId="6E19178E">
      <w:pPr>
        <w:numPr>
          <w:numId w:val="0"/>
        </w:numPr>
        <w:rPr>
          <w:rFonts w:hint="default"/>
        </w:rPr>
      </w:pPr>
    </w:p>
    <w:p w14:paraId="546F8727">
      <w:pPr>
        <w:numPr>
          <w:numId w:val="0"/>
        </w:numPr>
        <w:rPr>
          <w:rFonts w:hint="default"/>
        </w:rPr>
      </w:pPr>
      <w:r>
        <w:rPr>
          <w:rFonts w:hint="default"/>
        </w:rPr>
        <w:t>– Sessions prioritise African and Caribbean households and micro‑food businesses most exposed to fuel poverty and energy price volatility, in line with Bristol’s climate and equality objectives.</w:t>
      </w:r>
    </w:p>
    <w:p w14:paraId="51868E81">
      <w:pPr>
        <w:numPr>
          <w:numId w:val="0"/>
        </w:numPr>
        <w:rPr>
          <w:rFonts w:hint="default"/>
        </w:rPr>
      </w:pPr>
    </w:p>
    <w:p w14:paraId="01B4CDBE">
      <w:pPr>
        <w:numPr>
          <w:numId w:val="0"/>
        </w:numPr>
        <w:rPr>
          <w:rFonts w:hint="default"/>
        </w:rPr>
      </w:pPr>
    </w:p>
    <w:p w14:paraId="016A5836">
      <w:pPr>
        <w:numPr>
          <w:numId w:val="0"/>
        </w:numPr>
        <w:rPr>
          <w:rFonts w:hint="default"/>
        </w:rPr>
      </w:pPr>
      <w:r>
        <w:rPr>
          <w:rFonts w:hint="default"/>
        </w:rPr>
        <w:t>Outputs by September 2026 (targets)</w:t>
      </w:r>
    </w:p>
    <w:p w14:paraId="763E169D">
      <w:pPr>
        <w:numPr>
          <w:numId w:val="0"/>
        </w:numPr>
        <w:rPr>
          <w:rFonts w:hint="default"/>
        </w:rPr>
      </w:pPr>
      <w:r>
        <w:rPr>
          <w:rFonts w:hint="default"/>
        </w:rPr>
        <w:t>– Minimum of 6 paid workshops delivered, reaching 60–72 participants and generating an initial dataset on demand, pricing and impact.</w:t>
      </w:r>
    </w:p>
    <w:p w14:paraId="5D55645D">
      <w:pPr>
        <w:numPr>
          <w:numId w:val="0"/>
        </w:numPr>
        <w:rPr>
          <w:rFonts w:hint="default"/>
        </w:rPr>
      </w:pPr>
      <w:r>
        <w:rPr>
          <w:rFonts w:hint="default"/>
        </w:rPr>
        <w:t>– 50+ cookbooks distributed (combination of included‑with‑ticket copies and additional sales), with early online reviews and feedback.</w:t>
      </w:r>
    </w:p>
    <w:p w14:paraId="578997C5">
      <w:pPr>
        <w:numPr>
          <w:numId w:val="0"/>
        </w:numPr>
      </w:pPr>
      <w:r>
        <w:rPr>
          <w:rFonts w:hint="default"/>
        </w:rPr>
        <w:t>– A concise Pilot Evaluation Report summarising participation, feedback, indicative carbon and cost savings, and demand for ongoing services. This report will form a core appendix for grant funders, investors and venue partners.</w:t>
      </w:r>
    </w:p>
    <w:p w14:paraId="6F13F5FD">
      <w:pPr>
        <w:numPr>
          <w:numId w:val="0"/>
        </w:numPr>
      </w:pPr>
    </w:p>
    <w:p w14:paraId="78674770">
      <w:pPr>
        <w:pStyle w:val="2"/>
        <w:numPr>
          <w:ilvl w:val="0"/>
          <w:numId w:val="3"/>
        </w:numPr>
        <w:spacing w:before="360" w:after="180"/>
        <w:ind w:left="0" w:leftChars="0" w:firstLine="0" w:firstLineChars="0"/>
        <w:rPr>
          <w:rFonts w:ascii="Calibri" w:hAnsi="Calibri" w:eastAsia="Calibri" w:cs="Calibri"/>
          <w:b/>
          <w:bCs/>
          <w:color w:val="1A5C38"/>
          <w:sz w:val="32"/>
          <w:szCs w:val="32"/>
        </w:rPr>
      </w:pPr>
      <w:r>
        <w:rPr>
          <w:rFonts w:ascii="Calibri" w:hAnsi="Calibri" w:eastAsia="Calibri" w:cs="Calibri"/>
          <w:b/>
          <w:bCs/>
          <w:color w:val="1A5C38"/>
          <w:sz w:val="32"/>
          <w:szCs w:val="32"/>
        </w:rPr>
        <w:t>Revenue Model</w:t>
      </w:r>
    </w:p>
    <w:p w14:paraId="099520CD">
      <w:pPr>
        <w:numPr>
          <w:numId w:val="0"/>
        </w:numPr>
        <w:rPr>
          <w:rFonts w:hint="default"/>
        </w:rPr>
      </w:pPr>
    </w:p>
    <w:p w14:paraId="69EEDDB2">
      <w:pPr>
        <w:numPr>
          <w:numId w:val="0"/>
        </w:numPr>
        <w:rPr>
          <w:rFonts w:hint="default"/>
        </w:rPr>
      </w:pPr>
      <w:r>
        <w:rPr>
          <w:rFonts w:hint="default"/>
        </w:rPr>
        <w:t>Green Africa Hub uses a diversified, phased revenue model designed to keep entry‑level offers accessible while building higher‑value services over time. Community‑level sessions are priced affordably for African and Caribbean households, while specialist masterclasses and consulting are priced closer to professional training rates but remain far below typical big‑consultancy budgets.</w:t>
      </w:r>
    </w:p>
    <w:p w14:paraId="451DCCAC">
      <w:pPr>
        <w:numPr>
          <w:numId w:val="0"/>
        </w:numPr>
        <w:rPr>
          <w:rFonts w:hint="default"/>
        </w:rPr>
      </w:pPr>
    </w:p>
    <w:p w14:paraId="0D2483F6">
      <w:pPr>
        <w:numPr>
          <w:numId w:val="0"/>
        </w:numPr>
        <w:rPr>
          <w:rFonts w:hint="default"/>
        </w:rPr>
      </w:pPr>
      <w:r>
        <w:rPr>
          <w:rFonts w:hint="default"/>
        </w:rPr>
        <w:t>Phased revenue build‑out</w:t>
      </w:r>
    </w:p>
    <w:p w14:paraId="5F5F30FA">
      <w:pPr>
        <w:numPr>
          <w:numId w:val="0"/>
        </w:numPr>
        <w:rPr>
          <w:rFonts w:hint="default"/>
        </w:rPr>
      </w:pPr>
      <w:r>
        <w:rPr>
          <w:rFonts w:hint="default"/>
        </w:rPr>
        <w:t xml:space="preserve">– Phase 1 (Months 1–6): Paid Smart‑Prep community workshops (£20 per person), </w:t>
      </w:r>
      <w:r>
        <w:rPr>
          <w:rFonts w:hint="default"/>
          <w:lang w:val="en-GB"/>
        </w:rPr>
        <w:t>“</w:t>
      </w:r>
      <w:r>
        <w:rPr>
          <w:rFonts w:hint="default"/>
        </w:rPr>
        <w:t>From Root to Table</w:t>
      </w:r>
      <w:r>
        <w:rPr>
          <w:rFonts w:hint="default"/>
          <w:lang w:val="en-GB"/>
        </w:rPr>
        <w:t>”</w:t>
      </w:r>
      <w:r>
        <w:rPr>
          <w:rFonts w:hint="default"/>
        </w:rPr>
        <w:t xml:space="preserve"> cookbook sales (print and digital) and at least one paid taster session for Afro‑Caribbean food businesses.</w:t>
      </w:r>
    </w:p>
    <w:p w14:paraId="48FD3E49">
      <w:pPr>
        <w:numPr>
          <w:numId w:val="0"/>
        </w:numPr>
        <w:rPr>
          <w:rFonts w:hint="default"/>
        </w:rPr>
      </w:pPr>
    </w:p>
    <w:p w14:paraId="61D8E22F">
      <w:pPr>
        <w:numPr>
          <w:numId w:val="0"/>
        </w:numPr>
        <w:rPr>
          <w:rFonts w:hint="default"/>
        </w:rPr>
      </w:pPr>
      <w:r>
        <w:rPr>
          <w:rFonts w:hint="default"/>
        </w:rPr>
        <w:t>– Phase 2 (Months 7–18): Expanded workshop calendar, Smart‑Prep small‑event catering, repeat cookbook sales and menu/net‑zero consulting for African and Caribbean food SMEs.</w:t>
      </w:r>
    </w:p>
    <w:p w14:paraId="51D21A74">
      <w:pPr>
        <w:numPr>
          <w:numId w:val="0"/>
        </w:numPr>
        <w:rPr>
          <w:rFonts w:hint="default"/>
        </w:rPr>
      </w:pPr>
    </w:p>
    <w:p w14:paraId="4664B3AD">
      <w:pPr>
        <w:numPr>
          <w:numId w:val="0"/>
        </w:numPr>
        <w:rPr>
          <w:rFonts w:hint="default"/>
        </w:rPr>
      </w:pPr>
      <w:r>
        <w:rPr>
          <w:rFonts w:hint="default"/>
        </w:rPr>
        <w:t>– Phase 3 (Months 19–36): Afro‑Caribbean Smart Kitchen &amp; Supply‑Chain Masterclasses, digital learning subscriptions, kitchen memberships, licensed Smart Kitchen Hub “Spokes” in other cities and selected corporate engagements.</w:t>
      </w:r>
    </w:p>
    <w:p w14:paraId="34593E13">
      <w:pPr>
        <w:numPr>
          <w:numId w:val="0"/>
        </w:numPr>
        <w:rPr>
          <w:rFonts w:hint="default"/>
        </w:rPr>
      </w:pPr>
    </w:p>
    <w:p w14:paraId="5AEAAE11">
      <w:pPr>
        <w:numPr>
          <w:numId w:val="0"/>
        </w:numPr>
        <w:rPr>
          <w:rFonts w:hint="default"/>
        </w:rPr>
      </w:pPr>
      <w:r>
        <w:rPr>
          <w:rFonts w:hint="default"/>
        </w:rPr>
        <w:t>Pricing strategy and benchmarks</w:t>
      </w:r>
    </w:p>
    <w:p w14:paraId="7F353BA9">
      <w:pPr>
        <w:numPr>
          <w:numId w:val="0"/>
        </w:numPr>
        <w:rPr>
          <w:rFonts w:hint="default"/>
        </w:rPr>
      </w:pPr>
      <w:r>
        <w:rPr>
          <w:rFonts w:hint="default"/>
        </w:rPr>
        <w:t>– Community Smart‑Prep workshops: 3‑hour induction‑based Smart‑Prep workshops priced at £20 per person, targeting 8–12 participants per session. This sits below the typical £35–£50 per‑person range for Bristol sustainability and cookery workshops, keeping sessions accessible while remaining fully paid.</w:t>
      </w:r>
    </w:p>
    <w:p w14:paraId="7239A7B7">
      <w:pPr>
        <w:numPr>
          <w:numId w:val="0"/>
        </w:numPr>
        <w:rPr>
          <w:rFonts w:hint="default"/>
        </w:rPr>
      </w:pPr>
    </w:p>
    <w:p w14:paraId="459962A6">
      <w:pPr>
        <w:numPr>
          <w:numId w:val="0"/>
        </w:numPr>
        <w:rPr>
          <w:rFonts w:hint="default"/>
        </w:rPr>
      </w:pPr>
      <w:r>
        <w:rPr>
          <w:rFonts w:hint="default"/>
        </w:rPr>
        <w:t>– Cookbook – From Root to Table: Print edition with an RRP of £16–£18 (promotional pricing around £14–£16); digital editions planned at £9.99–£12.99, aligned with common UK cookbook pricing.</w:t>
      </w:r>
    </w:p>
    <w:p w14:paraId="09D9B6D4">
      <w:pPr>
        <w:numPr>
          <w:numId w:val="0"/>
        </w:numPr>
        <w:rPr>
          <w:rFonts w:hint="default"/>
        </w:rPr>
      </w:pPr>
    </w:p>
    <w:p w14:paraId="0B4F6B8E">
      <w:pPr>
        <w:numPr>
          <w:numId w:val="0"/>
        </w:numPr>
        <w:rPr>
          <w:rFonts w:hint="default"/>
        </w:rPr>
      </w:pPr>
      <w:r>
        <w:rPr>
          <w:rFonts w:hint="default"/>
        </w:rPr>
        <w:t>– Business masterclasses for Afro‑Caribbean food SMEs: Afro‑Caribbean Smart Kitchen &amp; Supply‑Chain Masterclass priced between £65 and £120 per participant for 4‑hour sessions, depending on venue and group size, below typical £100–£200+ professional sustainability workshop rates.</w:t>
      </w:r>
    </w:p>
    <w:p w14:paraId="01A8C5F4">
      <w:pPr>
        <w:numPr>
          <w:numId w:val="0"/>
        </w:numPr>
        <w:rPr>
          <w:rFonts w:hint="default"/>
        </w:rPr>
      </w:pPr>
    </w:p>
    <w:p w14:paraId="5278FDB3">
      <w:pPr>
        <w:numPr>
          <w:numId w:val="0"/>
        </w:numPr>
        <w:rPr>
          <w:rFonts w:hint="default"/>
        </w:rPr>
      </w:pPr>
      <w:r>
        <w:rPr>
          <w:rFonts w:hint="default"/>
        </w:rPr>
        <w:t>– Menu and net‑zero consulting (SMEs and community organisations): Targeted consulting, including menu audits, Smart‑Prep redesigns, basic carbon/energy analysis and staff training, priced from £500–£900 per engagement for smaller organisations, with scope‑based quotes for larger briefs.</w:t>
      </w:r>
    </w:p>
    <w:p w14:paraId="2604D676">
      <w:pPr>
        <w:numPr>
          <w:numId w:val="0"/>
        </w:numPr>
        <w:rPr>
          <w:rFonts w:hint="default"/>
        </w:rPr>
      </w:pPr>
    </w:p>
    <w:p w14:paraId="62BDA48C">
      <w:pPr>
        <w:numPr>
          <w:numId w:val="0"/>
        </w:numPr>
        <w:rPr>
          <w:rFonts w:hint="default"/>
        </w:rPr>
      </w:pPr>
      <w:r>
        <w:rPr>
          <w:rFonts w:hint="default"/>
        </w:rPr>
        <w:t>– Corporate masterclasses (large organisations): Tailored Afro‑Caribbean Smart Kitchen &amp; Supply‑Chain sessions for universities, councils, retailers and major employers starting at £2,500 per session, with higher fees for multi‑session or multi‑site programmes. This remains far below the £30,000–£45,000+ budgets often associated with large‑scale corporate sustainability training.</w:t>
      </w:r>
    </w:p>
    <w:p w14:paraId="4E02FEF2">
      <w:pPr>
        <w:numPr>
          <w:numId w:val="0"/>
        </w:numPr>
        <w:rPr>
          <w:rFonts w:hint="default"/>
        </w:rPr>
      </w:pPr>
    </w:p>
    <w:p w14:paraId="330CAABB">
      <w:pPr>
        <w:numPr>
          <w:numId w:val="0"/>
        </w:numPr>
        <w:rPr>
          <w:rFonts w:hint="default"/>
        </w:rPr>
      </w:pPr>
      <w:r>
        <w:rPr>
          <w:rFonts w:hint="default"/>
        </w:rPr>
        <w:t>– Digital subscriptions and kitchen memberships: Smart‑Prep digital learning subscriptions modelled at £10–£20 per month, with £50–£100 per month kitchen memberships for micro‑caterers and community partners using hub facilities and resources.</w:t>
      </w:r>
    </w:p>
    <w:p w14:paraId="4B8010CC">
      <w:pPr>
        <w:numPr>
          <w:numId w:val="0"/>
        </w:numPr>
        <w:rPr>
          <w:rFonts w:hint="default"/>
        </w:rPr>
      </w:pPr>
    </w:p>
    <w:p w14:paraId="1E99B5E8">
      <w:pPr>
        <w:numPr>
          <w:numId w:val="0"/>
        </w:numPr>
        <w:rPr>
          <w:rFonts w:hint="default"/>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4"/>
        <w:gridCol w:w="1111"/>
        <w:gridCol w:w="1111"/>
        <w:gridCol w:w="1111"/>
        <w:gridCol w:w="3951"/>
      </w:tblGrid>
      <w:tr w14:paraId="0DC2E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7E5FFCC1">
            <w:pPr>
              <w:keepNext w:val="0"/>
              <w:keepLines w:val="0"/>
              <w:widowControl/>
              <w:suppressLineNumbers w:val="0"/>
              <w:jc w:val="left"/>
              <w:rPr>
                <w:rFonts w:ascii="Arial" w:hAnsi="Arial" w:cs="Arial"/>
                <w:b/>
                <w:bCs/>
              </w:rPr>
            </w:pPr>
            <w:r>
              <w:rPr>
                <w:rFonts w:hint="default" w:ascii="Arial" w:hAnsi="Arial" w:eastAsia="SimSun" w:cs="Arial"/>
                <w:b/>
                <w:bCs/>
                <w:color w:val="1A1A1A"/>
                <w:kern w:val="0"/>
                <w:sz w:val="24"/>
                <w:szCs w:val="24"/>
                <w:bdr w:val="none" w:color="auto" w:sz="0" w:space="0"/>
                <w:lang w:val="en-US" w:eastAsia="zh-CN" w:bidi="ar"/>
              </w:rPr>
              <w:t>Revenue stream</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23746690">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Year 1 (£)</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75E64355">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Year 2 (£)</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52E648FB">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Year 3 (£)</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6F4B23DD">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Assumptions (Year 3, indicative)</w:t>
            </w:r>
          </w:p>
        </w:tc>
      </w:tr>
      <w:tr w14:paraId="06FE8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FAC75C6">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In</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person sessions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1D016E3">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4,500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6C165D0">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9,000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5DB29BE">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12,000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35FD914">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4 paid sessions/month, 10 people/session, £25 average ticket (community + some higher</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value)</w:t>
            </w:r>
          </w:p>
        </w:tc>
      </w:tr>
      <w:tr w14:paraId="6ABFB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5EB0CC8">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Digital subscriptions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7FEF597">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1,200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BE37A21">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3,600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57CE484">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5,000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2FEEFA0">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10 subs Y1, 25 subs Y2, 40+ subs Y3 at c. £12/month</w:t>
            </w:r>
          </w:p>
        </w:tc>
      </w:tr>
      <w:tr w14:paraId="435E4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CE1A2B2">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Kitchen memberships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0B20EE1">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1,500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36AB0C3">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3,000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888EFC4">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4,000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8D9A75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2 members Y1, 4 Y2, 5–6 Y3 at £75/month</w:t>
            </w:r>
          </w:p>
        </w:tc>
      </w:tr>
      <w:tr w14:paraId="7FB4C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E87F1D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Equipment commissions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ECFF711">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800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98F8CE2">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2,000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4C6077C">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3,500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899F3F6">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Growing commission as more induction and related equipment is adopted</w:t>
            </w:r>
          </w:p>
        </w:tc>
      </w:tr>
      <w:tr w14:paraId="0FC5C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57E37F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B2B events &amp; consulting</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05789AC">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3,700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1D6A1B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12,600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5AF58F1">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30,000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303DAC0">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Mix of SME masterclasses and 8–10 larger B2B engagements at £2,000–£3,000 each in Year 3</w:t>
            </w:r>
          </w:p>
        </w:tc>
      </w:tr>
      <w:tr w14:paraId="14994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DED5A38">
            <w:pPr>
              <w:keepNext w:val="0"/>
              <w:keepLines w:val="0"/>
              <w:widowControl/>
              <w:suppressLineNumbers w:val="0"/>
              <w:jc w:val="left"/>
              <w:rPr>
                <w:rFonts w:hint="default" w:ascii="Arial" w:hAnsi="Arial" w:cs="Arial"/>
              </w:rPr>
            </w:pPr>
            <w:r>
              <w:rPr>
                <w:rStyle w:val="17"/>
                <w:rFonts w:hint="default" w:ascii="Arial" w:hAnsi="Arial" w:eastAsia="SimSun" w:cs="Arial"/>
                <w:color w:val="1A1A1A"/>
                <w:kern w:val="0"/>
                <w:sz w:val="24"/>
                <w:szCs w:val="24"/>
                <w:bdr w:val="none" w:color="auto" w:sz="0" w:space="0"/>
                <w:lang w:val="en-US" w:eastAsia="zh-CN" w:bidi="ar"/>
              </w:rPr>
              <w:t>Total projected revenue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7FB8D8C">
            <w:pPr>
              <w:keepNext w:val="0"/>
              <w:keepLines w:val="0"/>
              <w:widowControl/>
              <w:suppressLineNumbers w:val="0"/>
              <w:jc w:val="left"/>
              <w:rPr>
                <w:rFonts w:hint="default" w:ascii="Arial" w:hAnsi="Arial" w:cs="Arial"/>
              </w:rPr>
            </w:pPr>
            <w:r>
              <w:rPr>
                <w:rStyle w:val="17"/>
                <w:rFonts w:hint="default" w:ascii="Arial" w:hAnsi="Arial" w:eastAsia="SimSun" w:cs="Arial"/>
                <w:color w:val="1A1A1A"/>
                <w:kern w:val="0"/>
                <w:sz w:val="24"/>
                <w:szCs w:val="24"/>
                <w:bdr w:val="none" w:color="auto" w:sz="0" w:space="0"/>
                <w:lang w:val="en-US" w:eastAsia="zh-CN" w:bidi="ar"/>
              </w:rPr>
              <w:t>£11,700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8CF9945">
            <w:pPr>
              <w:keepNext w:val="0"/>
              <w:keepLines w:val="0"/>
              <w:widowControl/>
              <w:suppressLineNumbers w:val="0"/>
              <w:jc w:val="left"/>
              <w:rPr>
                <w:rFonts w:hint="default" w:ascii="Arial" w:hAnsi="Arial" w:cs="Arial"/>
              </w:rPr>
            </w:pPr>
            <w:r>
              <w:rPr>
                <w:rStyle w:val="17"/>
                <w:rFonts w:hint="default" w:ascii="Arial" w:hAnsi="Arial" w:eastAsia="SimSun" w:cs="Arial"/>
                <w:color w:val="1A1A1A"/>
                <w:kern w:val="0"/>
                <w:sz w:val="24"/>
                <w:szCs w:val="24"/>
                <w:bdr w:val="none" w:color="auto" w:sz="0" w:space="0"/>
                <w:lang w:val="en-US" w:eastAsia="zh-CN" w:bidi="ar"/>
              </w:rPr>
              <w:t>£30,200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7F9D1FB">
            <w:pPr>
              <w:keepNext w:val="0"/>
              <w:keepLines w:val="0"/>
              <w:widowControl/>
              <w:suppressLineNumbers w:val="0"/>
              <w:jc w:val="left"/>
              <w:rPr>
                <w:rFonts w:hint="default" w:ascii="Arial" w:hAnsi="Arial" w:cs="Arial"/>
              </w:rPr>
            </w:pPr>
            <w:r>
              <w:rPr>
                <w:rStyle w:val="17"/>
                <w:rFonts w:hint="default" w:ascii="Arial" w:hAnsi="Arial" w:eastAsia="SimSun" w:cs="Arial"/>
                <w:color w:val="1A1A1A"/>
                <w:kern w:val="0"/>
                <w:sz w:val="24"/>
                <w:szCs w:val="24"/>
                <w:bdr w:val="none" w:color="auto" w:sz="0" w:space="0"/>
                <w:lang w:val="en-US" w:eastAsia="zh-CN" w:bidi="ar"/>
              </w:rPr>
              <w:t>£54,500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F6FFFB4">
            <w:pPr>
              <w:jc w:val="left"/>
              <w:rPr>
                <w:rFonts w:hint="default" w:ascii="Arial" w:hAnsi="Arial" w:cs="Arial"/>
                <w:sz w:val="24"/>
                <w:szCs w:val="24"/>
              </w:rPr>
            </w:pPr>
          </w:p>
        </w:tc>
      </w:tr>
    </w:tbl>
    <w:p w14:paraId="0513AEB9">
      <w:pPr>
        <w:numPr>
          <w:numId w:val="0"/>
        </w:numPr>
        <w:rPr>
          <w:rFonts w:hint="default"/>
        </w:rPr>
      </w:pPr>
    </w:p>
    <w:p w14:paraId="006B579C">
      <w:pPr>
        <w:numPr>
          <w:numId w:val="0"/>
        </w:numPr>
        <w:rPr>
          <w:rFonts w:hint="default"/>
        </w:rPr>
      </w:pPr>
    </w:p>
    <w:p w14:paraId="3E68247F">
      <w:pPr>
        <w:numPr>
          <w:numId w:val="0"/>
        </w:numPr>
        <w:rPr>
          <w:rFonts w:hint="default"/>
        </w:rPr>
      </w:pPr>
      <w:r>
        <w:rPr>
          <w:rFonts w:hint="default"/>
        </w:rPr>
        <w:t>Rounded for simplicity, the base‑case 36‑month financial model therefore shows revenue of approximately £11,700 in Year 1, £30,000 in Year 2 and £55,000 in Year 3, for total three‑year revenue of around £97,000. These projections underpin the Executive Summary and demonstrate that, with modest external capital and disciplined execution, Green Africa Hub can grow from a founder‑led pilot to a business generating more than £50,000 per year by the end of Year 3.</w:t>
      </w:r>
    </w:p>
    <w:p w14:paraId="38FA87F6">
      <w:pPr>
        <w:numPr>
          <w:numId w:val="0"/>
        </w:numPr>
        <w:rPr>
          <w:rFonts w:hint="default"/>
        </w:rPr>
      </w:pPr>
    </w:p>
    <w:p w14:paraId="46887E01">
      <w:pPr>
        <w:numPr>
          <w:numId w:val="0"/>
        </w:numPr>
        <w:rPr>
          <w:rFonts w:hint="default"/>
        </w:rPr>
      </w:pPr>
    </w:p>
    <w:p w14:paraId="5CE183FB">
      <w:pPr>
        <w:numPr>
          <w:numId w:val="0"/>
        </w:numPr>
        <w:rPr>
          <w:rFonts w:hint="default"/>
        </w:rPr>
      </w:pPr>
    </w:p>
    <w:p w14:paraId="3D5B3504">
      <w:pPr>
        <w:numPr>
          <w:numId w:val="0"/>
        </w:numPr>
        <w:rPr>
          <w:rFonts w:hint="default"/>
        </w:rPr>
      </w:pPr>
    </w:p>
    <w:p w14:paraId="44B3D2D8">
      <w:pPr>
        <w:numPr>
          <w:numId w:val="0"/>
        </w:numPr>
        <w:rPr>
          <w:rFonts w:hint="default"/>
        </w:rPr>
      </w:pPr>
    </w:p>
    <w:p w14:paraId="72B60E98">
      <w:pPr>
        <w:pStyle w:val="2"/>
        <w:numPr>
          <w:ilvl w:val="0"/>
          <w:numId w:val="3"/>
        </w:numPr>
        <w:spacing w:before="360" w:after="180"/>
        <w:ind w:left="0" w:leftChars="0" w:firstLine="0" w:firstLineChars="0"/>
        <w:rPr>
          <w:rFonts w:ascii="Calibri" w:hAnsi="Calibri" w:eastAsia="Calibri" w:cs="Calibri"/>
          <w:b/>
          <w:bCs/>
          <w:color w:val="1A5C38"/>
          <w:sz w:val="32"/>
          <w:szCs w:val="32"/>
        </w:rPr>
      </w:pPr>
      <w:r>
        <w:rPr>
          <w:rFonts w:ascii="Calibri" w:hAnsi="Calibri" w:eastAsia="Calibri" w:cs="Calibri"/>
          <w:b/>
          <w:bCs/>
          <w:color w:val="1A5C38"/>
          <w:sz w:val="32"/>
          <w:szCs w:val="32"/>
        </w:rPr>
        <w:t>Break-Even Analysis</w:t>
      </w:r>
    </w:p>
    <w:p w14:paraId="0AC29A1F">
      <w:pPr>
        <w:numPr>
          <w:numId w:val="0"/>
        </w:numPr>
      </w:pPr>
    </w:p>
    <w:p w14:paraId="658A425A">
      <w:pPr>
        <w:numPr>
          <w:numId w:val="0"/>
        </w:numPr>
        <w:rPr>
          <w:rFonts w:hint="default"/>
        </w:rPr>
      </w:pPr>
    </w:p>
    <w:p w14:paraId="705E00A5">
      <w:pPr>
        <w:numPr>
          <w:numId w:val="0"/>
        </w:numPr>
        <w:rPr>
          <w:rFonts w:hint="default"/>
        </w:rPr>
      </w:pPr>
    </w:p>
    <w:p w14:paraId="4E8DA464">
      <w:pPr>
        <w:numPr>
          <w:numId w:val="0"/>
        </w:numPr>
        <w:rPr>
          <w:rFonts w:hint="default"/>
        </w:rPr>
      </w:pPr>
    </w:p>
    <w:p w14:paraId="456DE935">
      <w:pPr>
        <w:numPr>
          <w:numId w:val="0"/>
        </w:numPr>
        <w:rPr>
          <w:rFonts w:hint="default"/>
        </w:rPr>
      </w:pPr>
    </w:p>
    <w:p w14:paraId="4F067BFE">
      <w:pPr>
        <w:numPr>
          <w:numId w:val="0"/>
        </w:numPr>
        <w:rPr>
          <w:rFonts w:hint="default"/>
        </w:rPr>
      </w:pPr>
      <w:r>
        <w:rPr>
          <w:rFonts w:hint="default"/>
        </w:rPr>
        <w:t>7. Break‑Even Analysis</w:t>
      </w:r>
    </w:p>
    <w:p w14:paraId="4C8B7AA5">
      <w:pPr>
        <w:numPr>
          <w:numId w:val="0"/>
        </w:numPr>
        <w:rPr>
          <w:rFonts w:hint="default"/>
        </w:rPr>
      </w:pPr>
    </w:p>
    <w:p w14:paraId="69982A29">
      <w:pPr>
        <w:numPr>
          <w:numId w:val="0"/>
        </w:numPr>
        <w:rPr>
          <w:rFonts w:hint="default"/>
        </w:rPr>
      </w:pPr>
      <w:r>
        <w:rPr>
          <w:rFonts w:hint="default"/>
        </w:rPr>
        <w:t>Green Africa Hub has been designed as a lean venture with a clear, easy‑to‑explain path to break‑even. The initial £1,500 of founder capital covers early cookbook printing, workshop ingredients, venue deposits and basic marketing, allowing the pilot to run without immediate external funding.</w:t>
      </w:r>
    </w:p>
    <w:p w14:paraId="60D99517">
      <w:pPr>
        <w:numPr>
          <w:numId w:val="0"/>
        </w:numPr>
        <w:rPr>
          <w:rFonts w:hint="default"/>
        </w:rPr>
      </w:pPr>
    </w:p>
    <w:p w14:paraId="3FACAD1A">
      <w:pPr>
        <w:numPr>
          <w:numId w:val="0"/>
        </w:numPr>
        <w:rPr>
          <w:rFonts w:hint="default"/>
        </w:rPr>
      </w:pPr>
      <w:r>
        <w:rPr>
          <w:rFonts w:hint="default"/>
        </w:rPr>
        <w:t>7.1 Cost structure and assumptions</w:t>
      </w:r>
    </w:p>
    <w:p w14:paraId="0EC1EF5C">
      <w:pPr>
        <w:numPr>
          <w:numId w:val="0"/>
        </w:numPr>
        <w:rPr>
          <w:rFonts w:hint="default"/>
        </w:rPr>
      </w:pPr>
      <w:r>
        <w:rPr>
          <w:rFonts w:hint="default"/>
        </w:rPr>
        <w:t>For break‑even purposes, the base‑case model uses the following conservative assumptions:</w:t>
      </w:r>
    </w:p>
    <w:p w14:paraId="4FF61D7D">
      <w:pPr>
        <w:numPr>
          <w:numId w:val="0"/>
        </w:numPr>
        <w:rPr>
          <w:rFonts w:hint="default"/>
        </w:rPr>
      </w:pPr>
      <w:r>
        <w:rPr>
          <w:rFonts w:hint="default"/>
        </w:rPr>
        <w:t>– Community Smart‑Prep workshops: 3‑hour sessions at £20 per person, 10 participants on average in Year 1, generating about £200 revenue per session (rising over time as some higher‑value sessions are added).</w:t>
      </w:r>
    </w:p>
    <w:p w14:paraId="6700F729">
      <w:pPr>
        <w:numPr>
          <w:numId w:val="0"/>
        </w:numPr>
        <w:rPr>
          <w:rFonts w:hint="default"/>
        </w:rPr>
      </w:pPr>
    </w:p>
    <w:p w14:paraId="23935D38">
      <w:pPr>
        <w:numPr>
          <w:numId w:val="0"/>
        </w:numPr>
        <w:rPr>
          <w:rFonts w:hint="default"/>
        </w:rPr>
      </w:pPr>
      <w:r>
        <w:rPr>
          <w:rFonts w:hint="default"/>
        </w:rPr>
        <w:t>– Venue costs: Induction‑equipped community kitchens in Bristol hired at an average of £28 per hour for a 4‑hour block (set‑up, delivery and clean‑down), giving around £112 per workshop in venue costs.</w:t>
      </w:r>
    </w:p>
    <w:p w14:paraId="762B76DC">
      <w:pPr>
        <w:numPr>
          <w:numId w:val="0"/>
        </w:numPr>
        <w:rPr>
          <w:rFonts w:hint="default"/>
        </w:rPr>
      </w:pPr>
    </w:p>
    <w:p w14:paraId="17B4898E">
      <w:pPr>
        <w:numPr>
          <w:numId w:val="0"/>
        </w:numPr>
        <w:rPr>
          <w:rFonts w:hint="default"/>
        </w:rPr>
      </w:pPr>
      <w:r>
        <w:rPr>
          <w:rFonts w:hint="default"/>
        </w:rPr>
        <w:t>– Ingredients and packaging: Approximately £5–£6 per participant for food, reusable containers and minimal disposables, equating to £55–£60 per 10‑person workshop.</w:t>
      </w:r>
    </w:p>
    <w:p w14:paraId="532F21F5">
      <w:pPr>
        <w:numPr>
          <w:numId w:val="0"/>
        </w:numPr>
        <w:rPr>
          <w:rFonts w:hint="default"/>
        </w:rPr>
      </w:pPr>
    </w:p>
    <w:p w14:paraId="317CEBDE">
      <w:pPr>
        <w:numPr>
          <w:numId w:val="0"/>
        </w:numPr>
        <w:rPr>
          <w:rFonts w:hint="default"/>
        </w:rPr>
      </w:pPr>
      <w:r>
        <w:rPr>
          <w:rFonts w:hint="default"/>
        </w:rPr>
        <w:t>– Other variable costs: A small allowance (around £10 per workshop) for cleaning materials, printouts and incidental items.</w:t>
      </w:r>
    </w:p>
    <w:p w14:paraId="5968DDDB">
      <w:pPr>
        <w:numPr>
          <w:numId w:val="0"/>
        </w:numPr>
        <w:rPr>
          <w:rFonts w:hint="default"/>
        </w:rPr>
      </w:pPr>
    </w:p>
    <w:p w14:paraId="75DBC78B">
      <w:pPr>
        <w:numPr>
          <w:numId w:val="0"/>
        </w:numPr>
        <w:rPr>
          <w:rFonts w:hint="default"/>
        </w:rPr>
      </w:pPr>
      <w:r>
        <w:rPr>
          <w:rFonts w:hint="default"/>
        </w:rPr>
        <w:t>– Fixed monthly costs: Modest founder stipend (introduced once revenue allows), insurance, basic marketing and digital tools, totalling approximately £1,200 per month in Year 1.</w:t>
      </w:r>
    </w:p>
    <w:p w14:paraId="1DC87E9B">
      <w:pPr>
        <w:numPr>
          <w:numId w:val="0"/>
        </w:numPr>
        <w:rPr>
          <w:rFonts w:hint="default"/>
        </w:rPr>
      </w:pPr>
    </w:p>
    <w:p w14:paraId="1AE08434">
      <w:pPr>
        <w:numPr>
          <w:numId w:val="0"/>
        </w:numPr>
        <w:rPr>
          <w:rFonts w:hint="default"/>
        </w:rPr>
      </w:pPr>
      <w:r>
        <w:rPr>
          <w:rFonts w:hint="default"/>
        </w:rPr>
        <w:t>On this basis, a typical Year‑1 community workshop carries direct variable costs of roughly £180–£185, leaving a modest but positive contribution that improves as group sizes increase, venue rates are negotiated, and B2B and digital income layers in.</w:t>
      </w:r>
    </w:p>
    <w:p w14:paraId="2A10E4FF">
      <w:pPr>
        <w:numPr>
          <w:numId w:val="0"/>
        </w:numPr>
        <w:rPr>
          <w:rFonts w:hint="default"/>
        </w:rPr>
      </w:pPr>
    </w:p>
    <w:p w14:paraId="7669D88E">
      <w:pPr>
        <w:numPr>
          <w:numId w:val="0"/>
        </w:numPr>
        <w:rPr>
          <w:rFonts w:hint="default"/>
        </w:rPr>
      </w:pPr>
      <w:r>
        <w:rPr>
          <w:rFonts w:hint="default"/>
        </w:rPr>
        <w:t>7.2 “Workshops‑only” illustration</w:t>
      </w:r>
    </w:p>
    <w:p w14:paraId="352394A4">
      <w:pPr>
        <w:numPr>
          <w:numId w:val="0"/>
        </w:numPr>
        <w:rPr>
          <w:rFonts w:hint="default"/>
        </w:rPr>
      </w:pPr>
      <w:r>
        <w:rPr>
          <w:rFonts w:hint="default"/>
        </w:rPr>
        <w:t>To explain the economics simply, the plan uses a workshops‑only illustration:</w:t>
      </w:r>
    </w:p>
    <w:p w14:paraId="0E2841B2">
      <w:pPr>
        <w:numPr>
          <w:numId w:val="0"/>
        </w:numPr>
        <w:rPr>
          <w:rFonts w:hint="default"/>
        </w:rPr>
      </w:pPr>
      <w:r>
        <w:rPr>
          <w:rFonts w:hint="default"/>
        </w:rPr>
        <w:t>– If Green Africa Hub earned money only from community workshops at improved average pricing and mix, each mature session would contribute around £150–£170 towards fixed costs after paying for its own venue and ingredients.</w:t>
      </w:r>
    </w:p>
    <w:p w14:paraId="459BF973">
      <w:pPr>
        <w:numPr>
          <w:numId w:val="0"/>
        </w:numPr>
        <w:rPr>
          <w:rFonts w:hint="default"/>
        </w:rPr>
      </w:pPr>
    </w:p>
    <w:p w14:paraId="6B786742">
      <w:pPr>
        <w:numPr>
          <w:numId w:val="0"/>
        </w:numPr>
        <w:rPr>
          <w:rFonts w:hint="default"/>
        </w:rPr>
      </w:pPr>
      <w:r>
        <w:rPr>
          <w:rFonts w:hint="default"/>
        </w:rPr>
        <w:t>– With fixed monthly costs of about £1,200, this implies needing roughly 7–8 such workshops in a month (7 × £170 ≈ £1,190) to cover all monthly bills and reach a basic break‑even point.</w:t>
      </w:r>
    </w:p>
    <w:p w14:paraId="407684E3">
      <w:pPr>
        <w:numPr>
          <w:numId w:val="0"/>
        </w:numPr>
        <w:rPr>
          <w:rFonts w:hint="default"/>
        </w:rPr>
      </w:pPr>
    </w:p>
    <w:p w14:paraId="1ADD4855">
      <w:pPr>
        <w:numPr>
          <w:numId w:val="0"/>
        </w:numPr>
        <w:rPr>
          <w:rFonts w:hint="default"/>
        </w:rPr>
      </w:pPr>
      <w:r>
        <w:rPr>
          <w:rFonts w:hint="default"/>
        </w:rPr>
        <w:t>This 7–8‑session figure is therefore a conservative benchmark, not a requirement for every month.</w:t>
      </w:r>
    </w:p>
    <w:p w14:paraId="0F5F30F5">
      <w:pPr>
        <w:numPr>
          <w:numId w:val="0"/>
        </w:numPr>
        <w:rPr>
          <w:rFonts w:hint="default"/>
        </w:rPr>
      </w:pPr>
    </w:p>
    <w:p w14:paraId="3021FFE3">
      <w:pPr>
        <w:numPr>
          <w:numId w:val="0"/>
        </w:numPr>
        <w:rPr>
          <w:rFonts w:hint="default"/>
        </w:rPr>
      </w:pPr>
      <w:r>
        <w:rPr>
          <w:rFonts w:hint="default"/>
        </w:rPr>
        <w:t>7.3 Blended model break‑even (actual plan)</w:t>
      </w:r>
    </w:p>
    <w:p w14:paraId="76A017EC">
      <w:pPr>
        <w:numPr>
          <w:numId w:val="0"/>
        </w:numPr>
        <w:rPr>
          <w:rFonts w:hint="default"/>
        </w:rPr>
      </w:pPr>
      <w:r>
        <w:rPr>
          <w:rFonts w:hint="default"/>
        </w:rPr>
        <w:t>In practice, Green Africa Hub does not rely on workshops alone. The real model includes:</w:t>
      </w:r>
    </w:p>
    <w:p w14:paraId="27D168D9">
      <w:pPr>
        <w:numPr>
          <w:numId w:val="0"/>
        </w:numPr>
        <w:rPr>
          <w:rFonts w:hint="default"/>
        </w:rPr>
      </w:pPr>
      <w:r>
        <w:rPr>
          <w:rFonts w:hint="default"/>
        </w:rPr>
        <w:t>– Community workshops at £20 per person</w:t>
      </w:r>
    </w:p>
    <w:p w14:paraId="3DF7C7B0">
      <w:pPr>
        <w:numPr>
          <w:numId w:val="0"/>
        </w:numPr>
        <w:rPr>
          <w:rFonts w:hint="default"/>
          <w:lang w:val="en-GB"/>
        </w:rPr>
      </w:pPr>
      <w:r>
        <w:rPr>
          <w:rFonts w:hint="default"/>
        </w:rPr>
        <w:t xml:space="preserve">– Cookbook profit from </w:t>
      </w:r>
      <w:r>
        <w:rPr>
          <w:rFonts w:hint="default"/>
          <w:lang w:val="en-GB"/>
        </w:rPr>
        <w:t>“</w:t>
      </w:r>
      <w:r>
        <w:rPr>
          <w:rFonts w:hint="default"/>
        </w:rPr>
        <w:t>From Root to Table</w:t>
      </w:r>
      <w:r>
        <w:rPr>
          <w:rFonts w:hint="default"/>
          <w:lang w:val="en-GB"/>
        </w:rPr>
        <w:t>”</w:t>
      </w:r>
    </w:p>
    <w:p w14:paraId="4D5DB120">
      <w:pPr>
        <w:numPr>
          <w:numId w:val="0"/>
        </w:numPr>
        <w:rPr>
          <w:rFonts w:hint="default"/>
        </w:rPr>
      </w:pPr>
      <w:r>
        <w:rPr>
          <w:rFonts w:hint="default"/>
        </w:rPr>
        <w:t>– Digital subscriptions and kitchen memberships</w:t>
      </w:r>
    </w:p>
    <w:p w14:paraId="375ACAF3">
      <w:pPr>
        <w:numPr>
          <w:numId w:val="0"/>
        </w:numPr>
        <w:rPr>
          <w:rFonts w:hint="default"/>
        </w:rPr>
      </w:pPr>
      <w:r>
        <w:rPr>
          <w:rFonts w:hint="default"/>
        </w:rPr>
        <w:t>– SME and corporate masterclasses</w:t>
      </w:r>
    </w:p>
    <w:p w14:paraId="001270D1">
      <w:pPr>
        <w:numPr>
          <w:numId w:val="0"/>
        </w:numPr>
        <w:rPr>
          <w:rFonts w:hint="default"/>
        </w:rPr>
      </w:pPr>
      <w:r>
        <w:rPr>
          <w:rFonts w:hint="default"/>
        </w:rPr>
        <w:t>– Menu/net‑zero consulting and equipment commissions.</w:t>
      </w:r>
    </w:p>
    <w:p w14:paraId="572230EE">
      <w:pPr>
        <w:numPr>
          <w:numId w:val="0"/>
        </w:numPr>
        <w:rPr>
          <w:rFonts w:hint="default"/>
        </w:rPr>
      </w:pPr>
    </w:p>
    <w:p w14:paraId="4AE3A82F">
      <w:pPr>
        <w:numPr>
          <w:numId w:val="0"/>
        </w:numPr>
        <w:rPr>
          <w:rFonts w:hint="default"/>
        </w:rPr>
      </w:pPr>
      <w:r>
        <w:rPr>
          <w:rFonts w:hint="default"/>
        </w:rPr>
        <w:t>When these additional income streams are included, the 36‑month financial model shows that the business reaches monthly financial break‑even around Month 5 of Year 1, with cumulative profit and cash remaining positive thereafter in the base‑case scenario. Under the same assumptions, revenue grows to approximately £11,700 in Year 1, £30,000 in Year 2 and £55,000 in Year 3, generating a cumulative surplus that supports reinvestment and justifies the targeted £50,000 of external capital.</w:t>
      </w:r>
    </w:p>
    <w:p w14:paraId="6E0537AC">
      <w:pPr>
        <w:numPr>
          <w:numId w:val="0"/>
        </w:numPr>
        <w:rPr>
          <w:rFonts w:hint="default"/>
        </w:rPr>
      </w:pPr>
    </w:p>
    <w:p w14:paraId="7D660B1F">
      <w:pPr>
        <w:numPr>
          <w:numId w:val="0"/>
        </w:numPr>
        <w:rPr>
          <w:rFonts w:hint="default"/>
        </w:rPr>
      </w:pPr>
      <w:r>
        <w:rPr>
          <w:rFonts w:hint="default"/>
        </w:rPr>
        <w:t>7.4 Sensitivity and upside</w:t>
      </w:r>
    </w:p>
    <w:p w14:paraId="47D61DDF">
      <w:pPr>
        <w:numPr>
          <w:numId w:val="0"/>
        </w:numPr>
      </w:pPr>
      <w:r>
        <w:rPr>
          <w:rFonts w:hint="default"/>
        </w:rPr>
        <w:t>The Excel model is fully parameterised: changing assumptions on ticket price, average attendance, venue rates, subscription uptake or the timing and size of B2B work immediately updates the break‑even month and three‑year outcomes. Upside scenarios — such as selling out workshops at 12 participants, securing lower community‑venue rates, selling more cookbooks, or landing additional corporate masterclasses from Year 2 onward — bring break‑even forward and increase Year‑3 surplus; downside scenarios (slower workshop ramp‑up or higher venue costs) can be managed by adjusting workshop frequency, pricing and the pace of hiring.</w:t>
      </w:r>
    </w:p>
    <w:p w14:paraId="39D365BF">
      <w:pPr>
        <w:numPr>
          <w:numId w:val="0"/>
        </w:numPr>
      </w:pPr>
    </w:p>
    <w:p w14:paraId="71BC8085">
      <w:pPr>
        <w:numPr>
          <w:numId w:val="0"/>
        </w:numPr>
      </w:pPr>
    </w:p>
    <w:p w14:paraId="58D8FD8C">
      <w:pPr>
        <w:numPr>
          <w:numId w:val="0"/>
        </w:numPr>
      </w:pPr>
    </w:p>
    <w:p w14:paraId="012D5BBD">
      <w:pPr>
        <w:numPr>
          <w:numId w:val="0"/>
        </w:numPr>
      </w:pPr>
    </w:p>
    <w:p w14:paraId="433915CE">
      <w:pPr>
        <w:numPr>
          <w:numId w:val="0"/>
        </w:numPr>
      </w:pPr>
    </w:p>
    <w:p w14:paraId="0AF06A91">
      <w:pPr>
        <w:numPr>
          <w:numId w:val="0"/>
        </w:numPr>
      </w:pPr>
    </w:p>
    <w:p w14:paraId="5B657B55">
      <w:pPr>
        <w:numPr>
          <w:numId w:val="0"/>
        </w:numPr>
      </w:pPr>
    </w:p>
    <w:p w14:paraId="039AD39B">
      <w:pPr>
        <w:numPr>
          <w:numId w:val="0"/>
        </w:numPr>
      </w:pPr>
    </w:p>
    <w:p w14:paraId="69BCF436">
      <w:pPr>
        <w:numPr>
          <w:numId w:val="0"/>
        </w:numPr>
      </w:pPr>
    </w:p>
    <w:p w14:paraId="3C242B26">
      <w:pPr>
        <w:numPr>
          <w:numId w:val="0"/>
        </w:numPr>
      </w:pPr>
    </w:p>
    <w:p w14:paraId="195CB85B">
      <w:pPr>
        <w:numPr>
          <w:numId w:val="0"/>
        </w:numPr>
      </w:pPr>
    </w:p>
    <w:p w14:paraId="43B8F673">
      <w:pPr>
        <w:numPr>
          <w:numId w:val="0"/>
        </w:numPr>
      </w:pPr>
    </w:p>
    <w:p w14:paraId="56B02926">
      <w:pPr>
        <w:numPr>
          <w:numId w:val="0"/>
        </w:numPr>
      </w:pPr>
    </w:p>
    <w:p w14:paraId="2C17C77E">
      <w:pPr>
        <w:numPr>
          <w:numId w:val="0"/>
        </w:numPr>
      </w:pPr>
    </w:p>
    <w:p w14:paraId="03E36B33">
      <w:pPr>
        <w:numPr>
          <w:numId w:val="0"/>
        </w:numPr>
      </w:pPr>
    </w:p>
    <w:p w14:paraId="7822F6AC">
      <w:pPr>
        <w:numPr>
          <w:numId w:val="0"/>
        </w:numPr>
      </w:pPr>
    </w:p>
    <w:p w14:paraId="4798F61B">
      <w:pPr>
        <w:pStyle w:val="2"/>
        <w:numPr>
          <w:ilvl w:val="0"/>
          <w:numId w:val="3"/>
        </w:numPr>
        <w:spacing w:before="360" w:after="180"/>
        <w:ind w:left="0" w:leftChars="0" w:firstLine="0" w:firstLineChars="0"/>
        <w:rPr>
          <w:rFonts w:ascii="Calibri" w:hAnsi="Calibri" w:eastAsia="Calibri" w:cs="Calibri"/>
          <w:b/>
          <w:bCs/>
          <w:color w:val="1A5C38"/>
          <w:sz w:val="32"/>
          <w:szCs w:val="32"/>
        </w:rPr>
      </w:pPr>
      <w:r>
        <w:rPr>
          <w:rFonts w:ascii="Calibri" w:hAnsi="Calibri" w:eastAsia="Calibri" w:cs="Calibri"/>
          <w:b/>
          <w:bCs/>
          <w:color w:val="1A5C38"/>
          <w:sz w:val="32"/>
          <w:szCs w:val="32"/>
        </w:rPr>
        <w:t>Market Opportunity</w:t>
      </w:r>
      <w:r>
        <w:rPr>
          <w:rFonts w:hint="default" w:cs="Calibri"/>
          <w:b/>
          <w:bCs/>
          <w:color w:val="1A5C38"/>
          <w:sz w:val="32"/>
          <w:szCs w:val="32"/>
          <w:lang w:val="en-GB"/>
        </w:rPr>
        <w:t xml:space="preserve"> and Marketing Strategy</w:t>
      </w:r>
    </w:p>
    <w:p w14:paraId="3EEA7D4F">
      <w:pPr>
        <w:numPr>
          <w:numId w:val="0"/>
        </w:numPr>
        <w:rPr>
          <w:rFonts w:hint="default"/>
        </w:rPr>
      </w:pPr>
    </w:p>
    <w:p w14:paraId="54660294">
      <w:pPr>
        <w:numPr>
          <w:numId w:val="0"/>
        </w:numPr>
        <w:rPr>
          <w:rFonts w:hint="default"/>
        </w:rPr>
      </w:pPr>
      <w:r>
        <w:rPr>
          <w:rFonts w:hint="default"/>
        </w:rPr>
        <w:t xml:space="preserve">Green Africa Hub operates at the intersection of three fast-growing UK markets: African and Caribbean food culture, domestic and community responses to the cost-of-living and fuel-poverty crises, and the accelerating shift towards net zero and ESG-driven procurement. African and Caribbean households in the UK face higher average energy bills than the national norm and are under-represented in mainstream sustainability and green-technology programmes, creating a clear opportunity for culturally grounded interventions that address energy use, carbon emissions and inclusion together rather than separately. </w:t>
      </w:r>
    </w:p>
    <w:p w14:paraId="7767DF88">
      <w:pPr>
        <w:numPr>
          <w:numId w:val="0"/>
        </w:numPr>
        <w:rPr>
          <w:rFonts w:hint="default"/>
        </w:rPr>
      </w:pPr>
    </w:p>
    <w:p w14:paraId="1F73C627">
      <w:pPr>
        <w:numPr>
          <w:numId w:val="0"/>
        </w:numPr>
        <w:rPr>
          <w:rFonts w:hint="default"/>
        </w:rPr>
      </w:pPr>
      <w:r>
        <w:rPr>
          <w:rFonts w:hint="default"/>
        </w:rPr>
        <w:t>8.1 Core markets</w:t>
      </w:r>
    </w:p>
    <w:p w14:paraId="08C4810A">
      <w:pPr>
        <w:numPr>
          <w:numId w:val="0"/>
        </w:numPr>
        <w:rPr>
          <w:rFonts w:hint="default"/>
        </w:rPr>
      </w:pPr>
    </w:p>
    <w:p w14:paraId="59C289E8">
      <w:pPr>
        <w:numPr>
          <w:numId w:val="0"/>
        </w:numPr>
        <w:rPr>
          <w:rFonts w:hint="default"/>
        </w:rPr>
      </w:pPr>
      <w:r>
        <w:rPr>
          <w:rFonts w:hint="default"/>
        </w:rPr>
        <w:t xml:space="preserve">The primary market comprises the African and Caribbean diaspora in the UK, concentrated in cities such as Bristol, Birmingham, Manchester and London, alongside a large base of informal and micro food businesses operating in catering, events and community food provision. In Bristol, Green Africa Hub benefits from an established ecosystem of Black-led community networks, food initiatives and sustainability organisations that can support demand generation, pilot delivery and partnership growth. </w:t>
      </w:r>
    </w:p>
    <w:p w14:paraId="67121983">
      <w:pPr>
        <w:numPr>
          <w:numId w:val="0"/>
        </w:numPr>
        <w:rPr>
          <w:rFonts w:hint="default"/>
        </w:rPr>
      </w:pPr>
    </w:p>
    <w:p w14:paraId="2C0A720D">
      <w:pPr>
        <w:numPr>
          <w:numId w:val="0"/>
        </w:numPr>
        <w:rPr>
          <w:rFonts w:hint="default"/>
          <w:lang w:val="en-GB"/>
        </w:rPr>
      </w:pPr>
      <w:r>
        <w:rPr>
          <w:rFonts w:hint="default"/>
        </w:rPr>
        <w:t xml:space="preserve">At the same time, demand for African and Caribbean food continues to grow in retail, hospitality and street-food sectors, while the UK’s Net Zero 2050 target and Bristol’s climate ambitions are increasing pressure on caterers, suppliers and institutions to demonstrate credible sustainability action. This creates a strong commercial and social opportunity for a venture that can help households and food businesses reduce energy use, lower carbon and maintain cultural relevance at the same time. </w:t>
      </w:r>
      <w:r>
        <w:rPr>
          <w:rFonts w:hint="default"/>
        </w:rPr>
        <w:fldChar w:fldCharType="begin"/>
      </w:r>
      <w:r>
        <w:rPr>
          <w:rFonts w:hint="default"/>
        </w:rPr>
        <w:instrText xml:space="preserve"> HYPERLINK "https://bristolclimatenature.org/news/building-a-movement-for-positive-change-on-climate-nature-and-inequality/" </w:instrText>
      </w:r>
      <w:r>
        <w:rPr>
          <w:rFonts w:hint="default"/>
        </w:rPr>
        <w:fldChar w:fldCharType="separate"/>
      </w:r>
      <w:r>
        <w:rPr>
          <w:rStyle w:val="15"/>
          <w:rFonts w:hint="default"/>
        </w:rPr>
        <w:t>https://bristolclimatenature.org/news/building-a-movement-for-positive-change-on-climate-nature-and-inequality/</w:t>
      </w:r>
      <w:r>
        <w:rPr>
          <w:rFonts w:hint="default"/>
        </w:rPr>
        <w:fldChar w:fldCharType="end"/>
      </w:r>
      <w:r>
        <w:rPr>
          <w:rFonts w:hint="default"/>
          <w:lang w:val="en-GB"/>
        </w:rPr>
        <w:t xml:space="preserve"> </w:t>
      </w:r>
    </w:p>
    <w:p w14:paraId="33CBAD5A">
      <w:pPr>
        <w:numPr>
          <w:numId w:val="0"/>
        </w:numPr>
        <w:rPr>
          <w:rFonts w:hint="default"/>
        </w:rPr>
      </w:pPr>
    </w:p>
    <w:p w14:paraId="0394202E">
      <w:pPr>
        <w:numPr>
          <w:numId w:val="0"/>
        </w:numPr>
        <w:rPr>
          <w:rFonts w:hint="default"/>
        </w:rPr>
      </w:pPr>
      <w:r>
        <w:rPr>
          <w:rFonts w:hint="default"/>
        </w:rPr>
        <w:t>8.2 Competitive landscape</w:t>
      </w:r>
    </w:p>
    <w:p w14:paraId="14522970">
      <w:pPr>
        <w:numPr>
          <w:numId w:val="0"/>
        </w:numPr>
        <w:rPr>
          <w:rFonts w:hint="default"/>
        </w:rPr>
      </w:pPr>
    </w:p>
    <w:p w14:paraId="2BF3A0BA">
      <w:pPr>
        <w:numPr>
          <w:numId w:val="0"/>
        </w:numPr>
        <w:rPr>
          <w:rFonts w:hint="default"/>
        </w:rPr>
      </w:pPr>
      <w:r>
        <w:rPr>
          <w:rFonts w:hint="default"/>
        </w:rPr>
        <w:t xml:space="preserve">A small number of organisations in Bristol provide adjacent offers in community cooking, migrant-led food experiences and low-carbon food engagement. However, these remain indirect competitors rather than direct substitutes, because they do not combine Afro-Caribbean food heritage, induction-first Smart-Prep recipe adaptation, AI-enabled dish-level carbon tracking and a structured sustainability maturity pathway for Black households and micro-caterers. </w:t>
      </w:r>
    </w:p>
    <w:p w14:paraId="2C20175D">
      <w:pPr>
        <w:numPr>
          <w:numId w:val="0"/>
        </w:numPr>
        <w:rPr>
          <w:rFonts w:hint="default"/>
        </w:rPr>
      </w:pPr>
    </w:p>
    <w:p w14:paraId="221FC3E3">
      <w:pPr>
        <w:numPr>
          <w:numId w:val="0"/>
        </w:numPr>
        <w:rPr>
          <w:rFonts w:hint="default"/>
        </w:rPr>
      </w:pPr>
      <w:r>
        <w:rPr>
          <w:rFonts w:hint="default"/>
        </w:rPr>
        <w:t xml:space="preserve">Green Africa Hub is therefore positioned as a first-mover in a specific niche rather than a copy of an established format. This differentiation is central to the Innovator Founder case and underpins the business’s positioning with funders, endorsing bodies and delivery partners. </w:t>
      </w:r>
    </w:p>
    <w:p w14:paraId="272C3FBC">
      <w:pPr>
        <w:numPr>
          <w:numId w:val="0"/>
        </w:numPr>
        <w:rPr>
          <w:rFonts w:hint="default"/>
        </w:rPr>
      </w:pPr>
    </w:p>
    <w:p w14:paraId="3153F2F9">
      <w:pPr>
        <w:numPr>
          <w:numId w:val="0"/>
        </w:numPr>
        <w:rPr>
          <w:rFonts w:hint="default"/>
        </w:rPr>
      </w:pPr>
      <w:r>
        <w:rPr>
          <w:rFonts w:hint="default"/>
        </w:rPr>
        <w:t>8.3 Marketing and go-to-market</w:t>
      </w:r>
    </w:p>
    <w:p w14:paraId="053B70B6">
      <w:pPr>
        <w:numPr>
          <w:numId w:val="0"/>
        </w:numPr>
        <w:rPr>
          <w:rFonts w:hint="default"/>
        </w:rPr>
      </w:pPr>
    </w:p>
    <w:p w14:paraId="74BFEB0A">
      <w:pPr>
        <w:numPr>
          <w:numId w:val="0"/>
        </w:numPr>
        <w:rPr>
          <w:rFonts w:hint="default"/>
        </w:rPr>
      </w:pPr>
      <w:r>
        <w:rPr>
          <w:rFonts w:hint="default"/>
        </w:rPr>
        <w:t xml:space="preserve">Green Africa Hub’s marketing approach is deliberately lean and relationship-driven, building on trusted Bristol networks in food, sustainability and Black community organising rather than expensive mass marketing. The aim is to fill Smart-Prep workshops, subscriptions and early B2B offers through trusted channels, while gradually building a recognisable Smart Kitchen Hub brand that can travel to other UK cities. </w:t>
      </w:r>
    </w:p>
    <w:p w14:paraId="7B7D0695">
      <w:pPr>
        <w:numPr>
          <w:numId w:val="0"/>
        </w:numPr>
        <w:rPr>
          <w:rFonts w:hint="default"/>
        </w:rPr>
      </w:pPr>
    </w:p>
    <w:p w14:paraId="107AC2B0">
      <w:pPr>
        <w:numPr>
          <w:numId w:val="0"/>
        </w:numPr>
        <w:rPr>
          <w:rFonts w:hint="default"/>
        </w:rPr>
      </w:pPr>
      <w:r>
        <w:rPr>
          <w:rFonts w:hint="default"/>
        </w:rPr>
        <w:t>Priority audiences are African and Caribbean households facing high energy bills, micro-caterers and community kitchens seeking practical net-zero support, and larger organisations that need culturally credible climate and food engagement. Key channels include Future Leap, Bristol Climate &amp; Nature Partnership, Black South West Network, Bristol Food Network, FoodWorks SW, Coexist Community Kitchen, direct referral, mailing lists, social media and workshop-based word of mouth. [ppl-ai-file-upload.</w:t>
      </w:r>
    </w:p>
    <w:p w14:paraId="5D5310C3">
      <w:pPr>
        <w:numPr>
          <w:numId w:val="0"/>
        </w:numPr>
        <w:rPr>
          <w:rFonts w:hint="default"/>
        </w:rPr>
      </w:pPr>
    </w:p>
    <w:p w14:paraId="361BED06">
      <w:pPr>
        <w:numPr>
          <w:numId w:val="0"/>
        </w:numPr>
        <w:rPr>
          <w:rFonts w:hint="default"/>
        </w:rPr>
      </w:pPr>
      <w:r>
        <w:rPr>
          <w:rFonts w:hint="default"/>
        </w:rPr>
        <w:t>8.4 Data sources and credibility</w:t>
      </w:r>
    </w:p>
    <w:p w14:paraId="7737CE64">
      <w:pPr>
        <w:numPr>
          <w:numId w:val="0"/>
        </w:numPr>
        <w:rPr>
          <w:rFonts w:hint="default"/>
        </w:rPr>
      </w:pPr>
    </w:p>
    <w:p w14:paraId="3B10BBCB">
      <w:pPr>
        <w:numPr>
          <w:numId w:val="0"/>
        </w:numPr>
        <w:rPr>
          <w:rFonts w:hint="default"/>
        </w:rPr>
      </w:pPr>
      <w:r>
        <w:rPr>
          <w:rFonts w:hint="default"/>
        </w:rPr>
        <w:t xml:space="preserve">The market case in this plan is based on a combination of founder research, pilot-design work, local partner evidence and publicly available policy context. The most important credibility points are: </w:t>
      </w:r>
    </w:p>
    <w:p w14:paraId="22624494">
      <w:pPr>
        <w:numPr>
          <w:numId w:val="0"/>
        </w:numPr>
        <w:rPr>
          <w:rFonts w:hint="default"/>
        </w:rPr>
      </w:pPr>
    </w:p>
    <w:p w14:paraId="74B4A77C">
      <w:pPr>
        <w:numPr>
          <w:numId w:val="0"/>
        </w:numPr>
        <w:rPr>
          <w:rFonts w:hint="default"/>
        </w:rPr>
      </w:pPr>
      <w:r>
        <w:rPr>
          <w:rFonts w:hint="default"/>
        </w:rPr>
        <w:t xml:space="preserve">-Founder research and testing: Over 18 months of pre-incorporation research, Grace Omotuase developed and tested the Smart-Prep Methodology, adapted traditional recipes for induction cooking and built an AI carbon-tracking prototype using Python, Scikit-learn and Power BI. </w:t>
      </w:r>
    </w:p>
    <w:p w14:paraId="1977F7D3">
      <w:pPr>
        <w:numPr>
          <w:numId w:val="0"/>
        </w:numPr>
        <w:rPr>
          <w:rFonts w:hint="default"/>
        </w:rPr>
      </w:pPr>
    </w:p>
    <w:p w14:paraId="4B7D2184">
      <w:pPr>
        <w:numPr>
          <w:numId w:val="0"/>
        </w:numPr>
        <w:rPr>
          <w:rFonts w:hint="default"/>
        </w:rPr>
      </w:pPr>
      <w:r>
        <w:rPr>
          <w:rFonts w:hint="default"/>
        </w:rPr>
        <w:t>- Institutional validation: The business plan has been updated following advisor review linked to Future Leap and WECA sustainability support, and is supported by a formal Record of Support.</w:t>
      </w:r>
    </w:p>
    <w:p w14:paraId="6C994C6C">
      <w:pPr>
        <w:numPr>
          <w:numId w:val="0"/>
        </w:numPr>
        <w:rPr>
          <w:rFonts w:hint="default"/>
        </w:rPr>
      </w:pPr>
    </w:p>
    <w:p w14:paraId="554C4784">
      <w:pPr>
        <w:numPr>
          <w:numId w:val="0"/>
        </w:numPr>
        <w:rPr>
          <w:rFonts w:hint="default"/>
        </w:rPr>
      </w:pPr>
      <w:r>
        <w:rPr>
          <w:rFonts w:hint="default"/>
        </w:rPr>
        <w:t xml:space="preserve">- Operational evidence: The six-month pilot plan includes paid workshops, cookbook launch activity, pre- and post-session surveys, carbon and energy estimates, and follow-up questionnaires to generate original primary data on demand, willingness to pay and impact. </w:t>
      </w:r>
    </w:p>
    <w:p w14:paraId="64FE88E8">
      <w:pPr>
        <w:numPr>
          <w:numId w:val="0"/>
        </w:numPr>
        <w:rPr>
          <w:rFonts w:hint="default"/>
        </w:rPr>
      </w:pPr>
    </w:p>
    <w:p w14:paraId="095B0C0E">
      <w:pPr>
        <w:numPr>
          <w:numId w:val="0"/>
        </w:numPr>
        <w:rPr>
          <w:rFonts w:hint="default"/>
        </w:rPr>
      </w:pPr>
      <w:r>
        <w:rPr>
          <w:rFonts w:hint="default"/>
        </w:rPr>
        <w:t>- Financial credibility: The plan is supported by a recalculated break-even and 5-year projection workbook with linked formulas and zero Excel errors, showing a base case of approximately £55,000 annual revenue by Year 3.</w:t>
      </w:r>
    </w:p>
    <w:p w14:paraId="665CC44A">
      <w:pPr>
        <w:numPr>
          <w:numId w:val="0"/>
        </w:numPr>
        <w:rPr>
          <w:rFonts w:hint="default"/>
          <w:lang w:val="en-GB"/>
        </w:rPr>
      </w:pPr>
      <w:r>
        <w:rPr>
          <w:rFonts w:hint="default"/>
        </w:rPr>
        <w:t>- Policy credibility:</w:t>
      </w:r>
      <w:r>
        <w:rPr>
          <w:rFonts w:hint="default"/>
          <w:lang w:val="en-GB"/>
        </w:rPr>
        <w:t xml:space="preserve"> </w:t>
      </w:r>
      <w:r>
        <w:rPr>
          <w:rFonts w:hint="default"/>
        </w:rPr>
        <w:t xml:space="preserve">The proposition is aligned with the UK’s legally binding Net Zero 2050 target and Bristol’s community-led climate and inequality agenda, strengthening the relevance of the offer to funders and public-interest partners. </w:t>
      </w:r>
      <w:r>
        <w:rPr>
          <w:rFonts w:hint="default"/>
        </w:rPr>
        <w:fldChar w:fldCharType="begin"/>
      </w:r>
      <w:r>
        <w:rPr>
          <w:rFonts w:hint="default"/>
        </w:rPr>
        <w:instrText xml:space="preserve"> HYPERLINK "https://www.gov.uk/government/publications/net-zero-strategy/1-why-net-zero" </w:instrText>
      </w:r>
      <w:r>
        <w:rPr>
          <w:rFonts w:hint="default"/>
        </w:rPr>
        <w:fldChar w:fldCharType="separate"/>
      </w:r>
      <w:r>
        <w:rPr>
          <w:rStyle w:val="15"/>
          <w:rFonts w:hint="default"/>
        </w:rPr>
        <w:t>https://www.gov.uk/government/publications/net-zero-strategy/1-why-net-zero</w:t>
      </w:r>
      <w:r>
        <w:rPr>
          <w:rFonts w:hint="default"/>
        </w:rPr>
        <w:fldChar w:fldCharType="end"/>
      </w:r>
      <w:r>
        <w:rPr>
          <w:rFonts w:hint="default"/>
          <w:lang w:val="en-GB"/>
        </w:rPr>
        <w:t xml:space="preserve"> </w:t>
      </w:r>
    </w:p>
    <w:p w14:paraId="153184CB">
      <w:pPr>
        <w:numPr>
          <w:numId w:val="0"/>
        </w:numPr>
        <w:rPr>
          <w:rFonts w:hint="default"/>
        </w:rPr>
      </w:pPr>
    </w:p>
    <w:p w14:paraId="4E4EAA71">
      <w:pPr>
        <w:pStyle w:val="16"/>
        <w:keepNext w:val="0"/>
        <w:keepLines w:val="0"/>
        <w:widowControl/>
        <w:suppressLineNumbers w:val="0"/>
        <w:spacing w:before="0" w:beforeAutospacing="1" w:after="0" w:afterAutospacing="1"/>
        <w:ind w:left="0" w:right="0"/>
        <w:rPr>
          <w:rStyle w:val="17"/>
        </w:rPr>
      </w:pPr>
      <w:r>
        <w:rPr>
          <w:rStyle w:val="17"/>
        </w:rPr>
        <w:t>Competitive position</w:t>
      </w:r>
    </w:p>
    <w:p w14:paraId="59078274">
      <w:pPr>
        <w:pStyle w:val="16"/>
        <w:keepNext w:val="0"/>
        <w:keepLines w:val="0"/>
        <w:widowControl/>
        <w:suppressLineNumbers w:val="0"/>
        <w:spacing w:before="0" w:beforeAutospacing="1" w:after="0" w:afterAutospacing="1"/>
        <w:ind w:left="0" w:right="0"/>
        <w:rPr>
          <w:rFonts w:hint="default"/>
          <w:lang w:val="en-GB"/>
        </w:rPr>
      </w:pPr>
      <w:r>
        <w:t>Taken together, these initiatives demonstrate demand for community cookery, migrant</w:t>
      </w:r>
      <w:r>
        <w:noBreakHyphen/>
      </w:r>
      <w:r>
        <w:t>led food storytelling and low</w:t>
      </w:r>
      <w:r>
        <w:noBreakHyphen/>
      </w:r>
      <w:r>
        <w:t>carbon home</w:t>
      </w:r>
      <w:r>
        <w:noBreakHyphen/>
      </w:r>
      <w:r>
        <w:t>energy support, but they remain indirect competitors rather than direct substitutes. Green Africa Hub is currently the only organisation in the UK combining Afro</w:t>
      </w:r>
      <w:r>
        <w:noBreakHyphen/>
      </w:r>
      <w:r>
        <w:t>Caribbean food heritage, a tested induction</w:t>
      </w:r>
      <w:r>
        <w:noBreakHyphen/>
      </w:r>
      <w:r>
        <w:t>first Smart</w:t>
      </w:r>
      <w:r>
        <w:noBreakHyphen/>
      </w:r>
      <w:r>
        <w:t>Prep recipe library, AI</w:t>
      </w:r>
      <w:r>
        <w:noBreakHyphen/>
      </w:r>
      <w:r>
        <w:t>enabled dish</w:t>
      </w:r>
      <w:r>
        <w:noBreakHyphen/>
      </w:r>
      <w:r>
        <w:t>level carbon tracking, and a structured kitchen sustainability maturity ladder specifically designed for Black households and micro</w:t>
      </w:r>
      <w:r>
        <w:noBreakHyphen/>
      </w:r>
      <w:r>
        <w:t>food businesses.instagram</w:t>
      </w:r>
      <w:r>
        <w:rPr>
          <w:rFonts w:hint="default"/>
          <w:lang w:val="en-GB"/>
        </w:rPr>
        <w:t>.</w:t>
      </w:r>
    </w:p>
    <w:tbl>
      <w:tblPr>
        <w:tblW w:w="51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254"/>
        <w:gridCol w:w="1032"/>
        <w:gridCol w:w="1656"/>
        <w:gridCol w:w="1776"/>
        <w:gridCol w:w="3864"/>
      </w:tblGrid>
      <w:tr w14:paraId="3CCEC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654"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65C268A3">
            <w:pPr>
              <w:keepNext w:val="0"/>
              <w:keepLines w:val="0"/>
              <w:widowControl/>
              <w:suppressLineNumbers w:val="0"/>
              <w:jc w:val="left"/>
              <w:rPr>
                <w:rFonts w:ascii="Arial" w:hAnsi="Arial" w:cs="Arial"/>
                <w:b/>
                <w:bCs/>
              </w:rPr>
            </w:pPr>
            <w:r>
              <w:rPr>
                <w:rFonts w:hint="default" w:ascii="Arial" w:hAnsi="Arial" w:eastAsia="SimSun" w:cs="Arial"/>
                <w:b/>
                <w:bCs/>
                <w:color w:val="1A1A1A"/>
                <w:kern w:val="0"/>
                <w:sz w:val="24"/>
                <w:szCs w:val="24"/>
                <w:bdr w:val="none" w:color="auto" w:sz="0" w:space="0"/>
                <w:lang w:val="en-US" w:eastAsia="zh-CN" w:bidi="ar"/>
              </w:rPr>
              <w:t>Organisation / offer</w:t>
            </w:r>
          </w:p>
        </w:tc>
        <w:tc>
          <w:tcPr>
            <w:tcW w:w="538"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5F14451D">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Location</w:t>
            </w:r>
          </w:p>
        </w:tc>
        <w:tc>
          <w:tcPr>
            <w:tcW w:w="864"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4ED5CFB8">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What they do</w:t>
            </w:r>
          </w:p>
        </w:tc>
        <w:tc>
          <w:tcPr>
            <w:tcW w:w="926"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4BACDEB1">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Overlap with Green Africa Hub</w:t>
            </w:r>
          </w:p>
        </w:tc>
        <w:tc>
          <w:tcPr>
            <w:tcW w:w="2016"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867A669">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Key difference</w:t>
            </w:r>
          </w:p>
        </w:tc>
      </w:tr>
      <w:tr w14:paraId="4547B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5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E683A33">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Low Carbon Community Fayre (SEE Project)</w:t>
            </w:r>
          </w:p>
        </w:tc>
        <w:tc>
          <w:tcPr>
            <w:tcW w:w="538"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5669F7A">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Easton, Bristol</w:t>
            </w:r>
          </w:p>
        </w:tc>
        <w:tc>
          <w:tcPr>
            <w:tcW w:w="86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E8A287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Community low</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carbon fayre with cooking demos, smart</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energy behaviour change, and an Electricity Bill Clinic using simple devices to track and optimise household electricity use.</w:t>
            </w:r>
          </w:p>
        </w:tc>
        <w:tc>
          <w:tcPr>
            <w:tcW w:w="92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7FAA8C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Low</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carbon cooking, community engagement, behaviour change and basic home energy tracking.</w:t>
            </w:r>
          </w:p>
        </w:tc>
        <w:tc>
          <w:tcPr>
            <w:tcW w:w="201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83560BB">
            <w:pPr>
              <w:spacing w:before="80" w:after="80"/>
              <w:jc w:val="both"/>
              <w:rPr>
                <w:rFonts w:hint="default" w:ascii="Calibri" w:hAnsi="Calibri" w:eastAsia="Calibri" w:cs="Calibri"/>
                <w:color w:val="1A1A1A"/>
                <w:sz w:val="22"/>
                <w:szCs w:val="22"/>
                <w:lang w:val="en-GB"/>
              </w:rPr>
            </w:pPr>
            <w:r>
              <w:rPr>
                <w:rFonts w:hint="default" w:ascii="Arial" w:hAnsi="Arial" w:eastAsia="SimSun" w:cs="Arial"/>
                <w:color w:val="1A1A1A"/>
                <w:kern w:val="0"/>
                <w:sz w:val="24"/>
                <w:szCs w:val="24"/>
                <w:bdr w:val="none" w:color="auto" w:sz="0" w:space="0"/>
                <w:lang w:val="en-US" w:eastAsia="zh-CN" w:bidi="ar"/>
              </w:rPr>
              <w:t>Not Afro</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Caribbean</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led, focused on whole</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home energy not kitchens, time</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limited research project not a food</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culture social enterprise with a recipe library and AI dish</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level carbon tracker.</w:t>
            </w:r>
            <w:r>
              <w:rPr>
                <w:rFonts w:hint="default" w:ascii="Calibri" w:hAnsi="Calibri" w:eastAsia="Calibri" w:cs="Calibri"/>
                <w:color w:val="1A1A1A"/>
                <w:sz w:val="22"/>
                <w:szCs w:val="22"/>
              </w:rPr>
              <w:fldChar w:fldCharType="begin"/>
            </w:r>
            <w:r>
              <w:rPr>
                <w:rFonts w:hint="default" w:ascii="Calibri" w:hAnsi="Calibri" w:eastAsia="Calibri" w:cs="Calibri"/>
                <w:color w:val="1A1A1A"/>
                <w:sz w:val="22"/>
                <w:szCs w:val="22"/>
              </w:rPr>
              <w:instrText xml:space="preserve"> HYPERLINK "https://www.aesc-hkbu.org/post/bristol-uk-low-carbon-community-fayre-easton" </w:instrText>
            </w:r>
            <w:r>
              <w:rPr>
                <w:rFonts w:hint="default" w:ascii="Calibri" w:hAnsi="Calibri" w:eastAsia="Calibri" w:cs="Calibri"/>
                <w:color w:val="1A1A1A"/>
                <w:sz w:val="22"/>
                <w:szCs w:val="22"/>
              </w:rPr>
              <w:fldChar w:fldCharType="separate"/>
            </w:r>
            <w:r>
              <w:rPr>
                <w:rStyle w:val="15"/>
                <w:rFonts w:hint="default" w:ascii="Calibri" w:hAnsi="Calibri" w:eastAsia="Calibri" w:cs="Calibri"/>
                <w:sz w:val="22"/>
                <w:szCs w:val="22"/>
              </w:rPr>
              <w:t>https://www.aesc-hkbu.org/post/bristol-uk-low-carbon-community-fayre-easton</w:t>
            </w:r>
            <w:r>
              <w:rPr>
                <w:rFonts w:hint="default" w:ascii="Calibri" w:hAnsi="Calibri" w:eastAsia="Calibri" w:cs="Calibri"/>
                <w:color w:val="1A1A1A"/>
                <w:sz w:val="22"/>
                <w:szCs w:val="22"/>
              </w:rPr>
              <w:fldChar w:fldCharType="end"/>
            </w:r>
            <w:r>
              <w:rPr>
                <w:rFonts w:hint="default" w:cs="Calibri"/>
                <w:color w:val="1A1A1A"/>
                <w:sz w:val="22"/>
                <w:szCs w:val="22"/>
                <w:lang w:val="en-GB"/>
              </w:rPr>
              <w:t xml:space="preserve"> </w:t>
            </w:r>
          </w:p>
          <w:p w14:paraId="0968E781">
            <w:pPr>
              <w:spacing w:before="80" w:after="80"/>
              <w:jc w:val="both"/>
              <w:rPr>
                <w:rFonts w:ascii="Calibri" w:hAnsi="Calibri" w:eastAsia="Calibri" w:cs="Calibri"/>
                <w:color w:val="1A1A1A"/>
                <w:sz w:val="22"/>
                <w:szCs w:val="22"/>
              </w:rPr>
            </w:pPr>
          </w:p>
          <w:p w14:paraId="4728A423">
            <w:pPr>
              <w:keepNext w:val="0"/>
              <w:keepLines w:val="0"/>
              <w:widowControl/>
              <w:suppressLineNumbers w:val="0"/>
              <w:jc w:val="left"/>
              <w:rPr>
                <w:rFonts w:hint="default" w:ascii="Arial" w:hAnsi="Arial" w:cs="Arial"/>
              </w:rPr>
            </w:pPr>
          </w:p>
        </w:tc>
      </w:tr>
      <w:tr w14:paraId="211E5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5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12C41B1">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Coexist Community Kitchen</w:t>
            </w:r>
          </w:p>
        </w:tc>
        <w:tc>
          <w:tcPr>
            <w:tcW w:w="538"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83B2F91">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Easton, Bristol</w:t>
            </w:r>
          </w:p>
        </w:tc>
        <w:tc>
          <w:tcPr>
            <w:tcW w:w="86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6F1F994">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Non</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profit cookery school running community cookery, migrant</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led classes and social</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impact catering. </w:t>
            </w:r>
          </w:p>
        </w:tc>
        <w:tc>
          <w:tcPr>
            <w:tcW w:w="92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B8B3BCC">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Community cooking, inclusion, some sustainable food themes.</w:t>
            </w:r>
          </w:p>
        </w:tc>
        <w:tc>
          <w:tcPr>
            <w:tcW w:w="201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13CA03A">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Not focused on induction or carbon tracking, not specifically Afro</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Caribbean or Net Zero training. </w:t>
            </w:r>
            <w:r>
              <w:rPr>
                <w:rFonts w:hint="default" w:ascii="Arial" w:hAnsi="Arial" w:eastAsia="SimSun" w:cs="Arial"/>
                <w:color w:val="1A1A1A"/>
                <w:kern w:val="0"/>
                <w:sz w:val="24"/>
                <w:szCs w:val="24"/>
                <w:bdr w:val="none" w:color="auto" w:sz="0" w:space="0"/>
                <w:lang w:val="en-US" w:eastAsia="zh-CN" w:bidi="ar"/>
              </w:rPr>
              <w:fldChar w:fldCharType="begin"/>
            </w:r>
            <w:r>
              <w:rPr>
                <w:rFonts w:hint="default" w:ascii="Arial" w:hAnsi="Arial" w:eastAsia="SimSun" w:cs="Arial"/>
                <w:color w:val="1A1A1A"/>
                <w:kern w:val="0"/>
                <w:sz w:val="24"/>
                <w:szCs w:val="24"/>
                <w:bdr w:val="none" w:color="auto" w:sz="0" w:space="0"/>
                <w:lang w:val="en-US" w:eastAsia="zh-CN" w:bidi="ar"/>
              </w:rPr>
              <w:instrText xml:space="preserve"> HYPERLINK "https://www.coexistcommunitykitchen.org/" \t "https://www.perplexity.ai/search/_blank" </w:instrText>
            </w:r>
            <w:r>
              <w:rPr>
                <w:rFonts w:hint="default" w:ascii="Arial" w:hAnsi="Arial" w:eastAsia="SimSun" w:cs="Arial"/>
                <w:color w:val="1A1A1A"/>
                <w:kern w:val="0"/>
                <w:sz w:val="24"/>
                <w:szCs w:val="24"/>
                <w:bdr w:val="none" w:color="auto" w:sz="0" w:space="0"/>
                <w:lang w:val="en-US" w:eastAsia="zh-CN" w:bidi="ar"/>
              </w:rPr>
              <w:fldChar w:fldCharType="separate"/>
            </w:r>
            <w:r>
              <w:rPr>
                <w:rStyle w:val="15"/>
                <w:rFonts w:hint="default" w:ascii="Arial" w:hAnsi="Arial" w:eastAsia="SimSun" w:cs="Arial"/>
                <w:sz w:val="24"/>
                <w:szCs w:val="24"/>
                <w:bdr w:val="none" w:color="auto" w:sz="0" w:space="0"/>
              </w:rPr>
              <w:t>coexistcommunitykitchen</w:t>
            </w:r>
            <w:r>
              <w:rPr>
                <w:rFonts w:hint="default" w:ascii="Arial" w:hAnsi="Arial" w:eastAsia="SimSun" w:cs="Arial"/>
                <w:color w:val="1A1A1A"/>
                <w:kern w:val="0"/>
                <w:sz w:val="24"/>
                <w:szCs w:val="24"/>
                <w:bdr w:val="none" w:color="auto" w:sz="0" w:space="0"/>
                <w:lang w:val="en-US" w:eastAsia="zh-CN" w:bidi="ar"/>
              </w:rPr>
              <w:fldChar w:fldCharType="end"/>
            </w:r>
          </w:p>
        </w:tc>
      </w:tr>
      <w:tr w14:paraId="51B24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5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ECFD89C">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Migrateful (classes in Bristol venues)</w:t>
            </w:r>
          </w:p>
        </w:tc>
        <w:tc>
          <w:tcPr>
            <w:tcW w:w="538"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7BAFA7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Bristol</w:t>
            </w:r>
          </w:p>
        </w:tc>
        <w:tc>
          <w:tcPr>
            <w:tcW w:w="86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9AC4528">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Asylum</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seeker</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 and refugee</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led cookery classes celebrating global cuisines. </w:t>
            </w:r>
            <w:r>
              <w:rPr>
                <w:rFonts w:hint="default" w:ascii="Arial" w:hAnsi="Arial" w:eastAsia="SimSun" w:cs="Arial"/>
                <w:color w:val="1A1A1A"/>
                <w:kern w:val="0"/>
                <w:sz w:val="24"/>
                <w:szCs w:val="24"/>
                <w:bdr w:val="none" w:color="auto" w:sz="0" w:space="0"/>
                <w:lang w:val="en-US" w:eastAsia="zh-CN" w:bidi="ar"/>
              </w:rPr>
              <w:fldChar w:fldCharType="begin"/>
            </w:r>
            <w:r>
              <w:rPr>
                <w:rFonts w:hint="default" w:ascii="Arial" w:hAnsi="Arial" w:eastAsia="SimSun" w:cs="Arial"/>
                <w:color w:val="1A1A1A"/>
                <w:kern w:val="0"/>
                <w:sz w:val="24"/>
                <w:szCs w:val="24"/>
                <w:bdr w:val="none" w:color="auto" w:sz="0" w:space="0"/>
                <w:lang w:val="en-US" w:eastAsia="zh-CN" w:bidi="ar"/>
              </w:rPr>
              <w:instrText xml:space="preserve"> HYPERLINK "https://thebristolcable.org/calendar/events/asylum-seeker-led-cookery-class-with-migrateful-3/" \t "https://www.perplexity.ai/search/_blank" </w:instrText>
            </w:r>
            <w:r>
              <w:rPr>
                <w:rFonts w:hint="default" w:ascii="Arial" w:hAnsi="Arial" w:eastAsia="SimSun" w:cs="Arial"/>
                <w:color w:val="1A1A1A"/>
                <w:kern w:val="0"/>
                <w:sz w:val="24"/>
                <w:szCs w:val="24"/>
                <w:bdr w:val="none" w:color="auto" w:sz="0" w:space="0"/>
                <w:lang w:val="en-US" w:eastAsia="zh-CN" w:bidi="ar"/>
              </w:rPr>
              <w:fldChar w:fldCharType="separate"/>
            </w:r>
            <w:r>
              <w:rPr>
                <w:rStyle w:val="15"/>
                <w:rFonts w:hint="default" w:ascii="Arial" w:hAnsi="Arial" w:eastAsia="SimSun" w:cs="Arial"/>
                <w:sz w:val="24"/>
                <w:szCs w:val="24"/>
                <w:bdr w:val="none" w:color="auto" w:sz="0" w:space="0"/>
              </w:rPr>
              <w:t>thebristolcable</w:t>
            </w:r>
            <w:r>
              <w:rPr>
                <w:rFonts w:hint="default" w:ascii="Arial" w:hAnsi="Arial" w:eastAsia="SimSun" w:cs="Arial"/>
                <w:color w:val="1A1A1A"/>
                <w:kern w:val="0"/>
                <w:sz w:val="24"/>
                <w:szCs w:val="24"/>
                <w:bdr w:val="none" w:color="auto" w:sz="0" w:space="0"/>
                <w:lang w:val="en-US" w:eastAsia="zh-CN" w:bidi="ar"/>
              </w:rPr>
              <w:fldChar w:fldCharType="end"/>
            </w:r>
          </w:p>
        </w:tc>
        <w:tc>
          <w:tcPr>
            <w:tcW w:w="92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7CD167A">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Story</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led migrant cooking classes, cultural exchange, some food</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waste themes. </w:t>
            </w:r>
            <w:r>
              <w:rPr>
                <w:rFonts w:hint="default" w:ascii="Arial" w:hAnsi="Arial" w:eastAsia="SimSun" w:cs="Arial"/>
                <w:color w:val="1A1A1A"/>
                <w:kern w:val="0"/>
                <w:sz w:val="24"/>
                <w:szCs w:val="24"/>
                <w:bdr w:val="none" w:color="auto" w:sz="0" w:space="0"/>
                <w:lang w:val="en-US" w:eastAsia="zh-CN" w:bidi="ar"/>
              </w:rPr>
              <w:fldChar w:fldCharType="begin"/>
            </w:r>
            <w:r>
              <w:rPr>
                <w:rFonts w:hint="default" w:ascii="Arial" w:hAnsi="Arial" w:eastAsia="SimSun" w:cs="Arial"/>
                <w:color w:val="1A1A1A"/>
                <w:kern w:val="0"/>
                <w:sz w:val="24"/>
                <w:szCs w:val="24"/>
                <w:bdr w:val="none" w:color="auto" w:sz="0" w:space="0"/>
                <w:lang w:val="en-US" w:eastAsia="zh-CN" w:bidi="ar"/>
              </w:rPr>
              <w:instrText xml:space="preserve"> HYPERLINK "https://thebristolcable.org/calendar/events/asylum-seeker-led-cookery-class-with-migrateful-3/" \t "https://www.perplexity.ai/search/_blank" </w:instrText>
            </w:r>
            <w:r>
              <w:rPr>
                <w:rFonts w:hint="default" w:ascii="Arial" w:hAnsi="Arial" w:eastAsia="SimSun" w:cs="Arial"/>
                <w:color w:val="1A1A1A"/>
                <w:kern w:val="0"/>
                <w:sz w:val="24"/>
                <w:szCs w:val="24"/>
                <w:bdr w:val="none" w:color="auto" w:sz="0" w:space="0"/>
                <w:lang w:val="en-US" w:eastAsia="zh-CN" w:bidi="ar"/>
              </w:rPr>
              <w:fldChar w:fldCharType="separate"/>
            </w:r>
            <w:r>
              <w:rPr>
                <w:rStyle w:val="15"/>
                <w:rFonts w:hint="default" w:ascii="Arial" w:hAnsi="Arial" w:eastAsia="SimSun" w:cs="Arial"/>
                <w:sz w:val="24"/>
                <w:szCs w:val="24"/>
                <w:bdr w:val="none" w:color="auto" w:sz="0" w:space="0"/>
              </w:rPr>
              <w:t>thebristolcable</w:t>
            </w:r>
            <w:r>
              <w:rPr>
                <w:rFonts w:hint="default" w:ascii="Arial" w:hAnsi="Arial" w:eastAsia="SimSun" w:cs="Arial"/>
                <w:color w:val="1A1A1A"/>
                <w:kern w:val="0"/>
                <w:sz w:val="24"/>
                <w:szCs w:val="24"/>
                <w:bdr w:val="none" w:color="auto" w:sz="0" w:space="0"/>
                <w:lang w:val="en-US" w:eastAsia="zh-CN" w:bidi="ar"/>
              </w:rPr>
              <w:fldChar w:fldCharType="end"/>
            </w:r>
          </w:p>
        </w:tc>
        <w:tc>
          <w:tcPr>
            <w:tcW w:w="201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F55D892">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No structured energy/carbon element, not focused on Afro</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Caribbean induction Smart</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Prep. </w:t>
            </w:r>
            <w:r>
              <w:rPr>
                <w:rFonts w:hint="default" w:ascii="Arial" w:hAnsi="Arial" w:eastAsia="SimSun" w:cs="Arial"/>
                <w:color w:val="1A1A1A"/>
                <w:kern w:val="0"/>
                <w:sz w:val="24"/>
                <w:szCs w:val="24"/>
                <w:bdr w:val="none" w:color="auto" w:sz="0" w:space="0"/>
                <w:lang w:val="en-US" w:eastAsia="zh-CN" w:bidi="ar"/>
              </w:rPr>
              <w:fldChar w:fldCharType="begin"/>
            </w:r>
            <w:r>
              <w:rPr>
                <w:rFonts w:hint="default" w:ascii="Arial" w:hAnsi="Arial" w:eastAsia="SimSun" w:cs="Arial"/>
                <w:color w:val="1A1A1A"/>
                <w:kern w:val="0"/>
                <w:sz w:val="24"/>
                <w:szCs w:val="24"/>
                <w:bdr w:val="none" w:color="auto" w:sz="0" w:space="0"/>
                <w:lang w:val="en-US" w:eastAsia="zh-CN" w:bidi="ar"/>
              </w:rPr>
              <w:instrText xml:space="preserve"> HYPERLINK "https://thebristolcable.org/calendar/events/asylum-seeker-led-cookery-class-with-migrateful-3/" \t "https://www.perplexity.ai/search/_blank" </w:instrText>
            </w:r>
            <w:r>
              <w:rPr>
                <w:rFonts w:hint="default" w:ascii="Arial" w:hAnsi="Arial" w:eastAsia="SimSun" w:cs="Arial"/>
                <w:color w:val="1A1A1A"/>
                <w:kern w:val="0"/>
                <w:sz w:val="24"/>
                <w:szCs w:val="24"/>
                <w:bdr w:val="none" w:color="auto" w:sz="0" w:space="0"/>
                <w:lang w:val="en-US" w:eastAsia="zh-CN" w:bidi="ar"/>
              </w:rPr>
              <w:fldChar w:fldCharType="separate"/>
            </w:r>
            <w:r>
              <w:rPr>
                <w:rStyle w:val="15"/>
                <w:rFonts w:hint="default" w:ascii="Arial" w:hAnsi="Arial" w:eastAsia="SimSun" w:cs="Arial"/>
                <w:sz w:val="24"/>
                <w:szCs w:val="24"/>
                <w:bdr w:val="none" w:color="auto" w:sz="0" w:space="0"/>
              </w:rPr>
              <w:t>thebristolcable</w:t>
            </w:r>
            <w:r>
              <w:rPr>
                <w:rFonts w:hint="default" w:ascii="Arial" w:hAnsi="Arial" w:eastAsia="SimSun" w:cs="Arial"/>
                <w:color w:val="1A1A1A"/>
                <w:kern w:val="0"/>
                <w:sz w:val="24"/>
                <w:szCs w:val="24"/>
                <w:bdr w:val="none" w:color="auto" w:sz="0" w:space="0"/>
                <w:lang w:val="en-US" w:eastAsia="zh-CN" w:bidi="ar"/>
              </w:rPr>
              <w:fldChar w:fldCharType="end"/>
            </w:r>
          </w:p>
        </w:tc>
      </w:tr>
      <w:tr w14:paraId="29B54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5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6F2971D">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Caribbean cookery classes (e.g. The Caribbean Larder)</w:t>
            </w:r>
          </w:p>
        </w:tc>
        <w:tc>
          <w:tcPr>
            <w:tcW w:w="538"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DB57F81">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Bristol</w:t>
            </w:r>
          </w:p>
        </w:tc>
        <w:tc>
          <w:tcPr>
            <w:tcW w:w="86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EF460D2">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 xml:space="preserve">Caribbean cookery experiences and classes for the public. </w:t>
            </w:r>
            <w:r>
              <w:rPr>
                <w:rFonts w:hint="default" w:ascii="Arial" w:hAnsi="Arial" w:eastAsia="SimSun" w:cs="Arial"/>
                <w:color w:val="1A1A1A"/>
                <w:kern w:val="0"/>
                <w:sz w:val="24"/>
                <w:szCs w:val="24"/>
                <w:bdr w:val="none" w:color="auto" w:sz="0" w:space="0"/>
                <w:lang w:val="en-US" w:eastAsia="zh-CN" w:bidi="ar"/>
              </w:rPr>
              <w:fldChar w:fldCharType="begin"/>
            </w:r>
            <w:r>
              <w:rPr>
                <w:rFonts w:hint="default" w:ascii="Arial" w:hAnsi="Arial" w:eastAsia="SimSun" w:cs="Arial"/>
                <w:color w:val="1A1A1A"/>
                <w:kern w:val="0"/>
                <w:sz w:val="24"/>
                <w:szCs w:val="24"/>
                <w:bdr w:val="none" w:color="auto" w:sz="0" w:space="0"/>
                <w:lang w:val="en-US" w:eastAsia="zh-CN" w:bidi="ar"/>
              </w:rPr>
              <w:instrText xml:space="preserve"> HYPERLINK "https://classbento.co.uk/caribbean-cooking-class-the-caribbean-larder-bristol" \t "https://www.perplexity.ai/search/_blank" </w:instrText>
            </w:r>
            <w:r>
              <w:rPr>
                <w:rFonts w:hint="default" w:ascii="Arial" w:hAnsi="Arial" w:eastAsia="SimSun" w:cs="Arial"/>
                <w:color w:val="1A1A1A"/>
                <w:kern w:val="0"/>
                <w:sz w:val="24"/>
                <w:szCs w:val="24"/>
                <w:bdr w:val="none" w:color="auto" w:sz="0" w:space="0"/>
                <w:lang w:val="en-US" w:eastAsia="zh-CN" w:bidi="ar"/>
              </w:rPr>
              <w:fldChar w:fldCharType="separate"/>
            </w:r>
            <w:r>
              <w:rPr>
                <w:rStyle w:val="15"/>
                <w:rFonts w:hint="default" w:ascii="Arial" w:hAnsi="Arial" w:eastAsia="SimSun" w:cs="Arial"/>
                <w:sz w:val="24"/>
                <w:szCs w:val="24"/>
                <w:bdr w:val="none" w:color="auto" w:sz="0" w:space="0"/>
              </w:rPr>
              <w:t>classbento</w:t>
            </w:r>
            <w:r>
              <w:rPr>
                <w:rFonts w:hint="default" w:ascii="Arial" w:hAnsi="Arial" w:eastAsia="SimSun" w:cs="Arial"/>
                <w:color w:val="1A1A1A"/>
                <w:kern w:val="0"/>
                <w:sz w:val="24"/>
                <w:szCs w:val="24"/>
                <w:bdr w:val="none" w:color="auto" w:sz="0" w:space="0"/>
                <w:lang w:val="en-US" w:eastAsia="zh-CN" w:bidi="ar"/>
              </w:rPr>
              <w:fldChar w:fldCharType="end"/>
            </w:r>
          </w:p>
        </w:tc>
        <w:tc>
          <w:tcPr>
            <w:tcW w:w="92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857A849">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 xml:space="preserve">Caribbean food and culture, paid classes in Bristol. </w:t>
            </w:r>
            <w:r>
              <w:rPr>
                <w:rFonts w:hint="default" w:ascii="Arial" w:hAnsi="Arial" w:eastAsia="SimSun" w:cs="Arial"/>
                <w:color w:val="1A1A1A"/>
                <w:kern w:val="0"/>
                <w:sz w:val="24"/>
                <w:szCs w:val="24"/>
                <w:bdr w:val="none" w:color="auto" w:sz="0" w:space="0"/>
                <w:lang w:val="en-US" w:eastAsia="zh-CN" w:bidi="ar"/>
              </w:rPr>
              <w:fldChar w:fldCharType="begin"/>
            </w:r>
            <w:r>
              <w:rPr>
                <w:rFonts w:hint="default" w:ascii="Arial" w:hAnsi="Arial" w:eastAsia="SimSun" w:cs="Arial"/>
                <w:color w:val="1A1A1A"/>
                <w:kern w:val="0"/>
                <w:sz w:val="24"/>
                <w:szCs w:val="24"/>
                <w:bdr w:val="none" w:color="auto" w:sz="0" w:space="0"/>
                <w:lang w:val="en-US" w:eastAsia="zh-CN" w:bidi="ar"/>
              </w:rPr>
              <w:instrText xml:space="preserve"> HYPERLINK "https://classbento.co.uk/caribbean-cooking-class-the-caribbean-larder-bristol" \t "https://www.perplexity.ai/search/_blank" </w:instrText>
            </w:r>
            <w:r>
              <w:rPr>
                <w:rFonts w:hint="default" w:ascii="Arial" w:hAnsi="Arial" w:eastAsia="SimSun" w:cs="Arial"/>
                <w:color w:val="1A1A1A"/>
                <w:kern w:val="0"/>
                <w:sz w:val="24"/>
                <w:szCs w:val="24"/>
                <w:bdr w:val="none" w:color="auto" w:sz="0" w:space="0"/>
                <w:lang w:val="en-US" w:eastAsia="zh-CN" w:bidi="ar"/>
              </w:rPr>
              <w:fldChar w:fldCharType="separate"/>
            </w:r>
            <w:r>
              <w:rPr>
                <w:rStyle w:val="15"/>
                <w:rFonts w:hint="default" w:ascii="Arial" w:hAnsi="Arial" w:eastAsia="SimSun" w:cs="Arial"/>
                <w:sz w:val="24"/>
                <w:szCs w:val="24"/>
                <w:bdr w:val="none" w:color="auto" w:sz="0" w:space="0"/>
              </w:rPr>
              <w:t>classbento</w:t>
            </w:r>
            <w:r>
              <w:rPr>
                <w:rFonts w:hint="default" w:ascii="Arial" w:hAnsi="Arial" w:eastAsia="SimSun" w:cs="Arial"/>
                <w:color w:val="1A1A1A"/>
                <w:kern w:val="0"/>
                <w:sz w:val="24"/>
                <w:szCs w:val="24"/>
                <w:bdr w:val="none" w:color="auto" w:sz="0" w:space="0"/>
                <w:lang w:val="en-US" w:eastAsia="zh-CN" w:bidi="ar"/>
              </w:rPr>
              <w:fldChar w:fldCharType="end"/>
            </w:r>
          </w:p>
        </w:tc>
        <w:tc>
          <w:tcPr>
            <w:tcW w:w="201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D8323A8">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No induction focus, no carbon tracking, no Net Zero/supply</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chain maturity training. </w:t>
            </w:r>
            <w:r>
              <w:rPr>
                <w:rFonts w:hint="default" w:ascii="Arial" w:hAnsi="Arial" w:eastAsia="SimSun" w:cs="Arial"/>
                <w:color w:val="1A1A1A"/>
                <w:kern w:val="0"/>
                <w:sz w:val="24"/>
                <w:szCs w:val="24"/>
                <w:bdr w:val="none" w:color="auto" w:sz="0" w:space="0"/>
                <w:lang w:val="en-US" w:eastAsia="zh-CN" w:bidi="ar"/>
              </w:rPr>
              <w:fldChar w:fldCharType="begin"/>
            </w:r>
            <w:r>
              <w:rPr>
                <w:rFonts w:hint="default" w:ascii="Arial" w:hAnsi="Arial" w:eastAsia="SimSun" w:cs="Arial"/>
                <w:color w:val="1A1A1A"/>
                <w:kern w:val="0"/>
                <w:sz w:val="24"/>
                <w:szCs w:val="24"/>
                <w:bdr w:val="none" w:color="auto" w:sz="0" w:space="0"/>
                <w:lang w:val="en-US" w:eastAsia="zh-CN" w:bidi="ar"/>
              </w:rPr>
              <w:instrText xml:space="preserve"> HYPERLINK "https://classbento.co.uk/caribbean-cooking-class-the-caribbean-larder-bristol" \t "https://www.perplexity.ai/search/_blank" </w:instrText>
            </w:r>
            <w:r>
              <w:rPr>
                <w:rFonts w:hint="default" w:ascii="Arial" w:hAnsi="Arial" w:eastAsia="SimSun" w:cs="Arial"/>
                <w:color w:val="1A1A1A"/>
                <w:kern w:val="0"/>
                <w:sz w:val="24"/>
                <w:szCs w:val="24"/>
                <w:bdr w:val="none" w:color="auto" w:sz="0" w:space="0"/>
                <w:lang w:val="en-US" w:eastAsia="zh-CN" w:bidi="ar"/>
              </w:rPr>
              <w:fldChar w:fldCharType="separate"/>
            </w:r>
            <w:r>
              <w:rPr>
                <w:rStyle w:val="15"/>
                <w:rFonts w:hint="default" w:ascii="Arial" w:hAnsi="Arial" w:eastAsia="SimSun" w:cs="Arial"/>
                <w:sz w:val="24"/>
                <w:szCs w:val="24"/>
                <w:bdr w:val="none" w:color="auto" w:sz="0" w:space="0"/>
              </w:rPr>
              <w:t>classbento</w:t>
            </w:r>
            <w:r>
              <w:rPr>
                <w:rFonts w:hint="default" w:ascii="Arial" w:hAnsi="Arial" w:eastAsia="SimSun" w:cs="Arial"/>
                <w:color w:val="1A1A1A"/>
                <w:kern w:val="0"/>
                <w:sz w:val="24"/>
                <w:szCs w:val="24"/>
                <w:bdr w:val="none" w:color="auto" w:sz="0" w:space="0"/>
                <w:lang w:val="en-US" w:eastAsia="zh-CN" w:bidi="ar"/>
              </w:rPr>
              <w:fldChar w:fldCharType="end"/>
            </w:r>
          </w:p>
        </w:tc>
      </w:tr>
    </w:tbl>
    <w:p w14:paraId="38AA0D53">
      <w:pPr>
        <w:spacing w:before="80" w:after="80"/>
        <w:jc w:val="both"/>
        <w:rPr>
          <w:rFonts w:hint="default" w:ascii="Calibri" w:hAnsi="Calibri" w:eastAsia="Calibri" w:cs="Calibri"/>
          <w:color w:val="1A1A1A"/>
          <w:sz w:val="22"/>
          <w:szCs w:val="22"/>
        </w:rPr>
      </w:pPr>
    </w:p>
    <w:p w14:paraId="7F19E5E6">
      <w:pPr>
        <w:pStyle w:val="2"/>
        <w:spacing w:before="360" w:after="180"/>
        <w:rPr>
          <w:rFonts w:hint="default"/>
          <w:lang w:val="en-GB"/>
        </w:rPr>
      </w:pPr>
      <w:r>
        <w:rPr>
          <w:rFonts w:ascii="Calibri" w:hAnsi="Calibri" w:eastAsia="Calibri" w:cs="Calibri"/>
          <w:b/>
          <w:bCs/>
          <w:color w:val="1A5C38"/>
          <w:sz w:val="32"/>
          <w:szCs w:val="32"/>
        </w:rPr>
        <w:t>9. Operations &amp; Timeline</w:t>
      </w:r>
    </w:p>
    <w:p w14:paraId="5060D816">
      <w:pPr>
        <w:rPr>
          <w:rFonts w:hint="default"/>
          <w:lang w:val="en-GB"/>
        </w:rPr>
      </w:pPr>
      <w:r>
        <w:rPr>
          <w:rFonts w:hint="default"/>
          <w:lang w:val="en-GB"/>
        </w:rPr>
        <w:t>Green Africa Hub will grow in three phases: proving demand in Bristol, consolidating the Smart Kitchen Hub model, and then scaling through new spokes and digital delivery. The focus in Year 1 is disciplined piloting and learning; Years 2 and 3 prioritise controlled growth rather than rapid over‑expansion.</w:t>
      </w:r>
    </w:p>
    <w:p w14:paraId="4B691672">
      <w:pPr>
        <w:rPr>
          <w:rFonts w:hint="default"/>
          <w:lang w:val="en-GB"/>
        </w:rPr>
      </w:pPr>
    </w:p>
    <w:p w14:paraId="2A093978">
      <w:pPr>
        <w:rPr>
          <w:rFonts w:hint="default"/>
          <w:lang w:val="en-GB"/>
        </w:rPr>
      </w:pPr>
    </w:p>
    <w:p w14:paraId="3B7A8927">
      <w:pPr>
        <w:rPr>
          <w:rFonts w:hint="default"/>
          <w:lang w:val="en-GB"/>
        </w:rPr>
      </w:pPr>
      <w:r>
        <w:rPr>
          <w:rFonts w:hint="default"/>
          <w:lang w:val="en-GB"/>
        </w:rPr>
        <w:t>Year 1 (2026) – Pilot and Bristol launch</w:t>
      </w:r>
    </w:p>
    <w:p w14:paraId="67F8B7A1">
      <w:pPr>
        <w:rPr>
          <w:rFonts w:hint="default"/>
          <w:lang w:val="en-GB"/>
        </w:rPr>
      </w:pPr>
      <w:r>
        <w:rPr>
          <w:rFonts w:hint="default"/>
          <w:lang w:val="en-GB"/>
        </w:rPr>
        <w:t>– Q1–Q2: Run a structured three‑session community pilot (April–June 2026) using borrowed community kitchen space in Bristol, collecting data on attendance, feedback, estimated CO₂ savings per dish and willingness to pay.</w:t>
      </w:r>
    </w:p>
    <w:p w14:paraId="7EE80E60">
      <w:pPr>
        <w:rPr>
          <w:rFonts w:hint="default"/>
          <w:lang w:val="en-GB"/>
        </w:rPr>
      </w:pPr>
    </w:p>
    <w:p w14:paraId="26037F78">
      <w:pPr>
        <w:rPr>
          <w:rFonts w:hint="default"/>
          <w:lang w:val="en-GB"/>
        </w:rPr>
      </w:pPr>
      <w:r>
        <w:rPr>
          <w:rFonts w:hint="default"/>
          <w:lang w:val="en-GB"/>
        </w:rPr>
        <w:t xml:space="preserve">– Q2: Use pilot evidence (demand, testimonials, quantified energy and carbon savings) to submit grant applications to Innovate UK, UKSPF, the WECA Green Economy Fund and the National Lottery </w:t>
      </w:r>
    </w:p>
    <w:p w14:paraId="2BEEEC33">
      <w:pPr>
        <w:rPr>
          <w:rFonts w:hint="default"/>
          <w:lang w:val="en-GB"/>
        </w:rPr>
      </w:pPr>
    </w:p>
    <w:p w14:paraId="2C88F47E">
      <w:pPr>
        <w:rPr>
          <w:rFonts w:hint="default"/>
          <w:lang w:val="en-GB"/>
        </w:rPr>
      </w:pPr>
      <w:r>
        <w:rPr>
          <w:rFonts w:hint="default"/>
          <w:lang w:val="en-GB"/>
        </w:rPr>
        <w:t>– Q3: Launch the Bristol Smart Kitchen Hub in partnership with Future Leap, including regular in‑person Smart‑Prep sessions and a minimum viable digital subscription offer (pre‑recorded content and simple tools).</w:t>
      </w:r>
    </w:p>
    <w:p w14:paraId="69141F38">
      <w:pPr>
        <w:rPr>
          <w:rFonts w:hint="default"/>
          <w:lang w:val="en-GB"/>
        </w:rPr>
      </w:pPr>
    </w:p>
    <w:p w14:paraId="270AC79D">
      <w:pPr>
        <w:rPr>
          <w:rFonts w:hint="default"/>
          <w:lang w:val="en-GB"/>
        </w:rPr>
      </w:pPr>
    </w:p>
    <w:p w14:paraId="0954DBB0">
      <w:pPr>
        <w:rPr>
          <w:rFonts w:hint="default"/>
          <w:lang w:val="en-GB"/>
        </w:rPr>
      </w:pPr>
      <w:r>
        <w:rPr>
          <w:rFonts w:hint="default"/>
          <w:lang w:val="en-GB"/>
        </w:rPr>
        <w:t>– Q4: Begin an AI Carbon Tracker pilot with at least 50 households and launch the kitchen membership programme for micro‑caterers, offering access to induction equipment, storage and sustainability coaching.</w:t>
      </w:r>
    </w:p>
    <w:p w14:paraId="47A7F9F6">
      <w:pPr>
        <w:rPr>
          <w:rFonts w:hint="default"/>
          <w:lang w:val="en-GB"/>
        </w:rPr>
      </w:pPr>
    </w:p>
    <w:p w14:paraId="552D96A8">
      <w:pPr>
        <w:rPr>
          <w:rFonts w:hint="default"/>
          <w:lang w:val="en-GB"/>
        </w:rPr>
      </w:pPr>
    </w:p>
    <w:p w14:paraId="3B5AB7D4">
      <w:pPr>
        <w:rPr>
          <w:rFonts w:hint="default"/>
          <w:lang w:val="en-GB"/>
        </w:rPr>
      </w:pPr>
      <w:r>
        <w:rPr>
          <w:rFonts w:hint="default"/>
          <w:lang w:val="en-GB"/>
        </w:rPr>
        <w:t>Year 2 (2027) – Consolidation and growth</w:t>
      </w:r>
    </w:p>
    <w:p w14:paraId="6B9D1BAC">
      <w:pPr>
        <w:rPr>
          <w:rFonts w:hint="default"/>
          <w:lang w:val="en-GB"/>
        </w:rPr>
      </w:pPr>
      <w:r>
        <w:rPr>
          <w:rFonts w:hint="default"/>
          <w:lang w:val="en-GB"/>
        </w:rPr>
        <w:t>– Open the first licensed “spoke” site in Birmingham, using the Bristol Hub as the centre for recipe development, training and quality assurance.</w:t>
      </w:r>
    </w:p>
    <w:p w14:paraId="25099B86">
      <w:pPr>
        <w:rPr>
          <w:rFonts w:hint="default"/>
          <w:lang w:val="en-GB"/>
        </w:rPr>
      </w:pPr>
    </w:p>
    <w:p w14:paraId="61186B72">
      <w:pPr>
        <w:rPr>
          <w:rFonts w:hint="default"/>
          <w:lang w:val="en-GB"/>
        </w:rPr>
      </w:pPr>
    </w:p>
    <w:p w14:paraId="7271DF1C">
      <w:pPr>
        <w:rPr>
          <w:rFonts w:hint="default"/>
          <w:lang w:val="en-GB"/>
        </w:rPr>
      </w:pPr>
      <w:r>
        <w:rPr>
          <w:rFonts w:hint="default"/>
          <w:lang w:val="en-GB"/>
        </w:rPr>
        <w:t>– Scale digital subscriptions nationally, prioritising cities with significant African and Caribbean populations.</w:t>
      </w:r>
    </w:p>
    <w:p w14:paraId="3F8BA278">
      <w:pPr>
        <w:rPr>
          <w:rFonts w:hint="default"/>
          <w:lang w:val="en-GB"/>
        </w:rPr>
      </w:pPr>
    </w:p>
    <w:p w14:paraId="70D37CCE">
      <w:pPr>
        <w:rPr>
          <w:rFonts w:hint="default"/>
          <w:lang w:val="en-GB"/>
        </w:rPr>
      </w:pPr>
      <w:r>
        <w:rPr>
          <w:rFonts w:hint="default"/>
          <w:lang w:val="en-GB"/>
        </w:rPr>
        <w:t>– Grow the core team to around five staff, including additional facilitators and part‑time operations/administration support.</w:t>
      </w:r>
    </w:p>
    <w:p w14:paraId="23510624">
      <w:pPr>
        <w:rPr>
          <w:rFonts w:hint="default"/>
          <w:lang w:val="en-GB"/>
        </w:rPr>
      </w:pPr>
    </w:p>
    <w:p w14:paraId="4D666F91">
      <w:pPr>
        <w:rPr>
          <w:rFonts w:hint="default"/>
          <w:lang w:val="en-GB"/>
        </w:rPr>
      </w:pPr>
    </w:p>
    <w:p w14:paraId="699CF770">
      <w:pPr>
        <w:rPr>
          <w:rFonts w:hint="default"/>
          <w:lang w:val="en-GB"/>
        </w:rPr>
      </w:pPr>
      <w:r>
        <w:rPr>
          <w:rFonts w:hint="default"/>
          <w:lang w:val="en-GB"/>
        </w:rPr>
        <w:t>Year 3 (2028) – Scale and replication</w:t>
      </w:r>
    </w:p>
    <w:p w14:paraId="5ADF49C8">
      <w:pPr>
        <w:rPr>
          <w:rFonts w:hint="default"/>
          <w:lang w:val="en-GB"/>
        </w:rPr>
      </w:pPr>
      <w:r>
        <w:rPr>
          <w:rFonts w:hint="default"/>
          <w:lang w:val="en-GB"/>
        </w:rPr>
        <w:t>– Add a second spoke in Manchester, further testing the hub‑and‑spoke model beyond the South West.</w:t>
      </w:r>
    </w:p>
    <w:p w14:paraId="7EB7CC95">
      <w:pPr>
        <w:rPr>
          <w:rFonts w:hint="default"/>
          <w:lang w:val="en-GB"/>
        </w:rPr>
      </w:pPr>
    </w:p>
    <w:p w14:paraId="7CC62A39">
      <w:pPr>
        <w:rPr>
          <w:rFonts w:hint="default"/>
          <w:lang w:val="en-GB"/>
        </w:rPr>
      </w:pPr>
    </w:p>
    <w:p w14:paraId="75FB3732">
      <w:pPr>
        <w:rPr>
          <w:rFonts w:hint="default"/>
          <w:lang w:val="en-GB"/>
        </w:rPr>
      </w:pPr>
      <w:r>
        <w:rPr>
          <w:rFonts w:hint="default"/>
          <w:lang w:val="en-GB"/>
        </w:rPr>
        <w:t>– Begin offering the AI carbon tracker as a lightweight SaaS or licence product for other community kitchens, caterers and institutions that want dish‑level carbon insights.</w:t>
      </w:r>
    </w:p>
    <w:p w14:paraId="36C8D9D8">
      <w:pPr>
        <w:rPr>
          <w:rFonts w:hint="default"/>
          <w:lang w:val="en-GB"/>
        </w:rPr>
      </w:pPr>
    </w:p>
    <w:p w14:paraId="415DC391">
      <w:pPr>
        <w:rPr>
          <w:rFonts w:hint="default"/>
          <w:lang w:val="en-GB"/>
        </w:rPr>
      </w:pPr>
    </w:p>
    <w:p w14:paraId="32343E3A">
      <w:pPr>
        <w:rPr>
          <w:rFonts w:hint="default"/>
          <w:lang w:val="en-GB"/>
        </w:rPr>
      </w:pPr>
      <w:r>
        <w:rPr>
          <w:rFonts w:hint="default"/>
          <w:lang w:val="en-GB"/>
        </w:rPr>
        <w:t>– Grow to around 6–8 staff to support hub operations, digital content and B2B work, targeting approximately £55,000 in annual revenue in the base‑case model, with further upside as additional spokes and licences are added.</w:t>
      </w:r>
    </w:p>
    <w:p w14:paraId="5D73A56E">
      <w:pPr>
        <w:rPr>
          <w:rFonts w:hint="default"/>
          <w:lang w:val="en-GB"/>
        </w:rPr>
      </w:pPr>
    </w:p>
    <w:p w14:paraId="3E307683">
      <w:pPr>
        <w:rPr>
          <w:rFonts w:hint="default"/>
          <w:lang w:val="en-GB"/>
        </w:rPr>
      </w:pPr>
    </w:p>
    <w:p w14:paraId="60A7C62F">
      <w:pPr>
        <w:rPr>
          <w:rFonts w:hint="default"/>
          <w:lang w:val="en-GB"/>
        </w:rPr>
      </w:pPr>
    </w:p>
    <w:p w14:paraId="4ACCCD7B">
      <w:pPr>
        <w:rPr>
          <w:rFonts w:hint="default"/>
        </w:rPr>
      </w:pPr>
    </w:p>
    <w:p w14:paraId="0C786E1C">
      <w:pPr>
        <w:pStyle w:val="2"/>
        <w:spacing w:before="360" w:after="180"/>
        <w:rPr>
          <w:rFonts w:hint="default"/>
        </w:rPr>
      </w:pPr>
      <w:r>
        <w:rPr>
          <w:rFonts w:ascii="Calibri" w:hAnsi="Calibri" w:eastAsia="Calibri" w:cs="Calibri"/>
          <w:b/>
          <w:bCs/>
          <w:color w:val="1A5C38"/>
          <w:sz w:val="32"/>
          <w:szCs w:val="32"/>
        </w:rPr>
        <w:t>10. Funding Strategy</w:t>
      </w:r>
    </w:p>
    <w:p w14:paraId="2929CE1F">
      <w:pPr>
        <w:rPr>
          <w:rFonts w:hint="default"/>
        </w:rPr>
      </w:pPr>
      <w:r>
        <w:rPr>
          <w:rFonts w:hint="default"/>
        </w:rPr>
        <w:t xml:space="preserve">10. Funding Strategy  </w:t>
      </w:r>
    </w:p>
    <w:p w14:paraId="6F01D7DC">
      <w:pPr>
        <w:rPr>
          <w:rFonts w:hint="default"/>
        </w:rPr>
      </w:pPr>
    </w:p>
    <w:p w14:paraId="67EC201F">
      <w:pPr>
        <w:rPr>
          <w:rFonts w:hint="default"/>
        </w:rPr>
      </w:pPr>
      <w:r>
        <w:rPr>
          <w:rFonts w:hint="default"/>
        </w:rPr>
        <w:t xml:space="preserve">Green Africa Hub is intentionally being developed as a lean, bootstrapped venture during its first phase. The business has been capitalised with £1,500 of founder funds, which covers initial cookbook printing, pilot workshop delivery, basic marketing and contingencies, and is sufficient to deliver the six‑month paid pilot and generate the first tranche of evidence. </w:t>
      </w:r>
    </w:p>
    <w:p w14:paraId="073F9750">
      <w:pPr>
        <w:rPr>
          <w:rFonts w:hint="default"/>
        </w:rPr>
      </w:pPr>
    </w:p>
    <w:p w14:paraId="37CD8DB3">
      <w:pPr>
        <w:rPr>
          <w:rFonts w:hint="default"/>
        </w:rPr>
      </w:pPr>
      <w:r>
        <w:rPr>
          <w:rFonts w:hint="default"/>
        </w:rPr>
        <w:t xml:space="preserve"> The refreshed 3‑year financial model shows that, under conservative assumptions, Green Africa Hub generates approximately £11,700 of revenue in Year 1, £30,000 in Year 2 and £55,000 in Year 3, for total three‑year revenue of around £97,000.  Over the same period the model delivers a growing surplus, with financial break‑even reached around Month 5 of Year 1 and cumulative profit remaining positive thereafter in the base‑case scenario.  A linked 5‑year projection illustrates onward scaling beyond Bristol, with revenue continuing to grow as additional spokes, subscriptions and B2B contracts are added. </w:t>
      </w:r>
    </w:p>
    <w:p w14:paraId="4A525C2A">
      <w:pPr>
        <w:rPr>
          <w:rFonts w:hint="default"/>
        </w:rPr>
      </w:pPr>
      <w:r>
        <w:rPr>
          <w:rFonts w:hint="default"/>
        </w:rPr>
        <w:t xml:space="preserve">  </w:t>
      </w:r>
    </w:p>
    <w:p w14:paraId="3963A956">
      <w:pPr>
        <w:rPr>
          <w:rFonts w:hint="default"/>
        </w:rPr>
      </w:pPr>
      <w:r>
        <w:rPr>
          <w:rFonts w:hint="default"/>
        </w:rPr>
        <w:t xml:space="preserve">To move from pilot to sustainable scaling, the business is seeking approximately £50,000 of external capital in 2026 (via grants, impact investment or a blended package). These funds will be used to purchase induction equipment, secure and fit out hub access in Bristol, support early staff capacity and provide working capital for marketing, digital content and the AI carbon‑tracking platform, enabling the business to reach the projected scale by the end of Year 3. </w:t>
      </w:r>
    </w:p>
    <w:p w14:paraId="61EA95F5">
      <w:pPr>
        <w:rPr>
          <w:rFonts w:hint="default"/>
        </w:rPr>
      </w:pPr>
    </w:p>
    <w:p w14:paraId="2E7B2A95">
      <w:pPr>
        <w:rPr>
          <w:rFonts w:hint="default"/>
        </w:rPr>
      </w:pPr>
      <w:r>
        <w:rPr>
          <w:rFonts w:hint="default"/>
        </w:rPr>
        <w:t xml:space="preserve">  </w:t>
      </w:r>
    </w:p>
    <w:p w14:paraId="56589A99">
      <w:pPr>
        <w:rPr>
          <w:rFonts w:hint="default"/>
        </w:rPr>
      </w:pPr>
      <w:r>
        <w:rPr>
          <w:rFonts w:hint="default"/>
        </w:rPr>
        <w:t>From late 2026 onwards, Green Africa Hub will prioritise grant funding and strategic partnerships</w:t>
      </w:r>
      <w:r>
        <w:rPr>
          <w:rFonts w:hint="default"/>
          <w:lang w:val="en-GB"/>
        </w:rPr>
        <w:t xml:space="preserve"> </w:t>
      </w:r>
      <w:r>
        <w:rPr>
          <w:rFonts w:hint="default"/>
        </w:rPr>
        <w:t>to accelerate impact without undermining financial discipline. Priority routes include future rounds or successor schemes to the West of England Combined Authority’s green‑business and Green Economy funds, alongside Bristol‑focused climate and equality programmes and National Lottery Climate Action‑style funds accessed via consortia, with Green Africa Hub acting as a specialist delivery partner.  Grant funding will be used primarily to subsidise places for low‑income households and young people, co‑fund a dedicated Smart Kitchen Hub venue and additional equipment, expand the AI platform and digital learning offer, and support replication of the hub‑and‑spoke model in other UK cities.</w:t>
      </w:r>
    </w:p>
    <w:p w14:paraId="1A683E74">
      <w:pPr>
        <w:rPr>
          <w:rFonts w:hint="default"/>
        </w:rPr>
      </w:pPr>
      <w:r>
        <w:rPr>
          <w:rFonts w:hint="default"/>
        </w:rPr>
        <w:t xml:space="preserve">  </w:t>
      </w:r>
    </w:p>
    <w:p w14:paraId="0773D31A">
      <w:pPr>
        <w:rPr>
          <w:rFonts w:hint="default"/>
        </w:rPr>
      </w:pPr>
      <w:r>
        <w:rPr>
          <w:rFonts w:hint="default"/>
        </w:rPr>
        <w:t xml:space="preserve">Equity investment is not required for the initial pilot and early growth phases. In the medium term, the private company limited‑by‑shares structure allows Green Africa Hub to consider mission‑aligned equity or quasi‑equity investment where this would accelerate expansion (for example, securing a flagship hub site or scaling the digital platform) while protecting the social mission and governance. Any such investment would be considered only once the pilot data, revenue traction and governance structures are firmly established, and would be structured to sit alongside ongoing grant, partnership and earned‑income streams. </w:t>
      </w:r>
    </w:p>
    <w:p w14:paraId="6028E7DF">
      <w:pPr>
        <w:rPr>
          <w:rFonts w:hint="default"/>
        </w:rPr>
      </w:pPr>
    </w:p>
    <w:p w14:paraId="6BA13467">
      <w:pPr>
        <w:rPr>
          <w:rFonts w:hint="default"/>
          <w:lang w:val="en-GB"/>
        </w:rPr>
      </w:pPr>
      <w:r>
        <w:rPr>
          <w:rFonts w:hint="default"/>
        </w:rPr>
        <w:t xml:space="preserve">Table </w:t>
      </w:r>
      <w:r>
        <w:rPr>
          <w:rFonts w:hint="default"/>
          <w:lang w:val="en-GB"/>
        </w:rPr>
        <w:t>4</w:t>
      </w:r>
      <w:r>
        <w:rPr>
          <w:rFonts w:hint="default"/>
        </w:rPr>
        <w:t xml:space="preserve"> summarises the proposed use of the £50,000 external capital</w:t>
      </w:r>
      <w:r>
        <w:rPr>
          <w:rFonts w:hint="default"/>
          <w:lang w:val="en-GB"/>
        </w:rPr>
        <w:t xml:space="preserve"> being sought in 2026</w:t>
      </w:r>
    </w:p>
    <w:p w14:paraId="5EB6264F">
      <w:pPr>
        <w:rPr>
          <w:rFonts w:hint="default"/>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14"/>
        <w:gridCol w:w="1256"/>
        <w:gridCol w:w="4448"/>
      </w:tblGrid>
      <w:tr w14:paraId="13D7D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61012597">
            <w:pPr>
              <w:keepNext w:val="0"/>
              <w:keepLines w:val="0"/>
              <w:widowControl/>
              <w:suppressLineNumbers w:val="0"/>
              <w:jc w:val="left"/>
              <w:rPr>
                <w:rFonts w:ascii="Arial" w:hAnsi="Arial" w:cs="Arial"/>
                <w:b/>
                <w:bCs/>
              </w:rPr>
            </w:pPr>
            <w:r>
              <w:rPr>
                <w:rFonts w:hint="default" w:ascii="Arial" w:hAnsi="Arial" w:eastAsia="SimSun" w:cs="Arial"/>
                <w:b/>
                <w:bCs/>
                <w:color w:val="1A1A1A"/>
                <w:kern w:val="0"/>
                <w:sz w:val="24"/>
                <w:szCs w:val="24"/>
                <w:bdr w:val="none" w:color="auto" w:sz="0" w:space="0"/>
                <w:lang w:val="en-US" w:eastAsia="zh-CN" w:bidi="ar"/>
              </w:rPr>
              <w:t>Use of funds</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6A12B05">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Amount (£)</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3A4A734E">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Purpose</w:t>
            </w:r>
          </w:p>
        </w:tc>
      </w:tr>
      <w:tr w14:paraId="04082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8BB20DE">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Induction equipment and small appliances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F74CFE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15,000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EBF1306">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Core kit for Bristol Hub and portable workshops</w:t>
            </w:r>
          </w:p>
        </w:tc>
      </w:tr>
      <w:tr w14:paraId="40F3A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FE27A19">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Hub access, fit</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out and insurance (Year 1)</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93AD16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10,000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57BAE53">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Secures space, basic fit</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out and operating cover</w:t>
            </w:r>
          </w:p>
        </w:tc>
      </w:tr>
      <w:tr w14:paraId="6708A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32B65C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Early staff capacity (facilitator/admin support)</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448837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12,000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05EB2CE">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Part</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time support to deliver workshops, memberships and B2B work</w:t>
            </w:r>
          </w:p>
        </w:tc>
      </w:tr>
      <w:tr w14:paraId="00468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0AFA09D">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Digital platform &amp; AI carbon</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tracker development</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B7DE1E6">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8,000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EC2FCF0">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Content production, basic platform build and dashboard refinement</w:t>
            </w:r>
          </w:p>
        </w:tc>
      </w:tr>
      <w:tr w14:paraId="59D5B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FC910BD">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Marketing, community outreach and contingencies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E587A9E">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5,000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8AE024E">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Outreach to priority communities, materials and risk buffer</w:t>
            </w:r>
          </w:p>
        </w:tc>
      </w:tr>
      <w:tr w14:paraId="7B5F6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34C0F22">
            <w:pPr>
              <w:keepNext w:val="0"/>
              <w:keepLines w:val="0"/>
              <w:widowControl/>
              <w:suppressLineNumbers w:val="0"/>
              <w:jc w:val="left"/>
              <w:rPr>
                <w:rFonts w:hint="default" w:ascii="Arial" w:hAnsi="Arial" w:cs="Arial"/>
              </w:rPr>
            </w:pPr>
            <w:r>
              <w:rPr>
                <w:rStyle w:val="17"/>
                <w:rFonts w:hint="default" w:ascii="Arial" w:hAnsi="Arial" w:eastAsia="SimSun" w:cs="Arial"/>
                <w:color w:val="1A1A1A"/>
                <w:kern w:val="0"/>
                <w:sz w:val="24"/>
                <w:szCs w:val="24"/>
                <w:bdr w:val="none" w:color="auto" w:sz="0" w:space="0"/>
                <w:lang w:val="en-US" w:eastAsia="zh-CN" w:bidi="ar"/>
              </w:rPr>
              <w:t>Total funding requirement (2026)</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90FA2DC">
            <w:pPr>
              <w:keepNext w:val="0"/>
              <w:keepLines w:val="0"/>
              <w:widowControl/>
              <w:suppressLineNumbers w:val="0"/>
              <w:jc w:val="left"/>
              <w:rPr>
                <w:rFonts w:hint="default" w:ascii="Arial" w:hAnsi="Arial" w:cs="Arial"/>
              </w:rPr>
            </w:pPr>
            <w:r>
              <w:rPr>
                <w:rStyle w:val="17"/>
                <w:rFonts w:hint="default" w:ascii="Arial" w:hAnsi="Arial" w:eastAsia="SimSun" w:cs="Arial"/>
                <w:color w:val="1A1A1A"/>
                <w:kern w:val="0"/>
                <w:sz w:val="24"/>
                <w:szCs w:val="24"/>
                <w:bdr w:val="none" w:color="auto" w:sz="0" w:space="0"/>
                <w:lang w:val="en-US" w:eastAsia="zh-CN" w:bidi="ar"/>
              </w:rPr>
              <w:t>50,000</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44170E3">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Enables growth to c. £55,000 annual revenue by Year 3 in base</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case plan</w:t>
            </w:r>
          </w:p>
        </w:tc>
      </w:tr>
    </w:tbl>
    <w:p w14:paraId="73687E1B">
      <w:pPr>
        <w:rPr>
          <w:rFonts w:hint="default"/>
        </w:rPr>
      </w:pPr>
    </w:p>
    <w:p w14:paraId="26B80D6C">
      <w:pPr>
        <w:rPr>
          <w:rFonts w:hint="default"/>
        </w:rPr>
      </w:pPr>
    </w:p>
    <w:p w14:paraId="4C236C5B">
      <w:pPr>
        <w:rPr>
          <w:rFonts w:hint="default"/>
        </w:rPr>
      </w:pPr>
    </w:p>
    <w:p w14:paraId="6F33E673">
      <w:pPr>
        <w:rPr>
          <w:rFonts w:hint="default"/>
        </w:rPr>
      </w:pPr>
    </w:p>
    <w:p w14:paraId="02013CC5">
      <w:r>
        <w:br w:type="page"/>
      </w:r>
    </w:p>
    <w:p w14:paraId="5B32D7F7">
      <w:pPr>
        <w:pStyle w:val="2"/>
        <w:spacing w:before="360" w:after="180"/>
      </w:pPr>
      <w:r>
        <w:rPr>
          <w:rFonts w:ascii="Calibri" w:hAnsi="Calibri" w:eastAsia="Calibri" w:cs="Calibri"/>
          <w:b/>
          <w:bCs/>
          <w:color w:val="1A5C38"/>
          <w:sz w:val="32"/>
          <w:szCs w:val="32"/>
        </w:rPr>
        <w:t>11. SDG Alignment</w:t>
      </w:r>
    </w:p>
    <w:p w14:paraId="0F02F1C6">
      <w:pPr>
        <w:rPr>
          <w:rFonts w:hint="default"/>
        </w:rPr>
      </w:pPr>
      <w:r>
        <w:rPr>
          <w:rFonts w:hint="default"/>
        </w:rPr>
        <w:t>Green Africa Hub’s work aligns with eight United Nations Sustainable Development Goals, reflecting its focus on poverty reduction, cultural food security and community‑led climate action. The Smart Kitchen Hub model links practical induction‑based cooking skills and carbon tracking with wider goals on affordable energy, decent work and reduced inequalities for Black communities in the UK.</w:t>
      </w:r>
    </w:p>
    <w:p w14:paraId="78F44FAF">
      <w:pPr>
        <w:rPr>
          <w:rFonts w:hint="default"/>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2"/>
        <w:gridCol w:w="7376"/>
      </w:tblGrid>
      <w:tr w14:paraId="0A222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999"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33293FC2">
            <w:pPr>
              <w:keepNext w:val="0"/>
              <w:keepLines w:val="0"/>
              <w:widowControl/>
              <w:suppressLineNumbers w:val="0"/>
              <w:jc w:val="left"/>
              <w:rPr>
                <w:rFonts w:ascii="Arial" w:hAnsi="Arial" w:cs="Arial"/>
                <w:b/>
                <w:bCs/>
              </w:rPr>
            </w:pPr>
            <w:r>
              <w:rPr>
                <w:rFonts w:hint="default" w:ascii="Arial" w:hAnsi="Arial" w:eastAsia="SimSun" w:cs="Arial"/>
                <w:b/>
                <w:bCs/>
                <w:color w:val="1A1A1A"/>
                <w:kern w:val="0"/>
                <w:sz w:val="24"/>
                <w:szCs w:val="24"/>
                <w:bdr w:val="none" w:color="auto" w:sz="0" w:space="0"/>
                <w:lang w:val="en-US" w:eastAsia="zh-CN" w:bidi="ar"/>
              </w:rPr>
              <w:t>SDG</w:t>
            </w:r>
          </w:p>
        </w:tc>
        <w:tc>
          <w:tcPr>
            <w:tcW w:w="4000"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600DD9E7">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Alignment</w:t>
            </w:r>
          </w:p>
        </w:tc>
      </w:tr>
      <w:tr w14:paraId="3DC7B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99"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95B98B9">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SDG 1 – No Poverty</w:t>
            </w:r>
          </w:p>
        </w:tc>
        <w:tc>
          <w:tcPr>
            <w:tcW w:w="4000"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DBAE6A6">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Reducing fuel poverty in African and Caribbean households by lowering energy use and bills through Smart</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Prep induction cooking. </w:t>
            </w:r>
          </w:p>
        </w:tc>
      </w:tr>
      <w:tr w14:paraId="0035E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99"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2463E0D">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SDG 2 – Zero Hunger</w:t>
            </w:r>
          </w:p>
        </w:tc>
        <w:tc>
          <w:tcPr>
            <w:tcW w:w="4000"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DFD4E80">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Supporting sustainable food systems and cultural food security by keeping Afro</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Caribbean cooking affordable and future</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proof. </w:t>
            </w:r>
          </w:p>
        </w:tc>
      </w:tr>
      <w:tr w14:paraId="44DC8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99"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3870B06">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SDG 7 – Affordable Clean Energy</w:t>
            </w:r>
          </w:p>
        </w:tc>
        <w:tc>
          <w:tcPr>
            <w:tcW w:w="4000"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009821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Enabling a transition from gas to efficient electric induction cooking in community kitchens and micro</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businesses. </w:t>
            </w:r>
          </w:p>
        </w:tc>
      </w:tr>
      <w:tr w14:paraId="181E4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99"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13A344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SDG 8 – Decent Work</w:t>
            </w:r>
          </w:p>
        </w:tc>
        <w:tc>
          <w:tcPr>
            <w:tcW w:w="4000"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DD62FC5">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Creating skilled green</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economy jobs in Afro</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Caribbean food, data and community engagement. </w:t>
            </w:r>
          </w:p>
        </w:tc>
      </w:tr>
      <w:tr w14:paraId="4D134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99"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BFF0044">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SDG 10 – Reduced Inequalities</w:t>
            </w:r>
          </w:p>
        </w:tc>
        <w:tc>
          <w:tcPr>
            <w:tcW w:w="4000"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FEB15C2">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Ensuring Black communities lead, rather than follow, the green transition by centring Afro</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Caribbean kitchens and supply chains. </w:t>
            </w:r>
          </w:p>
        </w:tc>
      </w:tr>
      <w:tr w14:paraId="349F7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99"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B84B3EC">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SDG 12 – Responsible Consumption</w:t>
            </w:r>
          </w:p>
        </w:tc>
        <w:tc>
          <w:tcPr>
            <w:tcW w:w="4000"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F251AD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Promoting carbon tracking, Smart</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Prep recipe design and more sustainable sourcing within Afro</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Caribbean food businesses. </w:t>
            </w:r>
          </w:p>
        </w:tc>
      </w:tr>
      <w:tr w14:paraId="1A6B7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99"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F5DF548">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SDG 13 – Climate Action</w:t>
            </w:r>
          </w:p>
        </w:tc>
        <w:tc>
          <w:tcPr>
            <w:tcW w:w="4000"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D50807D">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Delivering measurable community</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level carbon reduction through reduced gas use and lower</w:t>
            </w:r>
            <w:r>
              <w:rPr>
                <w:rFonts w:hint="default" w:ascii="Arial" w:hAnsi="Arial" w:eastAsia="SimSun" w:cs="Arial"/>
                <w:color w:val="1A1A1A"/>
                <w:kern w:val="0"/>
                <w:sz w:val="24"/>
                <w:szCs w:val="24"/>
                <w:bdr w:val="none" w:color="auto" w:sz="0" w:space="0"/>
                <w:lang w:val="en-US" w:eastAsia="zh-CN" w:bidi="ar"/>
              </w:rPr>
              <w:noBreakHyphen/>
            </w:r>
            <w:r>
              <w:rPr>
                <w:rFonts w:hint="default" w:ascii="Arial" w:hAnsi="Arial" w:eastAsia="SimSun" w:cs="Arial"/>
                <w:color w:val="1A1A1A"/>
                <w:kern w:val="0"/>
                <w:sz w:val="24"/>
                <w:szCs w:val="24"/>
                <w:bdr w:val="none" w:color="auto" w:sz="0" w:space="0"/>
                <w:lang w:val="en-US" w:eastAsia="zh-CN" w:bidi="ar"/>
              </w:rPr>
              <w:t xml:space="preserve">carbon menus. </w:t>
            </w:r>
          </w:p>
        </w:tc>
      </w:tr>
      <w:tr w14:paraId="58C25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99"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553F6A7">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SDG 17 – Partnerships for the Goals</w:t>
            </w:r>
          </w:p>
        </w:tc>
        <w:tc>
          <w:tcPr>
            <w:tcW w:w="4000"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2D47B9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 xml:space="preserve">Building partnerships with Future Leap, WECA, NHS, local authorities and community networks to scale impact. </w:t>
            </w:r>
          </w:p>
        </w:tc>
      </w:tr>
    </w:tbl>
    <w:p w14:paraId="02189E30">
      <w:pPr>
        <w:rPr>
          <w:rFonts w:hint="default"/>
        </w:rPr>
      </w:pPr>
    </w:p>
    <w:p w14:paraId="35121D4E">
      <w:pPr>
        <w:rPr>
          <w:rFonts w:hint="default"/>
          <w:lang w:val="en-GB"/>
        </w:rPr>
      </w:pPr>
      <w:r>
        <w:rPr>
          <w:rFonts w:hint="default"/>
        </w:rPr>
        <w:t>This SDG alignment also reflects UK and local policy priorities. The UK has a legally binding Net Zero target for 2050, with interim milestones of steep emissions reductions by 2030 and 2035; Green Africa Hub directly supports these goals by reducing gas use and improving household energy efficiency in Afro‑Caribbean communities. At city level, the Bristol Climate &amp; Nature Partnership has demonstrated that community‑led climate action is central to delivering just, inclusive transitions; Green Africa Hub fits within this model by using community kitchens, culturally rooted food and carbon tracking to deliver measurable climate and social outcomes for priority neighbourhoods</w:t>
      </w:r>
      <w:r>
        <w:rPr>
          <w:rFonts w:hint="default"/>
          <w:lang w:val="en-GB"/>
        </w:rPr>
        <w:t>.</w:t>
      </w:r>
    </w:p>
    <w:p w14:paraId="5F2CD161">
      <w:pPr>
        <w:rPr>
          <w:rFonts w:hint="default"/>
          <w:lang w:val="en-GB"/>
        </w:rPr>
      </w:pPr>
    </w:p>
    <w:p w14:paraId="6483E148">
      <w:pPr>
        <w:rPr>
          <w:rFonts w:hint="default"/>
          <w:lang w:val="en-GB"/>
        </w:rPr>
      </w:pPr>
    </w:p>
    <w:p w14:paraId="4954B0EB">
      <w:pPr>
        <w:rPr>
          <w:rFonts w:hint="default"/>
          <w:lang w:val="en-GB"/>
        </w:rPr>
      </w:pPr>
    </w:p>
    <w:p w14:paraId="2606866D">
      <w:pPr>
        <w:rPr>
          <w:rFonts w:hint="default"/>
          <w:lang w:val="en-GB"/>
        </w:rPr>
      </w:pPr>
    </w:p>
    <w:p w14:paraId="6360C2FA"/>
    <w:p w14:paraId="0C44DF52">
      <w:pPr>
        <w:pStyle w:val="2"/>
        <w:spacing w:before="360" w:after="180"/>
      </w:pPr>
      <w:r>
        <w:rPr>
          <w:rFonts w:ascii="Calibri" w:hAnsi="Calibri" w:eastAsia="Calibri" w:cs="Calibri"/>
          <w:b/>
          <w:bCs/>
          <w:color w:val="1A5C38"/>
          <w:sz w:val="32"/>
          <w:szCs w:val="32"/>
        </w:rPr>
        <w:t>12. Risk Register</w:t>
      </w:r>
    </w:p>
    <w:p w14:paraId="459743E8">
      <w:pPr>
        <w:spacing w:before="40" w:after="0"/>
      </w:pPr>
    </w:p>
    <w:p w14:paraId="25AE181A">
      <w:pPr>
        <w:rPr>
          <w:rFonts w:hint="default"/>
        </w:rPr>
      </w:pPr>
      <w:r>
        <w:rPr>
          <w:rFonts w:hint="default"/>
        </w:rPr>
        <w:t>Green Africa Hub is being developed with a cautious, phased approach that recognises the operational, financial and market risks of an early-stage social enterprise. The table below summarises the main risks identified to date and the mitigation strategies built into the pilot and 3-year plan.</w:t>
      </w:r>
    </w:p>
    <w:p w14:paraId="4D54A980">
      <w:pPr>
        <w:rPr>
          <w:rFonts w:hint="default"/>
        </w:rPr>
      </w:pP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53"/>
        <w:gridCol w:w="928"/>
        <w:gridCol w:w="824"/>
        <w:gridCol w:w="5613"/>
      </w:tblGrid>
      <w:tr w14:paraId="5E6B2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05"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31C4439">
            <w:pPr>
              <w:keepNext w:val="0"/>
              <w:keepLines w:val="0"/>
              <w:widowControl/>
              <w:suppressLineNumbers w:val="0"/>
              <w:jc w:val="left"/>
              <w:rPr>
                <w:rFonts w:ascii="Arial" w:hAnsi="Arial" w:cs="Arial"/>
                <w:b/>
                <w:bCs/>
              </w:rPr>
            </w:pPr>
            <w:r>
              <w:rPr>
                <w:rFonts w:hint="default" w:ascii="Arial" w:hAnsi="Arial" w:eastAsia="SimSun" w:cs="Arial"/>
                <w:b/>
                <w:bCs/>
                <w:color w:val="1A1A1A"/>
                <w:kern w:val="0"/>
                <w:sz w:val="24"/>
                <w:szCs w:val="24"/>
                <w:bdr w:val="none" w:color="auto" w:sz="0" w:space="0"/>
                <w:lang w:val="en-US" w:eastAsia="zh-CN" w:bidi="ar"/>
              </w:rPr>
              <w:t>Risk</w:t>
            </w:r>
          </w:p>
        </w:tc>
        <w:tc>
          <w:tcPr>
            <w:tcW w:w="503"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B738EF6">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Likelihood</w:t>
            </w:r>
          </w:p>
        </w:tc>
        <w:tc>
          <w:tcPr>
            <w:tcW w:w="446"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65B0EBA7">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Impact</w:t>
            </w:r>
          </w:p>
        </w:tc>
        <w:tc>
          <w:tcPr>
            <w:tcW w:w="3044" w:type="pct"/>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0DB65A7D">
            <w:pPr>
              <w:keepNext w:val="0"/>
              <w:keepLines w:val="0"/>
              <w:widowControl/>
              <w:suppressLineNumbers w:val="0"/>
              <w:jc w:val="left"/>
              <w:rPr>
                <w:rFonts w:hint="default" w:ascii="Arial" w:hAnsi="Arial" w:cs="Arial"/>
                <w:b/>
                <w:bCs/>
              </w:rPr>
            </w:pPr>
            <w:r>
              <w:rPr>
                <w:rFonts w:hint="default" w:ascii="Arial" w:hAnsi="Arial" w:eastAsia="SimSun" w:cs="Arial"/>
                <w:b/>
                <w:bCs/>
                <w:color w:val="1A1A1A"/>
                <w:kern w:val="0"/>
                <w:sz w:val="24"/>
                <w:szCs w:val="24"/>
                <w:bdr w:val="none" w:color="auto" w:sz="0" w:space="0"/>
                <w:lang w:val="en-US" w:eastAsia="zh-CN" w:bidi="ar"/>
              </w:rPr>
              <w:t>Mitigation</w:t>
            </w:r>
          </w:p>
        </w:tc>
      </w:tr>
      <w:tr w14:paraId="488A7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5"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19119F8">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Low pilot attendance</w:t>
            </w:r>
          </w:p>
        </w:tc>
        <w:tc>
          <w:tcPr>
            <w:tcW w:w="503"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145F634">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44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03A2D8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High</w:t>
            </w:r>
          </w:p>
        </w:tc>
        <w:tc>
          <w:tcPr>
            <w:tcW w:w="304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C97733C">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Target existing Future Leap, Bristol Food Network, BSWN and community-kitchen networks; build pre-sales and referrals; adjust formats and timing if demand is slower than expected.</w:t>
            </w:r>
          </w:p>
        </w:tc>
      </w:tr>
      <w:tr w14:paraId="1F770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5"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5148A45">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Grant applications unsuccessful</w:t>
            </w:r>
          </w:p>
        </w:tc>
        <w:tc>
          <w:tcPr>
            <w:tcW w:w="503"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32F978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44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F3CA32E">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304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9A017A4">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Diversified revenue model (workshops, subscriptions, memberships, B2B work</w:t>
            </w:r>
            <w:r>
              <w:rPr>
                <w:rFonts w:hint="default" w:ascii="Arial" w:hAnsi="Arial" w:eastAsia="SimSun" w:cs="Arial"/>
                <w:color w:val="1A1A1A"/>
                <w:kern w:val="0"/>
                <w:sz w:val="24"/>
                <w:szCs w:val="24"/>
                <w:bdr w:val="none" w:color="auto" w:sz="0" w:space="0"/>
                <w:lang w:val="en-GB" w:eastAsia="zh-CN" w:bidi="ar"/>
              </w:rPr>
              <w:t>, cookbook</w:t>
            </w:r>
            <w:r>
              <w:rPr>
                <w:rFonts w:hint="default" w:ascii="Arial" w:hAnsi="Arial" w:eastAsia="SimSun" w:cs="Arial"/>
                <w:color w:val="1A1A1A"/>
                <w:kern w:val="0"/>
                <w:sz w:val="24"/>
                <w:szCs w:val="24"/>
                <w:bdr w:val="none" w:color="auto" w:sz="0" w:space="0"/>
                <w:lang w:val="en-US" w:eastAsia="zh-CN" w:bidi="ar"/>
              </w:rPr>
              <w:t>) reduces dependency on grants; pilot can still run on founder capital and early earned income.</w:t>
            </w:r>
          </w:p>
        </w:tc>
      </w:tr>
      <w:tr w14:paraId="2BE7E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5"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06CB358">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Kitchen space costs overrun</w:t>
            </w:r>
          </w:p>
        </w:tc>
        <w:tc>
          <w:tcPr>
            <w:tcW w:w="503"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5FEC4E6">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Low</w:t>
            </w:r>
          </w:p>
        </w:tc>
        <w:tc>
          <w:tcPr>
            <w:tcW w:w="44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9B00C9A">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High</w:t>
            </w:r>
          </w:p>
        </w:tc>
        <w:tc>
          <w:tcPr>
            <w:tcW w:w="304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A4E5B28">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Use community venues and partner space during the pilot; negotiate fair rates; only commit to longer-term space once recurring revenue is established.</w:t>
            </w:r>
          </w:p>
        </w:tc>
      </w:tr>
      <w:tr w14:paraId="17772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5"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93FD323">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Digital platform or AI tool delayed</w:t>
            </w:r>
          </w:p>
        </w:tc>
        <w:tc>
          <w:tcPr>
            <w:tcW w:w="503"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2FF1BDC">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44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82796E1">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304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48D2CE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Launch a simple minimum-viable subscription using existing tools first; treat advanced AI dashboard features as enhancements rather than critical Year 1 dependencies.</w:t>
            </w:r>
          </w:p>
        </w:tc>
      </w:tr>
      <w:tr w14:paraId="3C0B6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5"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D3C3E23">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Slower-than-planned B2B uptake</w:t>
            </w:r>
          </w:p>
        </w:tc>
        <w:tc>
          <w:tcPr>
            <w:tcW w:w="503"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70C877A">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44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184B0DA">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304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88ACB90">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Keep fixed costs low; prioritise workshops, memberships and SME offers first; use pilot evidence, testimonials and case studies to build the B2B pipeline gradually.</w:t>
            </w:r>
          </w:p>
        </w:tc>
      </w:tr>
      <w:tr w14:paraId="3D71F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5"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B122504">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Founder capacity and burnout</w:t>
            </w:r>
          </w:p>
        </w:tc>
        <w:tc>
          <w:tcPr>
            <w:tcW w:w="503"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DAA9F8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44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DEB1DE3">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High</w:t>
            </w:r>
          </w:p>
        </w:tc>
        <w:tc>
          <w:tcPr>
            <w:tcW w:w="304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850A16A">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Phase hiring carefully; add admin and facilitator support as revenue grows; use partnerships and contracted delivery support rather than relying solely on the founder.</w:t>
            </w:r>
          </w:p>
        </w:tc>
      </w:tr>
      <w:tr w14:paraId="3BA62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5"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AE10207">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Market confusion from indirect competitors</w:t>
            </w:r>
          </w:p>
        </w:tc>
        <w:tc>
          <w:tcPr>
            <w:tcW w:w="503"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98F2D1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Low-Medium</w:t>
            </w:r>
          </w:p>
        </w:tc>
        <w:tc>
          <w:tcPr>
            <w:tcW w:w="44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CFD8816">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304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2DB4AA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Communicate clearly that no provider currently offers an Afro-Caribbean Smart Kitchen Hub combining Smart-Prep induction methodology, culturally specific recipe adaptation and AI-supported carbon tracking; position generic cookery, energy-advice and sustainability offers as indirect alternatives rather than direct competitors.</w:t>
            </w:r>
          </w:p>
        </w:tc>
      </w:tr>
      <w:tr w14:paraId="360D8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5"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B1894C9">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Policy or funding-landscape changes</w:t>
            </w:r>
          </w:p>
        </w:tc>
        <w:tc>
          <w:tcPr>
            <w:tcW w:w="503"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EBC140B">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Low-Medium</w:t>
            </w:r>
          </w:p>
        </w:tc>
        <w:tc>
          <w:tcPr>
            <w:tcW w:w="446"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609F81D">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Medium</w:t>
            </w:r>
          </w:p>
        </w:tc>
        <w:tc>
          <w:tcPr>
            <w:tcW w:w="3044" w:type="pct"/>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D6EE2CF">
            <w:pPr>
              <w:keepNext w:val="0"/>
              <w:keepLines w:val="0"/>
              <w:widowControl/>
              <w:suppressLineNumbers w:val="0"/>
              <w:jc w:val="left"/>
              <w:rPr>
                <w:rFonts w:hint="default" w:ascii="Arial" w:hAnsi="Arial" w:cs="Arial"/>
              </w:rPr>
            </w:pPr>
            <w:r>
              <w:rPr>
                <w:rFonts w:hint="default" w:ascii="Arial" w:hAnsi="Arial" w:eastAsia="SimSun" w:cs="Arial"/>
                <w:color w:val="1A1A1A"/>
                <w:kern w:val="0"/>
                <w:sz w:val="24"/>
                <w:szCs w:val="24"/>
                <w:bdr w:val="none" w:color="auto" w:sz="0" w:space="0"/>
                <w:lang w:val="en-US" w:eastAsia="zh-CN" w:bidi="ar"/>
              </w:rPr>
              <w:t>Align clearly with the UK’s Net Zero 2050 target and Bristol’s community-led climate priorities so the offer fits multiple funding and policy routes.</w:t>
            </w:r>
          </w:p>
        </w:tc>
      </w:tr>
    </w:tbl>
    <w:p w14:paraId="6397FAFF">
      <w:pPr>
        <w:rPr>
          <w:rFonts w:hint="default"/>
        </w:rPr>
      </w:pPr>
    </w:p>
    <w:p w14:paraId="2278714C">
      <w:pPr>
        <w:rPr>
          <w:rFonts w:hint="default"/>
        </w:rPr>
      </w:pPr>
    </w:p>
    <w:p w14:paraId="1A8B823A">
      <w:r>
        <w:br w:type="page"/>
      </w:r>
    </w:p>
    <w:p w14:paraId="12E47897">
      <w:pPr>
        <w:pStyle w:val="2"/>
        <w:spacing w:before="360" w:after="180"/>
      </w:pPr>
      <w:r>
        <w:rPr>
          <w:rFonts w:ascii="Calibri" w:hAnsi="Calibri" w:eastAsia="Calibri" w:cs="Calibri"/>
          <w:b/>
          <w:bCs/>
          <w:color w:val="1A5C38"/>
          <w:sz w:val="32"/>
          <w:szCs w:val="32"/>
        </w:rPr>
        <w:t>13. Conclusion</w:t>
      </w:r>
    </w:p>
    <w:p w14:paraId="5B185543">
      <w:pPr>
        <w:spacing w:before="120" w:after="0"/>
        <w:rPr>
          <w:rFonts w:hint="default" w:ascii="Calibri" w:hAnsi="Calibri" w:eastAsia="Calibri" w:cs="Calibri"/>
          <w:color w:val="1A1A1A"/>
          <w:sz w:val="22"/>
          <w:szCs w:val="22"/>
        </w:rPr>
      </w:pPr>
      <w:r>
        <w:rPr>
          <w:rFonts w:hint="default" w:ascii="Calibri" w:hAnsi="Calibri" w:eastAsia="Calibri" w:cs="Calibri"/>
          <w:color w:val="1A1A1A"/>
          <w:sz w:val="22"/>
          <w:szCs w:val="22"/>
        </w:rPr>
        <w:t>Green Africa Hub is a well‑timed, evidence‑based social enterprise with a clear market gap, a technically credible founder and a lean, scalable Smart Kitchen Hub model. Over 18 months of pre‑incorporation research, Grace Omotuase has developed the Smart‑Prep Methodology, tested induction‑adapted Afro‑Caribbean recipes and built an AI‑enabled carbon‑tracking prototype, providing a strong foundation for both community impact and commercial growth.</w:t>
      </w:r>
    </w:p>
    <w:p w14:paraId="4B06827F">
      <w:pPr>
        <w:spacing w:before="120" w:after="0"/>
        <w:rPr>
          <w:rFonts w:hint="default" w:ascii="Calibri" w:hAnsi="Calibri" w:eastAsia="Calibri" w:cs="Calibri"/>
          <w:color w:val="1A1A1A"/>
          <w:sz w:val="22"/>
          <w:szCs w:val="22"/>
        </w:rPr>
      </w:pPr>
    </w:p>
    <w:p w14:paraId="68C4434A">
      <w:pPr>
        <w:spacing w:before="120" w:after="0"/>
        <w:rPr>
          <w:rFonts w:hint="default" w:ascii="Calibri" w:hAnsi="Calibri" w:eastAsia="Calibri" w:cs="Calibri"/>
          <w:color w:val="1A1A1A"/>
          <w:sz w:val="22"/>
          <w:szCs w:val="22"/>
        </w:rPr>
      </w:pPr>
      <w:r>
        <w:rPr>
          <w:rFonts w:hint="default" w:ascii="Calibri" w:hAnsi="Calibri" w:eastAsia="Calibri" w:cs="Calibri"/>
          <w:color w:val="1A1A1A"/>
          <w:sz w:val="22"/>
          <w:szCs w:val="22"/>
        </w:rPr>
        <w:t>The plan sets out a disciplined three‑year pathway: a six‑month Bristol pilot generating primary data on demand, pricing and carbon savings; consolidation into a Bristol Smart Kitchen Hub with workshops, memberships and SME masterclasses; and then regional expansion through digital subscriptions and licensed spokes in other UK cities. A refreshed financial model, supported by a linked 5‑year projection, shows revenue growing from around £11,700 in Year 1 to £30,000 in Year 2 and £55,000 in Year 3, with early break‑even and a sustainable surplus under conservative assumptions.</w:t>
      </w:r>
    </w:p>
    <w:p w14:paraId="2AD1A41C">
      <w:pPr>
        <w:spacing w:before="120" w:after="0"/>
        <w:rPr>
          <w:rFonts w:hint="default" w:ascii="Calibri" w:hAnsi="Calibri" w:eastAsia="Calibri" w:cs="Calibri"/>
          <w:color w:val="1A1A1A"/>
          <w:sz w:val="22"/>
          <w:szCs w:val="22"/>
        </w:rPr>
      </w:pPr>
    </w:p>
    <w:p w14:paraId="332BE956">
      <w:pPr>
        <w:spacing w:before="120" w:after="0"/>
      </w:pPr>
      <w:r>
        <w:rPr>
          <w:rFonts w:hint="default" w:ascii="Calibri" w:hAnsi="Calibri" w:eastAsia="Calibri" w:cs="Calibri"/>
          <w:color w:val="1A1A1A"/>
          <w:sz w:val="22"/>
          <w:szCs w:val="22"/>
        </w:rPr>
        <w:t>The opportunity now is to turn this validated concept into a funded, scaled solution that helps Black households and micro‑caterers keep cooking the food they love while meeting the UK’s net‑zero ambitions and Bristol’s community‑led climate goals. With approximately £50,000 of external capital in 2026, targeted grant partnerships and carefully phased hiring, Green Africa Hub can move from pilot to a stable, £50k‑plus‑revenue Smart Kitchen Hub within three years, creating a model that can be replicated across other UK cities.</w:t>
      </w:r>
    </w:p>
    <w:p w14:paraId="1579CFE7">
      <w:pPr>
        <w:spacing w:before="200" w:after="200"/>
        <w:jc w:val="center"/>
      </w:pPr>
      <w:r>
        <w:rPr>
          <w:rFonts w:ascii="Calibri" w:hAnsi="Calibri" w:eastAsia="Calibri" w:cs="Calibri"/>
          <w:b/>
          <w:bCs/>
          <w:i/>
          <w:iCs/>
          <w:color w:val="1A5C38"/>
          <w:sz w:val="26"/>
          <w:szCs w:val="26"/>
        </w:rPr>
        <w:t>The concept is right. The timing is right. The founder is right. The pilot is the next right step.</w:t>
      </w:r>
    </w:p>
    <w:p w14:paraId="6F8AAD4E">
      <w:pPr>
        <w:spacing w:before="200" w:after="0"/>
      </w:pPr>
    </w:p>
    <w:p w14:paraId="1C931C69">
      <w:pPr>
        <w:pBdr>
          <w:bottom w:val="single" w:color="1A5C38" w:sz="4" w:space="1"/>
        </w:pBdr>
        <w:spacing w:before="0" w:after="0"/>
      </w:pPr>
    </w:p>
    <w:p w14:paraId="238B0CA0">
      <w:pPr>
        <w:spacing w:before="100" w:after="0"/>
      </w:pPr>
    </w:p>
    <w:p w14:paraId="758781EF">
      <w:pPr>
        <w:spacing w:before="80" w:after="40"/>
        <w:jc w:val="center"/>
      </w:pPr>
      <w:r>
        <w:rPr>
          <w:rFonts w:ascii="Calibri" w:hAnsi="Calibri" w:eastAsia="Calibri" w:cs="Calibri"/>
          <w:color w:val="555555"/>
          <w:sz w:val="22"/>
          <w:szCs w:val="22"/>
        </w:rPr>
        <w:t>For enquiries:</w:t>
      </w:r>
    </w:p>
    <w:p w14:paraId="105E64DD">
      <w:pPr>
        <w:spacing w:before="40" w:after="40"/>
        <w:jc w:val="center"/>
      </w:pPr>
      <w:r>
        <w:rPr>
          <w:rFonts w:ascii="Calibri" w:hAnsi="Calibri" w:eastAsia="Calibri" w:cs="Calibri"/>
          <w:b/>
          <w:bCs/>
          <w:color w:val="1A5C38"/>
          <w:sz w:val="22"/>
          <w:szCs w:val="22"/>
        </w:rPr>
        <w:t xml:space="preserve">Grace Omotuase  |  gracetuase@gmail.com  |  </w:t>
      </w:r>
      <w:r>
        <w:rPr>
          <w:rFonts w:hint="default" w:cs="Calibri"/>
          <w:b/>
          <w:bCs/>
          <w:color w:val="1A5C38"/>
          <w:sz w:val="22"/>
          <w:szCs w:val="22"/>
          <w:lang w:val="en-GB"/>
        </w:rPr>
        <w:t>+44</w:t>
      </w:r>
      <w:r>
        <w:rPr>
          <w:rFonts w:ascii="Calibri" w:hAnsi="Calibri" w:eastAsia="Calibri" w:cs="Calibri"/>
          <w:b/>
          <w:bCs/>
          <w:color w:val="1A5C38"/>
          <w:sz w:val="22"/>
          <w:szCs w:val="22"/>
        </w:rPr>
        <w:t>7776 643169</w:t>
      </w:r>
    </w:p>
    <w:p w14:paraId="1A966F8A">
      <w:pPr>
        <w:spacing w:before="40" w:after="200"/>
        <w:jc w:val="center"/>
      </w:pPr>
      <w:r>
        <w:fldChar w:fldCharType="begin"/>
      </w:r>
      <w:r>
        <w:instrText xml:space="preserve"> HYPERLINK "https://www.greenafricahub.org.uk" </w:instrText>
      </w:r>
      <w:r>
        <w:fldChar w:fldCharType="separate"/>
      </w:r>
      <w:r>
        <w:rPr>
          <w:rStyle w:val="15"/>
          <w:rFonts w:ascii="Calibri" w:hAnsi="Calibri" w:eastAsia="Calibri" w:cs="Calibri"/>
          <w:color w:val="1A5C38"/>
          <w:sz w:val="22"/>
          <w:szCs w:val="22"/>
        </w:rPr>
        <w:t>www.greenafricahub.org.uk</w:t>
      </w:r>
      <w:r>
        <w:rPr>
          <w:rStyle w:val="15"/>
          <w:rFonts w:ascii="Calibri" w:hAnsi="Calibri" w:eastAsia="Calibri" w:cs="Calibri"/>
          <w:color w:val="1A5C38"/>
          <w:sz w:val="22"/>
          <w:szCs w:val="22"/>
        </w:rPr>
        <w:fldChar w:fldCharType="end"/>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pplx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1E935">
    <w:pPr>
      <w:pBdr>
        <w:top w:val="single" w:color="B0B0B0" w:sz="2" w:space="4"/>
      </w:pBdr>
      <w:spacing w:before="0" w:after="0"/>
      <w:jc w:val="center"/>
    </w:pPr>
    <w:r>
      <w:rPr>
        <w:rFonts w:ascii="Calibri" w:hAnsi="Calibri" w:eastAsia="Calibri" w:cs="Calibri"/>
        <w:color w:val="888888"/>
        <w:sz w:val="14"/>
        <w:szCs w:val="14"/>
      </w:rPr>
      <w:t xml:space="preserve">Green Africa Hub Ltd  |  Company No. 17107299  |  www.greenafricahub.org.uk  |  Version </w:t>
    </w:r>
    <w:r>
      <w:rPr>
        <w:rFonts w:hint="default" w:cs="Calibri"/>
        <w:color w:val="888888"/>
        <w:sz w:val="14"/>
        <w:szCs w:val="14"/>
        <w:lang w:val="en-GB"/>
      </w:rPr>
      <w:t>3</w:t>
    </w:r>
    <w:r>
      <w:rPr>
        <w:rFonts w:ascii="Calibri" w:hAnsi="Calibri" w:eastAsia="Calibri" w:cs="Calibri"/>
        <w:color w:val="888888"/>
        <w:sz w:val="14"/>
        <w:szCs w:val="14"/>
      </w:rPr>
      <w:t>.0 — March 2026  |  Business Confidential</w:t>
    </w:r>
  </w:p>
  <w:p w14:paraId="164B8D38">
    <w:pPr>
      <w:spacing w:before="40" w:after="0"/>
      <w:jc w:val="center"/>
    </w:pPr>
    <w:r>
      <w:rPr>
        <w:rFonts w:ascii="Calibri" w:hAnsi="Calibri" w:eastAsia="Calibri" w:cs="Calibri"/>
        <w:color w:val="888888"/>
        <w:sz w:val="14"/>
        <w:szCs w:val="14"/>
      </w:rPr>
      <w:t xml:space="preserve">Page </w:t>
    </w:r>
    <w:r>
      <w:rPr>
        <w:rFonts w:ascii="Calibri" w:hAnsi="Calibri" w:eastAsia="Calibri" w:cs="Calibri"/>
        <w:color w:val="888888"/>
        <w:sz w:val="14"/>
        <w:szCs w:val="14"/>
      </w:rPr>
      <w:fldChar w:fldCharType="begin"/>
    </w:r>
    <w:r>
      <w:rPr>
        <w:rFonts w:ascii="Calibri" w:hAnsi="Calibri" w:eastAsia="Calibri" w:cs="Calibri"/>
        <w:color w:val="888888"/>
        <w:sz w:val="14"/>
        <w:szCs w:val="14"/>
      </w:rPr>
      <w:instrText xml:space="preserve">PAGE</w:instrText>
    </w:r>
    <w:r>
      <w:rPr>
        <w:rFonts w:ascii="Calibri" w:hAnsi="Calibri" w:eastAsia="Calibri" w:cs="Calibri"/>
        <w:color w:val="888888"/>
        <w:sz w:val="14"/>
        <w:szCs w:val="14"/>
      </w:rPr>
      <w:fldChar w:fldCharType="separate"/>
    </w:r>
    <w:r>
      <w:rPr>
        <w:rFonts w:ascii="Calibri" w:hAnsi="Calibri" w:eastAsia="Calibri" w:cs="Calibri"/>
        <w:color w:val="888888"/>
        <w:sz w:val="14"/>
        <w:szCs w:val="14"/>
      </w:rPr>
      <w:fldChar w:fldCharType="end"/>
    </w:r>
    <w:r>
      <w:rPr>
        <w:rFonts w:ascii="Calibri" w:hAnsi="Calibri" w:eastAsia="Calibri" w:cs="Calibri"/>
        <w:color w:val="888888"/>
        <w:sz w:val="14"/>
        <w:szCs w:val="14"/>
      </w:rPr>
      <w:t xml:space="preserve"> of </w:t>
    </w:r>
    <w:r>
      <w:rPr>
        <w:rFonts w:ascii="Calibri" w:hAnsi="Calibri" w:eastAsia="Calibri" w:cs="Calibri"/>
        <w:color w:val="888888"/>
        <w:sz w:val="14"/>
        <w:szCs w:val="14"/>
      </w:rPr>
      <w:fldChar w:fldCharType="begin"/>
    </w:r>
    <w:r>
      <w:rPr>
        <w:rFonts w:ascii="Calibri" w:hAnsi="Calibri" w:eastAsia="Calibri" w:cs="Calibri"/>
        <w:color w:val="888888"/>
        <w:sz w:val="14"/>
        <w:szCs w:val="14"/>
      </w:rPr>
      <w:instrText xml:space="preserve">NUMPAGES</w:instrText>
    </w:r>
    <w:r>
      <w:rPr>
        <w:rFonts w:ascii="Calibri" w:hAnsi="Calibri" w:eastAsia="Calibri" w:cs="Calibri"/>
        <w:color w:val="888888"/>
        <w:sz w:val="14"/>
        <w:szCs w:val="14"/>
      </w:rPr>
      <w:fldChar w:fldCharType="separate"/>
    </w:r>
    <w:r>
      <w:rPr>
        <w:rFonts w:ascii="Calibri" w:hAnsi="Calibri" w:eastAsia="Calibri" w:cs="Calibri"/>
        <w:color w:val="888888"/>
        <w:sz w:val="14"/>
        <w:szCs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B3B5E">
    <w:pPr>
      <w:pBdr>
        <w:bottom w:val="single" w:color="1A5C38" w:sz="2" w:space="4"/>
      </w:pBdr>
      <w:spacing w:before="0" w:after="0"/>
      <w:jc w:val="left"/>
    </w:pPr>
    <w:r>
      <w:rPr>
        <w:rFonts w:ascii="Calibri" w:hAnsi="Calibri" w:eastAsia="Calibri" w:cs="Calibri"/>
        <w:b/>
        <w:bCs/>
        <w:color w:val="1A5C38"/>
        <w:sz w:val="18"/>
        <w:szCs w:val="18"/>
      </w:rPr>
      <w:t>Green Africa Hub Ltd</w:t>
    </w:r>
    <w:r>
      <w:rPr>
        <w:rFonts w:ascii="Calibri" w:hAnsi="Calibri" w:eastAsia="Calibri" w:cs="Calibri"/>
        <w:color w:val="888888"/>
        <w:sz w:val="16"/>
        <w:szCs w:val="16"/>
      </w:rPr>
      <w:t xml:space="preserve">  |  Company No. 17107299  |  Business Plan v</w:t>
    </w:r>
    <w:r>
      <w:rPr>
        <w:rFonts w:hint="default" w:cs="Calibri"/>
        <w:color w:val="888888"/>
        <w:sz w:val="16"/>
        <w:szCs w:val="16"/>
        <w:lang w:val="en-GB"/>
      </w:rPr>
      <w:t>3</w:t>
    </w:r>
    <w:r>
      <w:rPr>
        <w:rFonts w:ascii="Calibri" w:hAnsi="Calibri" w:eastAsia="Calibri" w:cs="Calibri"/>
        <w:color w:val="888888"/>
        <w:sz w:val="16"/>
        <w:szCs w:val="16"/>
      </w:rPr>
      <w:t>.0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4757D9A0"/>
    <w:multiLevelType w:val="singleLevel"/>
    <w:tmpl w:val="4757D9A0"/>
    <w:lvl w:ilvl="0" w:tentative="0">
      <w:start w:val="1"/>
      <w:numFmt w:val="decimal"/>
      <w:suff w:val="space"/>
      <w:lvlText w:val="%1."/>
      <w:lvlJc w:val="left"/>
    </w:lvl>
  </w:abstractNum>
  <w:abstractNum w:abstractNumId="2">
    <w:nsid w:val="5C8C7D88"/>
    <w:multiLevelType w:val="singleLevel"/>
    <w:tmpl w:val="5C8C7D88"/>
    <w:lvl w:ilvl="0" w:tentative="0">
      <w:start w:val="5"/>
      <w:numFmt w:val="decimal"/>
      <w:suff w:val="space"/>
      <w:lvlText w:val="%1."/>
      <w:lvlJc w:val="left"/>
    </w:lvl>
  </w:abstractNum>
  <w:num w:numId="1">
    <w:abstractNumId w:val="1"/>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D5B4A5F"/>
    <w:rsid w:val="7B2E3294"/>
    <w:rsid w:val="7C1E52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pPr>
      <w:spacing w:before="360" w:after="180"/>
      <w:outlineLvl w:val="0"/>
    </w:pPr>
    <w:rPr>
      <w:rFonts w:ascii="Calibri" w:hAnsi="Calibri" w:eastAsia="Calibri" w:cs="Calibri"/>
      <w:b/>
      <w:bCs/>
      <w:color w:val="1A5C38"/>
      <w:sz w:val="32"/>
      <w:szCs w:val="32"/>
    </w:rPr>
  </w:style>
  <w:style w:type="paragraph" w:styleId="3">
    <w:name w:val="heading 2"/>
    <w:next w:val="1"/>
    <w:qFormat/>
    <w:uiPriority w:val="0"/>
    <w:pPr>
      <w:spacing w:before="240" w:after="120"/>
      <w:outlineLvl w:val="1"/>
    </w:pPr>
    <w:rPr>
      <w:rFonts w:ascii="Calibri" w:hAnsi="Calibri" w:eastAsia="Calibri" w:cs="Calibri"/>
      <w:b/>
      <w:bCs/>
      <w:color w:val="1A5C38"/>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rFonts w:ascii="Calibri" w:hAnsi="Calibri" w:eastAsia="Calibri" w:cs="Calibri"/>
      <w:color w:val="1A1A1A"/>
      <w:sz w:val="20"/>
      <w:szCs w:val="20"/>
    </w:rPr>
  </w:style>
  <w:style w:type="character" w:styleId="12">
    <w:name w:val="FollowedHyperlink"/>
    <w:basedOn w:val="8"/>
    <w:uiPriority w:val="0"/>
    <w:rPr>
      <w:color w:val="800080"/>
      <w:u w:val="single"/>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Calibri" w:hAnsi="Calibri" w:eastAsia="Calibri" w:cs="Calibri"/>
      <w:color w:val="1A1A1A"/>
      <w:sz w:val="20"/>
      <w:szCs w:val="20"/>
    </w:rPr>
  </w:style>
  <w:style w:type="character" w:styleId="15">
    <w:name w:val="Hyperlink"/>
    <w:unhideWhenUsed/>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1A1A1A"/>
      <w:sz w:val="56"/>
      <w:szCs w:val="56"/>
    </w:rPr>
  </w:style>
  <w:style w:type="paragraph" w:styleId="19">
    <w:name w:val="List Paragraph"/>
    <w:qFormat/>
    <w:uiPriority w:val="0"/>
    <w:rPr>
      <w:rFonts w:ascii="Calibri" w:hAnsi="Calibri" w:eastAsia="Calibri" w:cs="Calibri"/>
      <w:color w:val="1A1A1A"/>
      <w:sz w:val="22"/>
      <w:szCs w:val="22"/>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2477</Words>
  <Characters>14583</Characters>
  <TotalTime>171</TotalTime>
  <ScaleCrop>false</ScaleCrop>
  <LinksUpToDate>false</LinksUpToDate>
  <CharactersWithSpaces>16804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2026-03-26T19:22:00Z</dcterms:created>
  <dc:creator>Un-named</dc:creator>
  <cp:lastModifiedBy>WPS_1773770013</cp:lastModifiedBy>
  <dcterms:modified xsi:type="dcterms:W3CDTF">2026-03-29T01:55:04Z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eyJoZGlkIjoiMjljZTliYmU1MzY0NWRjMGQxMGIwYTEwN2Q3OTNjOTkiLCJ1c2VySWQiOiIzODQ4MjkxNTM2MjExIn0=</vt:lpwstr>
  </property>
  <property fmtid="{D5CDD505-2E9C-101B-9397-08002B2CF9AE}" pid="3" name="KSOProductBuildVer">
    <vt:lpwstr>1033-12.1.0.25242</vt:lpwstr>
  </property>
  <property fmtid="{D5CDD505-2E9C-101B-9397-08002B2CF9AE}" pid="4" name="ICV">
    <vt:lpwstr>5700DA77DA95410AA04A4E3EC4ED0394_12</vt:lpwstr>
  </property>
</Properties>
</file>