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jc w:val="center"/>
      </w:pPr>
      <w:r>
        <w:rPr>
          <w:rFonts w:ascii="Calibri" w:cs="Calibri" w:eastAsia="Calibri" w:hAnsi="Calibri"/>
          <w:b/>
          <w:bCs/>
          <w:color w:val="1A5C38"/>
          <w:sz w:val="44"/>
          <w:szCs w:val="44"/>
        </w:rPr>
        <w:t xml:space="preserve">GREEN AFRICA HUB LTD</w:t>
      </w:r>
    </w:p>
    <w:p>
      <w:pPr>
        <w:spacing w:after="0" w:before="80"/>
        <w:jc w:val="center"/>
      </w:pPr>
      <w:r>
        <w:rPr>
          <w:rFonts w:ascii="Calibri" w:cs="Calibri" w:eastAsia="Calibri" w:hAnsi="Calibri"/>
          <w:color w:val="555555"/>
          <w:sz w:val="20"/>
          <w:szCs w:val="20"/>
        </w:rPr>
        <w:t xml:space="preserve">Company No. 17107299  |  Incorporated 21 March 2026</w:t>
      </w:r>
    </w:p>
    <w:p>
      <w:pPr>
        <w:spacing w:after="0" w:before="60"/>
        <w:jc w:val="center"/>
      </w:pPr>
      <w:hyperlink w:history="1" r:id="rIdx5u5fn4vygvgt8xdcot7p">
        <w:r>
          <w:rPr>
            <w:rStyle w:val="Hyperlink"/>
            <w:rFonts w:ascii="Calibri" w:cs="Calibri" w:eastAsia="Calibri" w:hAnsi="Calibri"/>
            <w:color w:val="1A5C38"/>
            <w:sz w:val="20"/>
            <w:szCs w:val="20"/>
          </w:rPr>
          <w:t xml:space="preserve">www.greenafricahub.org.uk</w:t>
        </w:r>
      </w:hyperlink>
      <w:r>
        <w:rPr>
          <w:rFonts w:ascii="Calibri" w:cs="Calibri" w:eastAsia="Calibri" w:hAnsi="Calibri"/>
          <w:color w:val="555555"/>
          <w:sz w:val="20"/>
          <w:szCs w:val="20"/>
        </w:rPr>
        <w:t xml:space="preserve">  |  gracetuase@gmail.com  |  +44 (0) 7776 643169</w:t>
      </w:r>
    </w:p>
    <w:p>
      <w:pPr>
        <w:spacing w:after="200" w:before="60"/>
        <w:jc w:val="center"/>
      </w:pPr>
      <w:r>
        <w:rPr>
          <w:rFonts w:ascii="Calibri" w:cs="Calibri" w:eastAsia="Calibri" w:hAnsi="Calibri"/>
          <w:color w:val="555555"/>
          <w:sz w:val="20"/>
          <w:szCs w:val="20"/>
        </w:rPr>
        <w:t xml:space="preserve">Bristol, England &amp; Wales</w:t>
      </w:r>
    </w:p>
    <w:p>
      <w:pPr>
        <w:pBdr>
          <w:bottom w:val="single" w:color="1A5C38" w:sz="6" w:space="1"/>
        </w:pBdr>
        <w:spacing w:after="0" w:before="0"/>
      </w:pPr>
    </w:p>
    <w:p>
      <w:pPr>
        <w:spacing w:after="120" w:before="600"/>
        <w:jc w:val="center"/>
      </w:pPr>
      <w:r>
        <w:rPr>
          <w:rFonts w:ascii="Calibri" w:cs="Calibri" w:eastAsia="Calibri" w:hAnsi="Calibri"/>
          <w:b/>
          <w:bCs/>
          <w:color w:val="1A5C38"/>
          <w:sz w:val="40"/>
          <w:szCs w:val="40"/>
        </w:rPr>
        <w:t xml:space="preserve">Business Plan — General Version</w:t>
      </w:r>
    </w:p>
    <w:p>
      <w:pPr>
        <w:spacing w:after="60" w:before="0"/>
        <w:jc w:val="center"/>
      </w:pPr>
      <w:r>
        <w:rPr>
          <w:rFonts w:ascii="Calibri" w:cs="Calibri" w:eastAsia="Calibri" w:hAnsi="Calibri"/>
          <w:color w:val="555555"/>
          <w:sz w:val="24"/>
          <w:szCs w:val="24"/>
        </w:rPr>
        <w:t xml:space="preserve">Version 2.0 — March 2026</w:t>
      </w:r>
    </w:p>
    <w:p>
      <w:pPr>
        <w:spacing w:after="60" w:before="0"/>
        <w:jc w:val="center"/>
      </w:pPr>
      <w:r>
        <w:rPr>
          <w:rFonts w:ascii="Calibri" w:cs="Calibri" w:eastAsia="Calibri" w:hAnsi="Calibri"/>
          <w:i/>
          <w:iCs/>
          <w:color w:val="555555"/>
          <w:sz w:val="22"/>
          <w:szCs w:val="22"/>
        </w:rPr>
        <w:t xml:space="preserve">Updated following Future Leap advisor review</w:t>
      </w:r>
    </w:p>
    <w:p>
      <w:pPr>
        <w:spacing w:after="400" w:before="100"/>
        <w:jc w:val="center"/>
      </w:pPr>
      <w:r>
        <w:rPr>
          <w:rFonts w:ascii="Calibri" w:cs="Calibri" w:eastAsia="Calibri" w:hAnsi="Calibri"/>
          <w:b/>
          <w:bCs/>
          <w:color w:val="888888"/>
          <w:sz w:val="20"/>
          <w:szCs w:val="20"/>
        </w:rPr>
        <w:t xml:space="preserve">Business Confidential</w:t>
      </w:r>
    </w:p>
    <w:p>
      <w:pPr>
        <w:spacing w:after="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E6C9" w:sz="1"/>
              <w:left w:val="single" w:color="1A5C38" w:sz="18"/>
              <w:bottom w:val="single" w:color="C8E6C9" w:sz="1"/>
              <w:right w:val="single" w:color="C8E6C9" w:sz="1"/>
            </w:tcBorders>
            <w:shd w:fill="E8F5E9" w:val="clear"/>
            <w:tcMar>
              <w:top w:type="dxa" w:w="200"/>
              <w:left w:type="dxa" w:w="300"/>
              <w:bottom w:type="dxa" w:w="200"/>
              <w:right w:type="dxa" w:w="300"/>
            </w:tcMar>
          </w:tcPr>
          <w:p>
            <w:pPr>
              <w:spacing w:after="120" w:before="0"/>
              <w:jc w:val="center"/>
            </w:pPr>
            <w:r>
              <w:rPr>
                <w:rFonts w:ascii="Calibri" w:cs="Calibri" w:eastAsia="Calibri" w:hAnsi="Calibri"/>
                <w:b/>
                <w:bCs/>
                <w:i/>
                <w:iCs/>
                <w:color w:val="1A5C38"/>
                <w:sz w:val="26"/>
                <w:szCs w:val="26"/>
              </w:rPr>
              <w:t xml:space="preserve">"Sustainability is everyone's business — and should be the business of everyone."</w:t>
            </w:r>
          </w:p>
          <w:p>
            <w:pPr>
              <w:spacing w:after="0" w:before="0"/>
              <w:jc w:val="center"/>
            </w:pPr>
            <w:r>
              <w:rPr>
                <w:rFonts w:ascii="Calibri" w:cs="Calibri" w:eastAsia="Calibri" w:hAnsi="Calibri"/>
                <w:color w:val="1A5C38"/>
                <w:sz w:val="22"/>
                <w:szCs w:val="22"/>
              </w:rPr>
              <w:t xml:space="preserve">Green Africa Hub exists to ensure that Black communities are not just part of the green transition but leading it — protecting our heritage, powering our future, and making this planet a better place for our children, our communities, and for all.</w:t>
            </w:r>
          </w:p>
        </w:tc>
      </w:tr>
    </w:tbl>
    <w:p>
      <w:r>
        <w:br w:type="page"/>
      </w:r>
    </w:p>
    <w:p>
      <w:pPr>
        <w:spacing w:after="300" w:before="200"/>
        <w:jc w:val="left"/>
      </w:pPr>
      <w:r>
        <w:rPr>
          <w:rFonts w:ascii="Calibri" w:cs="Calibri" w:eastAsia="Calibri" w:hAnsi="Calibri"/>
          <w:b/>
          <w:bCs/>
          <w:color w:val="1A5C38"/>
          <w:sz w:val="32"/>
          <w:szCs w:val="32"/>
        </w:rPr>
        <w:t xml:space="preserve">Table of Contents</w:t>
      </w:r>
    </w:p>
    <w:p>
      <w:pPr>
        <w:spacing w:after="60" w:before="60"/>
        <w:ind w:left="200"/>
      </w:pPr>
      <w:r>
        <w:rPr>
          <w:rFonts w:ascii="Calibri" w:cs="Calibri" w:eastAsia="Calibri" w:hAnsi="Calibri"/>
          <w:b/>
          <w:bCs/>
          <w:color w:val="1A5C38"/>
          <w:sz w:val="22"/>
          <w:szCs w:val="22"/>
        </w:rPr>
        <w:t xml:space="preserve">1.  </w:t>
      </w:r>
      <w:r>
        <w:rPr>
          <w:rFonts w:ascii="Calibri" w:cs="Calibri" w:eastAsia="Calibri" w:hAnsi="Calibri"/>
          <w:color w:val="1A1A1A"/>
          <w:sz w:val="22"/>
          <w:szCs w:val="22"/>
        </w:rPr>
        <w:t xml:space="preserve">Executive Summary</w:t>
      </w:r>
    </w:p>
    <w:p>
      <w:pPr>
        <w:spacing w:after="60" w:before="60"/>
        <w:ind w:left="200"/>
      </w:pPr>
      <w:r>
        <w:rPr>
          <w:rFonts w:ascii="Calibri" w:cs="Calibri" w:eastAsia="Calibri" w:hAnsi="Calibri"/>
          <w:b/>
          <w:bCs/>
          <w:color w:val="1A5C38"/>
          <w:sz w:val="22"/>
          <w:szCs w:val="22"/>
        </w:rPr>
        <w:t xml:space="preserve">2.  </w:t>
      </w:r>
      <w:r>
        <w:rPr>
          <w:rFonts w:ascii="Calibri" w:cs="Calibri" w:eastAsia="Calibri" w:hAnsi="Calibri"/>
          <w:color w:val="1A1A1A"/>
          <w:sz w:val="22"/>
          <w:szCs w:val="22"/>
        </w:rPr>
        <w:t xml:space="preserve">The Founder — Grace's Story</w:t>
      </w:r>
      <w:r>
        <w:rPr>
          <w:rFonts w:ascii="Calibri" w:cs="Calibri" w:eastAsia="Calibri" w:hAnsi="Calibri"/>
          <w:b/>
          <w:bCs/>
          <w:i/>
          <w:iCs/>
          <w:color w:val="1A5C38"/>
          <w:sz w:val="20"/>
          <w:szCs w:val="20"/>
        </w:rPr>
        <w:t xml:space="preserve">  [NEW]</w:t>
      </w:r>
    </w:p>
    <w:p>
      <w:pPr>
        <w:spacing w:after="60" w:before="60"/>
        <w:ind w:left="200"/>
      </w:pPr>
      <w:r>
        <w:rPr>
          <w:rFonts w:ascii="Calibri" w:cs="Calibri" w:eastAsia="Calibri" w:hAnsi="Calibri"/>
          <w:b/>
          <w:bCs/>
          <w:color w:val="1A5C38"/>
          <w:sz w:val="22"/>
          <w:szCs w:val="22"/>
        </w:rPr>
        <w:t xml:space="preserve">3.  </w:t>
      </w:r>
      <w:r>
        <w:rPr>
          <w:rFonts w:ascii="Calibri" w:cs="Calibri" w:eastAsia="Calibri" w:hAnsi="Calibri"/>
          <w:color w:val="1A1A1A"/>
          <w:sz w:val="22"/>
          <w:szCs w:val="22"/>
        </w:rPr>
        <w:t xml:space="preserve">The Problem</w:t>
      </w:r>
    </w:p>
    <w:p>
      <w:pPr>
        <w:spacing w:after="60" w:before="60"/>
        <w:ind w:left="200"/>
      </w:pPr>
      <w:r>
        <w:rPr>
          <w:rFonts w:ascii="Calibri" w:cs="Calibri" w:eastAsia="Calibri" w:hAnsi="Calibri"/>
          <w:b/>
          <w:bCs/>
          <w:color w:val="1A5C38"/>
          <w:sz w:val="22"/>
          <w:szCs w:val="22"/>
        </w:rPr>
        <w:t xml:space="preserve">4.  </w:t>
      </w:r>
      <w:r>
        <w:rPr>
          <w:rFonts w:ascii="Calibri" w:cs="Calibri" w:eastAsia="Calibri" w:hAnsi="Calibri"/>
          <w:color w:val="1A1A1A"/>
          <w:sz w:val="22"/>
          <w:szCs w:val="22"/>
        </w:rPr>
        <w:t xml:space="preserve">The Solution — Smart Kitchen Hub</w:t>
      </w:r>
    </w:p>
    <w:p>
      <w:pPr>
        <w:spacing w:after="60" w:before="60"/>
        <w:ind w:left="200"/>
      </w:pPr>
      <w:r>
        <w:rPr>
          <w:rFonts w:ascii="Calibri" w:cs="Calibri" w:eastAsia="Calibri" w:hAnsi="Calibri"/>
          <w:b/>
          <w:bCs/>
          <w:color w:val="1A5C38"/>
          <w:sz w:val="22"/>
          <w:szCs w:val="22"/>
        </w:rPr>
        <w:t xml:space="preserve">5.  </w:t>
      </w:r>
      <w:r>
        <w:rPr>
          <w:rFonts w:ascii="Calibri" w:cs="Calibri" w:eastAsia="Calibri" w:hAnsi="Calibri"/>
          <w:color w:val="1A1A1A"/>
          <w:sz w:val="22"/>
          <w:szCs w:val="22"/>
        </w:rPr>
        <w:t xml:space="preserve">The Pilot Plan</w:t>
      </w:r>
      <w:r>
        <w:rPr>
          <w:rFonts w:ascii="Calibri" w:cs="Calibri" w:eastAsia="Calibri" w:hAnsi="Calibri"/>
          <w:b/>
          <w:bCs/>
          <w:i/>
          <w:iCs/>
          <w:color w:val="1A5C38"/>
          <w:sz w:val="20"/>
          <w:szCs w:val="20"/>
        </w:rPr>
        <w:t xml:space="preserve">  [NEW]</w:t>
      </w:r>
    </w:p>
    <w:p>
      <w:pPr>
        <w:spacing w:after="60" w:before="60"/>
        <w:ind w:left="200"/>
      </w:pPr>
      <w:r>
        <w:rPr>
          <w:rFonts w:ascii="Calibri" w:cs="Calibri" w:eastAsia="Calibri" w:hAnsi="Calibri"/>
          <w:b/>
          <w:bCs/>
          <w:color w:val="1A5C38"/>
          <w:sz w:val="22"/>
          <w:szCs w:val="22"/>
        </w:rPr>
        <w:t xml:space="preserve">6.  </w:t>
      </w:r>
      <w:r>
        <w:rPr>
          <w:rFonts w:ascii="Calibri" w:cs="Calibri" w:eastAsia="Calibri" w:hAnsi="Calibri"/>
          <w:color w:val="1A1A1A"/>
          <w:sz w:val="22"/>
          <w:szCs w:val="22"/>
        </w:rPr>
        <w:t xml:space="preserve">Revenue Model</w:t>
      </w:r>
    </w:p>
    <w:p>
      <w:pPr>
        <w:spacing w:after="60" w:before="60"/>
        <w:ind w:left="200"/>
      </w:pPr>
      <w:r>
        <w:rPr>
          <w:rFonts w:ascii="Calibri" w:cs="Calibri" w:eastAsia="Calibri" w:hAnsi="Calibri"/>
          <w:b/>
          <w:bCs/>
          <w:color w:val="1A5C38"/>
          <w:sz w:val="22"/>
          <w:szCs w:val="22"/>
        </w:rPr>
        <w:t xml:space="preserve">7.  </w:t>
      </w:r>
      <w:r>
        <w:rPr>
          <w:rFonts w:ascii="Calibri" w:cs="Calibri" w:eastAsia="Calibri" w:hAnsi="Calibri"/>
          <w:color w:val="1A1A1A"/>
          <w:sz w:val="22"/>
          <w:szCs w:val="22"/>
        </w:rPr>
        <w:t xml:space="preserve">Break-Even Analysis</w:t>
      </w:r>
      <w:r>
        <w:rPr>
          <w:rFonts w:ascii="Calibri" w:cs="Calibri" w:eastAsia="Calibri" w:hAnsi="Calibri"/>
          <w:b/>
          <w:bCs/>
          <w:i/>
          <w:iCs/>
          <w:color w:val="1A5C38"/>
          <w:sz w:val="20"/>
          <w:szCs w:val="20"/>
        </w:rPr>
        <w:t xml:space="preserve">  [NEW]</w:t>
      </w:r>
    </w:p>
    <w:p>
      <w:pPr>
        <w:spacing w:after="60" w:before="60"/>
        <w:ind w:left="200"/>
      </w:pPr>
      <w:r>
        <w:rPr>
          <w:rFonts w:ascii="Calibri" w:cs="Calibri" w:eastAsia="Calibri" w:hAnsi="Calibri"/>
          <w:b/>
          <w:bCs/>
          <w:color w:val="1A5C38"/>
          <w:sz w:val="22"/>
          <w:szCs w:val="22"/>
        </w:rPr>
        <w:t xml:space="preserve">8.  </w:t>
      </w:r>
      <w:r>
        <w:rPr>
          <w:rFonts w:ascii="Calibri" w:cs="Calibri" w:eastAsia="Calibri" w:hAnsi="Calibri"/>
          <w:color w:val="1A1A1A"/>
          <w:sz w:val="22"/>
          <w:szCs w:val="22"/>
        </w:rPr>
        <w:t xml:space="preserve">Market Opportunity</w:t>
      </w:r>
    </w:p>
    <w:p>
      <w:pPr>
        <w:spacing w:after="60" w:before="60"/>
        <w:ind w:left="200"/>
      </w:pPr>
      <w:r>
        <w:rPr>
          <w:rFonts w:ascii="Calibri" w:cs="Calibri" w:eastAsia="Calibri" w:hAnsi="Calibri"/>
          <w:b/>
          <w:bCs/>
          <w:color w:val="1A5C38"/>
          <w:sz w:val="22"/>
          <w:szCs w:val="22"/>
        </w:rPr>
        <w:t xml:space="preserve">9.  </w:t>
      </w:r>
      <w:r>
        <w:rPr>
          <w:rFonts w:ascii="Calibri" w:cs="Calibri" w:eastAsia="Calibri" w:hAnsi="Calibri"/>
          <w:color w:val="1A1A1A"/>
          <w:sz w:val="22"/>
          <w:szCs w:val="22"/>
        </w:rPr>
        <w:t xml:space="preserve">Operations &amp; Timeline</w:t>
      </w:r>
    </w:p>
    <w:p>
      <w:pPr>
        <w:spacing w:after="60" w:before="60"/>
        <w:ind w:left="200"/>
      </w:pPr>
      <w:r>
        <w:rPr>
          <w:rFonts w:ascii="Calibri" w:cs="Calibri" w:eastAsia="Calibri" w:hAnsi="Calibri"/>
          <w:b/>
          <w:bCs/>
          <w:color w:val="1A5C38"/>
          <w:sz w:val="22"/>
          <w:szCs w:val="22"/>
        </w:rPr>
        <w:t xml:space="preserve">10.  </w:t>
      </w:r>
      <w:r>
        <w:rPr>
          <w:rFonts w:ascii="Calibri" w:cs="Calibri" w:eastAsia="Calibri" w:hAnsi="Calibri"/>
          <w:color w:val="1A1A1A"/>
          <w:sz w:val="22"/>
          <w:szCs w:val="22"/>
        </w:rPr>
        <w:t xml:space="preserve">Funding Strategy</w:t>
      </w:r>
    </w:p>
    <w:p>
      <w:pPr>
        <w:spacing w:after="60" w:before="60"/>
        <w:ind w:left="200"/>
      </w:pPr>
      <w:r>
        <w:rPr>
          <w:rFonts w:ascii="Calibri" w:cs="Calibri" w:eastAsia="Calibri" w:hAnsi="Calibri"/>
          <w:b/>
          <w:bCs/>
          <w:color w:val="1A5C38"/>
          <w:sz w:val="22"/>
          <w:szCs w:val="22"/>
        </w:rPr>
        <w:t xml:space="preserve">11.  </w:t>
      </w:r>
      <w:r>
        <w:rPr>
          <w:rFonts w:ascii="Calibri" w:cs="Calibri" w:eastAsia="Calibri" w:hAnsi="Calibri"/>
          <w:color w:val="1A1A1A"/>
          <w:sz w:val="22"/>
          <w:szCs w:val="22"/>
        </w:rPr>
        <w:t xml:space="preserve">SDG Alignment</w:t>
      </w:r>
    </w:p>
    <w:p>
      <w:pPr>
        <w:spacing w:after="60" w:before="60"/>
        <w:ind w:left="200"/>
      </w:pPr>
      <w:r>
        <w:rPr>
          <w:rFonts w:ascii="Calibri" w:cs="Calibri" w:eastAsia="Calibri" w:hAnsi="Calibri"/>
          <w:b/>
          <w:bCs/>
          <w:color w:val="1A5C38"/>
          <w:sz w:val="22"/>
          <w:szCs w:val="22"/>
        </w:rPr>
        <w:t xml:space="preserve">12.  </w:t>
      </w:r>
      <w:r>
        <w:rPr>
          <w:rFonts w:ascii="Calibri" w:cs="Calibri" w:eastAsia="Calibri" w:hAnsi="Calibri"/>
          <w:color w:val="1A1A1A"/>
          <w:sz w:val="22"/>
          <w:szCs w:val="22"/>
        </w:rPr>
        <w:t xml:space="preserve">Risk Register</w:t>
      </w:r>
    </w:p>
    <w:p>
      <w:pPr>
        <w:spacing w:after="60" w:before="60"/>
        <w:ind w:left="200"/>
      </w:pPr>
      <w:r>
        <w:rPr>
          <w:rFonts w:ascii="Calibri" w:cs="Calibri" w:eastAsia="Calibri" w:hAnsi="Calibri"/>
          <w:b/>
          <w:bCs/>
          <w:color w:val="1A5C38"/>
          <w:sz w:val="22"/>
          <w:szCs w:val="22"/>
        </w:rPr>
        <w:t xml:space="preserve">13.  </w:t>
      </w:r>
      <w:r>
        <w:rPr>
          <w:rFonts w:ascii="Calibri" w:cs="Calibri" w:eastAsia="Calibri" w:hAnsi="Calibri"/>
          <w:color w:val="1A1A1A"/>
          <w:sz w:val="22"/>
          <w:szCs w:val="22"/>
        </w:rPr>
        <w:t xml:space="preserve">Conclusion</w:t>
      </w:r>
    </w:p>
    <w:p>
      <w:r>
        <w:br w:type="page"/>
      </w:r>
    </w:p>
    <w:p>
      <w:pPr>
        <w:pStyle w:val="Heading1"/>
        <w:spacing w:after="180" w:before="360"/>
      </w:pPr>
      <w:r>
        <w:rPr>
          <w:rFonts w:ascii="Calibri" w:cs="Calibri" w:eastAsia="Calibri" w:hAnsi="Calibri"/>
          <w:b/>
          <w:bCs/>
          <w:color w:val="1A5C38"/>
          <w:sz w:val="32"/>
          <w:szCs w:val="32"/>
        </w:rPr>
        <w:t xml:space="preserve">1. Executive Summary</w:t>
      </w:r>
    </w:p>
    <w:p>
      <w:pPr>
        <w:spacing w:after="80" w:before="80"/>
        <w:jc w:val="both"/>
      </w:pPr>
      <w:r>
        <w:rPr>
          <w:rFonts w:ascii="Calibri" w:cs="Calibri" w:eastAsia="Calibri" w:hAnsi="Calibri"/>
          <w:color w:val="1A1A1A"/>
          <w:sz w:val="22"/>
          <w:szCs w:val="22"/>
        </w:rPr>
        <w:t xml:space="preserve">Green Africa Hub Ltd is a newly incorporated UK social enterprise (Company No. 17107299, incorporated 21 March 2026) addressing a critical and underserved market gap: African and Caribbean communities in the UK are disproportionately affected by fuel poverty and have been systematically excluded from the green technology transition.</w:t>
      </w:r>
    </w:p>
    <w:p>
      <w:pPr>
        <w:spacing w:after="80" w:before="80"/>
        <w:jc w:val="both"/>
      </w:pPr>
      <w:r>
        <w:rPr>
          <w:rFonts w:ascii="Calibri" w:cs="Calibri" w:eastAsia="Calibri" w:hAnsi="Calibri"/>
          <w:color w:val="1A1A1A"/>
          <w:sz w:val="22"/>
          <w:szCs w:val="22"/>
        </w:rPr>
        <w:t xml:space="preserve">The business is led by Grace Omotuase — a Chartered Manager, Data Scientist, and professional cook with 14 years of financial leadership including 12 years at the Central Bank of Nigeria. Through 18 months of pre-incorporation research, Grace has developed a proprietary </w:t>
      </w:r>
      <w:r>
        <w:rPr>
          <w:rFonts w:ascii="Calibri" w:cs="Calibri" w:eastAsia="Calibri" w:hAnsi="Calibri"/>
          <w:b/>
          <w:bCs/>
          <w:color w:val="1A1A1A"/>
          <w:sz w:val="22"/>
          <w:szCs w:val="22"/>
        </w:rPr>
        <w:t xml:space="preserve">Smart-Prep Methodology™</w:t>
      </w:r>
      <w:r>
        <w:rPr>
          <w:rFonts w:ascii="Calibri" w:cs="Calibri" w:eastAsia="Calibri" w:hAnsi="Calibri"/>
          <w:color w:val="1A1A1A"/>
          <w:sz w:val="22"/>
          <w:szCs w:val="22"/>
        </w:rPr>
        <w:t xml:space="preserve"> that adapts traditional African and Caribbean recipes for energy-efficient induction cooking, alongside an AI carbon tracking dashboard built in Python, Scikit-learn, and Power BI.</w:t>
      </w:r>
    </w:p>
    <w:p>
      <w:pPr>
        <w:spacing w:after="80" w:before="80"/>
        <w:jc w:val="both"/>
      </w:pPr>
      <w:r>
        <w:rPr>
          <w:rFonts w:ascii="Calibri" w:cs="Calibri" w:eastAsia="Calibri" w:hAnsi="Calibri"/>
          <w:color w:val="1A1A1A"/>
          <w:sz w:val="22"/>
          <w:szCs w:val="22"/>
        </w:rPr>
        <w:t xml:space="preserve">Green Africa Hub operates a hybrid model with five revenue streams:</w:t>
      </w:r>
    </w:p>
    <w:p>
      <w:pPr>
        <w:pStyle w:val="ListParagraph"/>
        <w:numPr>
          <w:ilvl w:val="0"/>
          <w:numId w:val="2"/>
        </w:numPr>
        <w:spacing w:after="40" w:before="40"/>
      </w:pPr>
      <w:r>
        <w:rPr>
          <w:rFonts w:ascii="Calibri" w:cs="Calibri" w:eastAsia="Calibri" w:hAnsi="Calibri"/>
          <w:color w:val="1A1A1A"/>
          <w:sz w:val="22"/>
          <w:szCs w:val="22"/>
        </w:rPr>
        <w:t xml:space="preserve">In-person Smart Kitchen Hub sessions (from £10/session)</w:t>
      </w:r>
    </w:p>
    <w:p>
      <w:pPr>
        <w:pStyle w:val="ListParagraph"/>
        <w:numPr>
          <w:ilvl w:val="0"/>
          <w:numId w:val="2"/>
        </w:numPr>
        <w:spacing w:after="40" w:before="40"/>
      </w:pPr>
      <w:r>
        <w:rPr>
          <w:rFonts w:ascii="Calibri" w:cs="Calibri" w:eastAsia="Calibri" w:hAnsi="Calibri"/>
          <w:color w:val="1A1A1A"/>
          <w:sz w:val="22"/>
          <w:szCs w:val="22"/>
        </w:rPr>
        <w:t xml:space="preserve">Digital learning subscriptions (from £10/month)</w:t>
      </w:r>
    </w:p>
    <w:p>
      <w:pPr>
        <w:pStyle w:val="ListParagraph"/>
        <w:numPr>
          <w:ilvl w:val="0"/>
          <w:numId w:val="2"/>
        </w:numPr>
        <w:spacing w:after="40" w:before="40"/>
      </w:pPr>
      <w:r>
        <w:rPr>
          <w:rFonts w:ascii="Calibri" w:cs="Calibri" w:eastAsia="Calibri" w:hAnsi="Calibri"/>
          <w:color w:val="1A1A1A"/>
          <w:sz w:val="22"/>
          <w:szCs w:val="22"/>
        </w:rPr>
        <w:t xml:space="preserve">Kitchen memberships for micro-caterers (from £50/month)</w:t>
      </w:r>
    </w:p>
    <w:p>
      <w:pPr>
        <w:pStyle w:val="ListParagraph"/>
        <w:numPr>
          <w:ilvl w:val="0"/>
          <w:numId w:val="2"/>
        </w:numPr>
        <w:spacing w:after="40" w:before="40"/>
      </w:pPr>
      <w:r>
        <w:rPr>
          <w:rFonts w:ascii="Calibri" w:cs="Calibri" w:eastAsia="Calibri" w:hAnsi="Calibri"/>
          <w:color w:val="1A1A1A"/>
          <w:sz w:val="22"/>
          <w:szCs w:val="22"/>
        </w:rPr>
        <w:t xml:space="preserve">Equipment referral commissions (10–15% per sale)</w:t>
      </w:r>
    </w:p>
    <w:p>
      <w:pPr>
        <w:pStyle w:val="ListParagraph"/>
        <w:numPr>
          <w:ilvl w:val="0"/>
          <w:numId w:val="2"/>
        </w:numPr>
        <w:spacing w:after="40" w:before="40"/>
      </w:pPr>
      <w:r>
        <w:rPr>
          <w:rFonts w:ascii="Calibri" w:cs="Calibri" w:eastAsia="Calibri" w:hAnsi="Calibri"/>
          <w:color w:val="1A1A1A"/>
          <w:sz w:val="22"/>
          <w:szCs w:val="22"/>
        </w:rPr>
        <w:t xml:space="preserve">B2B sustainability consulting and events (from £500/engagement)</w:t>
      </w:r>
    </w:p>
    <w:p>
      <w:pPr>
        <w:spacing w:after="0" w:before="120"/>
      </w:pPr>
    </w:p>
    <w:p>
      <w:pPr>
        <w:pStyle w:val="Heading2"/>
        <w:spacing w:after="120" w:before="240"/>
      </w:pPr>
      <w:r>
        <w:rPr>
          <w:rFonts w:ascii="Calibri" w:cs="Calibri" w:eastAsia="Calibri" w:hAnsi="Calibri"/>
          <w:b/>
          <w:bCs/>
          <w:color w:val="1A5C38"/>
          <w:sz w:val="24"/>
          <w:szCs w:val="24"/>
        </w:rPr>
        <w:t xml:space="preserve">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B0B0B0" w:sz="1"/>
              <w:left w:val="single" w:color="B0B0B0" w:sz="1"/>
              <w:bottom w:val="single" w:color="B0B0B0" w:sz="1"/>
              <w:right w:val="single" w:color="B0B0B0" w:sz="1"/>
            </w:tcBorders>
            <w:shd w:fill="E8F5E9" w:val="clear"/>
            <w:tcMar>
              <w:top w:type="dxa" w:w="50"/>
              <w:left w:type="dxa" w:w="100"/>
              <w:bottom w:type="dxa" w:w="50"/>
              <w:right w:type="dxa" w:w="100"/>
            </w:tcMar>
            <w:vAlign w:val="center"/>
          </w:tcPr>
          <w:p>
            <w:pPr>
              <w:spacing w:after="0" w:before="0"/>
            </w:pPr>
            <w:r>
              <w:rPr>
                <w:rFonts w:ascii="Calibri" w:cs="Calibri" w:eastAsia="Calibri" w:hAnsi="Calibri"/>
                <w:b/>
                <w:bCs/>
                <w:color w:val="1A5C38"/>
                <w:sz w:val="20"/>
                <w:szCs w:val="20"/>
              </w:rPr>
              <w:t xml:space="preserve">Mission</w:t>
            </w:r>
          </w:p>
        </w:tc>
        <w:tc>
          <w:tcPr>
            <w:tcW w:type="dxa" w:w="6826"/>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before="0"/>
            </w:pPr>
            <w:r>
              <w:rPr>
                <w:rFonts w:ascii="Calibri" w:cs="Calibri" w:eastAsia="Calibri" w:hAnsi="Calibri"/>
                <w:color w:val="1A1A1A"/>
                <w:sz w:val="20"/>
                <w:szCs w:val="20"/>
              </w:rPr>
              <w:t xml:space="preserve">To make African and Caribbean cooking affordable, green, and future-proof.</w:t>
            </w:r>
          </w:p>
        </w:tc>
      </w:tr>
      <w:tr>
        <w:tc>
          <w:tcPr>
            <w:tcW w:type="dxa" w:w="2200"/>
            <w:tcBorders>
              <w:top w:val="single" w:color="B0B0B0" w:sz="1"/>
              <w:left w:val="single" w:color="B0B0B0" w:sz="1"/>
              <w:bottom w:val="single" w:color="B0B0B0" w:sz="1"/>
              <w:right w:val="single" w:color="B0B0B0" w:sz="1"/>
            </w:tcBorders>
            <w:shd w:fill="E8F5E9" w:val="clear"/>
            <w:tcMar>
              <w:top w:type="dxa" w:w="50"/>
              <w:left w:type="dxa" w:w="100"/>
              <w:bottom w:type="dxa" w:w="50"/>
              <w:right w:type="dxa" w:w="100"/>
            </w:tcMar>
            <w:vAlign w:val="center"/>
          </w:tcPr>
          <w:p>
            <w:pPr>
              <w:spacing w:after="0" w:before="0"/>
            </w:pPr>
            <w:r>
              <w:rPr>
                <w:rFonts w:ascii="Calibri" w:cs="Calibri" w:eastAsia="Calibri" w:hAnsi="Calibri"/>
                <w:b/>
                <w:bCs/>
                <w:color w:val="1A5C38"/>
                <w:sz w:val="20"/>
                <w:szCs w:val="20"/>
              </w:rPr>
              <w:t xml:space="preserve">Innovation</w:t>
            </w:r>
          </w:p>
        </w:tc>
        <w:tc>
          <w:tcPr>
            <w:tcW w:type="dxa" w:w="6826"/>
            <w:tcBorders>
              <w:top w:val="single" w:color="B0B0B0" w:sz="1"/>
              <w:left w:val="single" w:color="B0B0B0" w:sz="1"/>
              <w:bottom w:val="single" w:color="B0B0B0" w:sz="1"/>
              <w:right w:val="single" w:color="B0B0B0" w:sz="1"/>
            </w:tcBorders>
            <w:shd w:fill="F5F5F5" w:val="clear"/>
            <w:tcMar>
              <w:top w:type="dxa" w:w="50"/>
              <w:left w:type="dxa" w:w="100"/>
              <w:bottom w:type="dxa" w:w="50"/>
              <w:right w:type="dxa" w:w="100"/>
            </w:tcMar>
            <w:vAlign w:val="center"/>
          </w:tcPr>
          <w:p>
            <w:pPr>
              <w:spacing w:after="0" w:before="0"/>
            </w:pPr>
            <w:r>
              <w:rPr>
                <w:rFonts w:ascii="Calibri" w:cs="Calibri" w:eastAsia="Calibri" w:hAnsi="Calibri"/>
                <w:color w:val="1A1A1A"/>
                <w:sz w:val="20"/>
                <w:szCs w:val="20"/>
              </w:rPr>
              <w:t xml:space="preserve">UK's first AI-powered carbon tracking Smart Kitchen Hub for African/Caribbean food culture.</w:t>
            </w:r>
          </w:p>
        </w:tc>
      </w:tr>
      <w:tr>
        <w:tc>
          <w:tcPr>
            <w:tcW w:type="dxa" w:w="2200"/>
            <w:tcBorders>
              <w:top w:val="single" w:color="B0B0B0" w:sz="1"/>
              <w:left w:val="single" w:color="B0B0B0" w:sz="1"/>
              <w:bottom w:val="single" w:color="B0B0B0" w:sz="1"/>
              <w:right w:val="single" w:color="B0B0B0" w:sz="1"/>
            </w:tcBorders>
            <w:shd w:fill="E8F5E9" w:val="clear"/>
            <w:tcMar>
              <w:top w:type="dxa" w:w="50"/>
              <w:left w:type="dxa" w:w="100"/>
              <w:bottom w:type="dxa" w:w="50"/>
              <w:right w:type="dxa" w:w="100"/>
            </w:tcMar>
            <w:vAlign w:val="center"/>
          </w:tcPr>
          <w:p>
            <w:pPr>
              <w:spacing w:after="0" w:before="0"/>
            </w:pPr>
            <w:r>
              <w:rPr>
                <w:rFonts w:ascii="Calibri" w:cs="Calibri" w:eastAsia="Calibri" w:hAnsi="Calibri"/>
                <w:b/>
                <w:bCs/>
                <w:color w:val="1A5C38"/>
                <w:sz w:val="20"/>
                <w:szCs w:val="20"/>
              </w:rPr>
              <w:t xml:space="preserve">Pilot</w:t>
            </w:r>
          </w:p>
        </w:tc>
        <w:tc>
          <w:tcPr>
            <w:tcW w:type="dxa" w:w="6826"/>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before="0"/>
            </w:pPr>
            <w:r>
              <w:rPr>
                <w:rFonts w:ascii="Calibri" w:cs="Calibri" w:eastAsia="Calibri" w:hAnsi="Calibri"/>
                <w:color w:val="1A1A1A"/>
                <w:sz w:val="20"/>
                <w:szCs w:val="20"/>
              </w:rPr>
              <w:t xml:space="preserve">3 community sessions planned for April–June 2026 (proof of demand)</w:t>
            </w:r>
          </w:p>
        </w:tc>
      </w:tr>
      <w:tr>
        <w:tc>
          <w:tcPr>
            <w:tcW w:type="dxa" w:w="2200"/>
            <w:tcBorders>
              <w:top w:val="single" w:color="B0B0B0" w:sz="1"/>
              <w:left w:val="single" w:color="B0B0B0" w:sz="1"/>
              <w:bottom w:val="single" w:color="B0B0B0" w:sz="1"/>
              <w:right w:val="single" w:color="B0B0B0" w:sz="1"/>
            </w:tcBorders>
            <w:shd w:fill="E8F5E9" w:val="clear"/>
            <w:tcMar>
              <w:top w:type="dxa" w:w="50"/>
              <w:left w:type="dxa" w:w="100"/>
              <w:bottom w:type="dxa" w:w="50"/>
              <w:right w:type="dxa" w:w="100"/>
            </w:tcMar>
            <w:vAlign w:val="center"/>
          </w:tcPr>
          <w:p>
            <w:pPr>
              <w:spacing w:after="0" w:before="0"/>
            </w:pPr>
            <w:r>
              <w:rPr>
                <w:rFonts w:ascii="Calibri" w:cs="Calibri" w:eastAsia="Calibri" w:hAnsi="Calibri"/>
                <w:b/>
                <w:bCs/>
                <w:color w:val="1A5C38"/>
                <w:sz w:val="20"/>
                <w:szCs w:val="20"/>
              </w:rPr>
              <w:t xml:space="preserve">Revenue</w:t>
            </w:r>
          </w:p>
        </w:tc>
        <w:tc>
          <w:tcPr>
            <w:tcW w:type="dxa" w:w="6826"/>
            <w:tcBorders>
              <w:top w:val="single" w:color="B0B0B0" w:sz="1"/>
              <w:left w:val="single" w:color="B0B0B0" w:sz="1"/>
              <w:bottom w:val="single" w:color="B0B0B0" w:sz="1"/>
              <w:right w:val="single" w:color="B0B0B0" w:sz="1"/>
            </w:tcBorders>
            <w:shd w:fill="F5F5F5" w:val="clear"/>
            <w:tcMar>
              <w:top w:type="dxa" w:w="50"/>
              <w:left w:type="dxa" w:w="100"/>
              <w:bottom w:type="dxa" w:w="50"/>
              <w:right w:type="dxa" w:w="100"/>
            </w:tcMar>
            <w:vAlign w:val="center"/>
          </w:tcPr>
          <w:p>
            <w:pPr>
              <w:spacing w:after="0" w:before="0"/>
            </w:pPr>
            <w:r>
              <w:rPr>
                <w:rFonts w:ascii="Calibri" w:cs="Calibri" w:eastAsia="Calibri" w:hAnsi="Calibri"/>
                <w:color w:val="1A1A1A"/>
                <w:sz w:val="20"/>
                <w:szCs w:val="20"/>
              </w:rPr>
              <w:t xml:space="preserve">Year 1 £28,200 → Year 2 £87,500 → Year 3 £152,000</w:t>
            </w:r>
          </w:p>
        </w:tc>
      </w:tr>
      <w:tr>
        <w:tc>
          <w:tcPr>
            <w:tcW w:type="dxa" w:w="2200"/>
            <w:tcBorders>
              <w:top w:val="single" w:color="B0B0B0" w:sz="1"/>
              <w:left w:val="single" w:color="B0B0B0" w:sz="1"/>
              <w:bottom w:val="single" w:color="B0B0B0" w:sz="1"/>
              <w:right w:val="single" w:color="B0B0B0" w:sz="1"/>
            </w:tcBorders>
            <w:shd w:fill="E8F5E9" w:val="clear"/>
            <w:tcMar>
              <w:top w:type="dxa" w:w="50"/>
              <w:left w:type="dxa" w:w="100"/>
              <w:bottom w:type="dxa" w:w="50"/>
              <w:right w:type="dxa" w:w="100"/>
            </w:tcMar>
            <w:vAlign w:val="center"/>
          </w:tcPr>
          <w:p>
            <w:pPr>
              <w:spacing w:after="0" w:before="0"/>
            </w:pPr>
            <w:r>
              <w:rPr>
                <w:rFonts w:ascii="Calibri" w:cs="Calibri" w:eastAsia="Calibri" w:hAnsi="Calibri"/>
                <w:b/>
                <w:bCs/>
                <w:color w:val="1A5C38"/>
                <w:sz w:val="20"/>
                <w:szCs w:val="20"/>
              </w:rPr>
              <w:t xml:space="preserve">Break-even</w:t>
            </w:r>
          </w:p>
        </w:tc>
        <w:tc>
          <w:tcPr>
            <w:tcW w:type="dxa" w:w="6826"/>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before="0"/>
            </w:pPr>
            <w:r>
              <w:rPr>
                <w:rFonts w:ascii="Calibri" w:cs="Calibri" w:eastAsia="Calibri" w:hAnsi="Calibri"/>
                <w:color w:val="1A1A1A"/>
                <w:sz w:val="20"/>
                <w:szCs w:val="20"/>
              </w:rPr>
              <w:t xml:space="preserve">Month 7–8 (blended model); 11 sessions/month (sessions only)</w:t>
            </w:r>
          </w:p>
        </w:tc>
      </w:tr>
      <w:tr>
        <w:tc>
          <w:tcPr>
            <w:tcW w:type="dxa" w:w="2200"/>
            <w:tcBorders>
              <w:top w:val="single" w:color="B0B0B0" w:sz="1"/>
              <w:left w:val="single" w:color="B0B0B0" w:sz="1"/>
              <w:bottom w:val="single" w:color="B0B0B0" w:sz="1"/>
              <w:right w:val="single" w:color="B0B0B0" w:sz="1"/>
            </w:tcBorders>
            <w:shd w:fill="E8F5E9" w:val="clear"/>
            <w:tcMar>
              <w:top w:type="dxa" w:w="50"/>
              <w:left w:type="dxa" w:w="100"/>
              <w:bottom w:type="dxa" w:w="50"/>
              <w:right w:type="dxa" w:w="100"/>
            </w:tcMar>
            <w:vAlign w:val="center"/>
          </w:tcPr>
          <w:p>
            <w:pPr>
              <w:spacing w:after="0" w:before="0"/>
            </w:pPr>
            <w:r>
              <w:rPr>
                <w:rFonts w:ascii="Calibri" w:cs="Calibri" w:eastAsia="Calibri" w:hAnsi="Calibri"/>
                <w:b/>
                <w:bCs/>
                <w:color w:val="1A5C38"/>
                <w:sz w:val="20"/>
                <w:szCs w:val="20"/>
              </w:rPr>
              <w:t xml:space="preserve">Jobs</w:t>
            </w:r>
          </w:p>
        </w:tc>
        <w:tc>
          <w:tcPr>
            <w:tcW w:type="dxa" w:w="6826"/>
            <w:tcBorders>
              <w:top w:val="single" w:color="B0B0B0" w:sz="1"/>
              <w:left w:val="single" w:color="B0B0B0" w:sz="1"/>
              <w:bottom w:val="single" w:color="B0B0B0" w:sz="1"/>
              <w:right w:val="single" w:color="B0B0B0" w:sz="1"/>
            </w:tcBorders>
            <w:shd w:fill="F5F5F5" w:val="clear"/>
            <w:tcMar>
              <w:top w:type="dxa" w:w="50"/>
              <w:left w:type="dxa" w:w="100"/>
              <w:bottom w:type="dxa" w:w="50"/>
              <w:right w:type="dxa" w:w="100"/>
            </w:tcMar>
            <w:vAlign w:val="center"/>
          </w:tcPr>
          <w:p>
            <w:pPr>
              <w:spacing w:after="0" w:before="0"/>
            </w:pPr>
            <w:r>
              <w:rPr>
                <w:rFonts w:ascii="Calibri" w:cs="Calibri" w:eastAsia="Calibri" w:hAnsi="Calibri"/>
                <w:color w:val="1A1A1A"/>
                <w:sz w:val="20"/>
                <w:szCs w:val="20"/>
              </w:rPr>
              <w:t xml:space="preserve">2 (Year 1) → 5 (Year 2) → 10+ (Year 3)</w:t>
            </w:r>
          </w:p>
        </w:tc>
      </w:tr>
      <w:tr>
        <w:tc>
          <w:tcPr>
            <w:tcW w:type="dxa" w:w="2200"/>
            <w:tcBorders>
              <w:top w:val="single" w:color="B0B0B0" w:sz="1"/>
              <w:left w:val="single" w:color="B0B0B0" w:sz="1"/>
              <w:bottom w:val="single" w:color="B0B0B0" w:sz="1"/>
              <w:right w:val="single" w:color="B0B0B0" w:sz="1"/>
            </w:tcBorders>
            <w:shd w:fill="E8F5E9" w:val="clear"/>
            <w:tcMar>
              <w:top w:type="dxa" w:w="50"/>
              <w:left w:type="dxa" w:w="100"/>
              <w:bottom w:type="dxa" w:w="50"/>
              <w:right w:type="dxa" w:w="100"/>
            </w:tcMar>
            <w:vAlign w:val="center"/>
          </w:tcPr>
          <w:p>
            <w:pPr>
              <w:spacing w:after="0" w:before="0"/>
            </w:pPr>
            <w:r>
              <w:rPr>
                <w:rFonts w:ascii="Calibri" w:cs="Calibri" w:eastAsia="Calibri" w:hAnsi="Calibri"/>
                <w:b/>
                <w:bCs/>
                <w:color w:val="1A5C38"/>
                <w:sz w:val="20"/>
                <w:szCs w:val="20"/>
              </w:rPr>
              <w:t xml:space="preserve">Funding</w:t>
            </w:r>
          </w:p>
        </w:tc>
        <w:tc>
          <w:tcPr>
            <w:tcW w:type="dxa" w:w="6826"/>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before="0"/>
            </w:pPr>
            <w:r>
              <w:rPr>
                <w:rFonts w:ascii="Calibri" w:cs="Calibri" w:eastAsia="Calibri" w:hAnsi="Calibri"/>
                <w:color w:val="1A1A1A"/>
                <w:sz w:val="20"/>
                <w:szCs w:val="20"/>
              </w:rPr>
              <w:t xml:space="preserve">Bootstrapped. Grant pipeline: £125,000+ targeted (Innovate UK, UKSPF, WECA, National Lottery)</w:t>
            </w:r>
          </w:p>
        </w:tc>
      </w:tr>
      <w:tr>
        <w:tc>
          <w:tcPr>
            <w:tcW w:type="dxa" w:w="2200"/>
            <w:tcBorders>
              <w:top w:val="single" w:color="B0B0B0" w:sz="1"/>
              <w:left w:val="single" w:color="B0B0B0" w:sz="1"/>
              <w:bottom w:val="single" w:color="B0B0B0" w:sz="1"/>
              <w:right w:val="single" w:color="B0B0B0" w:sz="1"/>
            </w:tcBorders>
            <w:shd w:fill="E8F5E9" w:val="clear"/>
            <w:tcMar>
              <w:top w:type="dxa" w:w="50"/>
              <w:left w:type="dxa" w:w="100"/>
              <w:bottom w:type="dxa" w:w="50"/>
              <w:right w:type="dxa" w:w="100"/>
            </w:tcMar>
            <w:vAlign w:val="center"/>
          </w:tcPr>
          <w:p>
            <w:pPr>
              <w:spacing w:after="0" w:before="0"/>
            </w:pPr>
            <w:r>
              <w:rPr>
                <w:rFonts w:ascii="Calibri" w:cs="Calibri" w:eastAsia="Calibri" w:hAnsi="Calibri"/>
                <w:b/>
                <w:bCs/>
                <w:color w:val="1A5C38"/>
                <w:sz w:val="20"/>
                <w:szCs w:val="20"/>
              </w:rPr>
              <w:t xml:space="preserve">Partner</w:t>
            </w:r>
          </w:p>
        </w:tc>
        <w:tc>
          <w:tcPr>
            <w:tcW w:type="dxa" w:w="6826"/>
            <w:tcBorders>
              <w:top w:val="single" w:color="B0B0B0" w:sz="1"/>
              <w:left w:val="single" w:color="B0B0B0" w:sz="1"/>
              <w:bottom w:val="single" w:color="B0B0B0" w:sz="1"/>
              <w:right w:val="single" w:color="B0B0B0" w:sz="1"/>
            </w:tcBorders>
            <w:shd w:fill="F5F5F5" w:val="clear"/>
            <w:tcMar>
              <w:top w:type="dxa" w:w="50"/>
              <w:left w:type="dxa" w:w="100"/>
              <w:bottom w:type="dxa" w:w="50"/>
              <w:right w:type="dxa" w:w="100"/>
            </w:tcMar>
            <w:vAlign w:val="center"/>
          </w:tcPr>
          <w:p>
            <w:pPr>
              <w:spacing w:after="0" w:before="0"/>
            </w:pPr>
            <w:r>
              <w:rPr>
                <w:rFonts w:ascii="Calibri" w:cs="Calibri" w:eastAsia="Calibri" w:hAnsi="Calibri"/>
                <w:color w:val="1A1A1A"/>
                <w:sz w:val="20"/>
                <w:szCs w:val="20"/>
              </w:rPr>
              <w:t xml:space="preserve">Future Leap (WECA-funded) — confirmed sustainability and facilities partner</w:t>
            </w:r>
          </w:p>
        </w:tc>
      </w:tr>
    </w:tbl>
    <w:p>
      <w:r>
        <w:br w:type="page"/>
      </w:r>
    </w:p>
    <w:p>
      <w:pPr>
        <w:pStyle w:val="Heading1"/>
        <w:spacing w:after="180" w:before="360"/>
      </w:pPr>
      <w:r>
        <w:rPr>
          <w:rFonts w:ascii="Calibri" w:cs="Calibri" w:eastAsia="Calibri" w:hAnsi="Calibri"/>
          <w:b/>
          <w:bCs/>
          <w:color w:val="1A5C38"/>
          <w:sz w:val="32"/>
          <w:szCs w:val="32"/>
        </w:rPr>
        <w:t xml:space="preserve">2. The Founder — Grace's Story</w:t>
      </w:r>
    </w:p>
    <w:p>
      <w:pPr>
        <w:spacing w:after="60" w:before="60"/>
      </w:pPr>
      <w:r>
        <w:rPr>
          <w:rFonts w:ascii="Calibri" w:cs="Calibri" w:eastAsia="Calibri" w:hAnsi="Calibri"/>
          <w:b/>
          <w:bCs/>
          <w:i/>
          <w:iCs/>
          <w:color w:val="1A5C38"/>
          <w:sz w:val="20"/>
          <w:szCs w:val="20"/>
        </w:rPr>
        <w:t xml:space="preserve">[NEW — </w:t>
      </w:r>
      <w:r>
        <w:rPr>
          <w:rFonts w:ascii="Calibri" w:cs="Calibri" w:eastAsia="Calibri" w:hAnsi="Calibri"/>
          <w:i/>
          <w:iCs/>
          <w:color w:val="1A5C38"/>
          <w:sz w:val="20"/>
          <w:szCs w:val="20"/>
        </w:rPr>
        <w:t xml:space="preserve">Added following advisor feedback that funders back people as much as ideas</w:t>
      </w:r>
      <w:r>
        <w:rPr>
          <w:rFonts w:ascii="Calibri" w:cs="Calibri" w:eastAsia="Calibri" w:hAnsi="Calibri"/>
          <w:b/>
          <w:bCs/>
          <w:i/>
          <w:iCs/>
          <w:color w:val="1A5C38"/>
          <w:sz w:val="20"/>
          <w:szCs w:val="20"/>
        </w:rPr>
        <w:t xml:space="preserve">]</w:t>
      </w:r>
    </w:p>
    <w:p>
      <w:pPr>
        <w:spacing w:after="80" w:before="80"/>
        <w:jc w:val="both"/>
      </w:pPr>
      <w:r>
        <w:rPr>
          <w:rFonts w:ascii="Calibri" w:cs="Calibri" w:eastAsia="Calibri" w:hAnsi="Calibri"/>
          <w:color w:val="1A1A1A"/>
          <w:sz w:val="22"/>
          <w:szCs w:val="22"/>
        </w:rPr>
        <w:t xml:space="preserve">Grace Omotuase is not a typical startup founder. She came to this business through a lifetime of experience — financial leadership at scale, technical expertise in data science and AI, professional cookery training, and a deep personal connection to African and Caribbean food culture.</w:t>
      </w:r>
    </w:p>
    <w:p>
      <w:pPr>
        <w:spacing w:after="80" w:before="80"/>
        <w:jc w:val="both"/>
      </w:pPr>
      <w:r>
        <w:rPr>
          <w:rFonts w:ascii="Calibri" w:cs="Calibri" w:eastAsia="Calibri" w:hAnsi="Calibri"/>
          <w:color w:val="1A1A1A"/>
          <w:sz w:val="22"/>
          <w:szCs w:val="22"/>
        </w:rPr>
        <w:t xml:space="preserve">Born in Nigeria, Grace spent 12 years at the Central Bank of Nigeria managing teams of 30+ staff and overseeing financial programmes exceeding £300 million. She later pursued advanced qualifications in the UK — an MSc in Financial Technology at the University of Bradford, a Data Science Certificate at the University of Texas at Austin, a Professional Cookery qualification at Bradford College, Chartered Manager status through the Chartered Management Institute, CIMA Management Level, IBM AI Fundamentals, and CMI Level 5 Leadership &amp; Management.</w:t>
      </w:r>
    </w:p>
    <w:p>
      <w:pPr>
        <w:spacing w:after="80" w:before="80"/>
        <w:jc w:val="both"/>
      </w:pPr>
      <w:r>
        <w:rPr>
          <w:rFonts w:ascii="Calibri" w:cs="Calibri" w:eastAsia="Calibri" w:hAnsi="Calibri"/>
          <w:color w:val="1A1A1A"/>
          <w:sz w:val="22"/>
          <w:szCs w:val="22"/>
        </w:rPr>
        <w:t xml:space="preserve">But her path to Green Africa Hub began not in a boardroom or a lecture hall — it began in her kitchen.</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8E6C9" w:sz="1"/>
              <w:left w:val="single" w:color="1A5C38" w:sz="12"/>
              <w:bottom w:val="single" w:color="C8E6C9" w:sz="1"/>
              <w:right w:val="single" w:color="C8E6C9" w:sz="1"/>
            </w:tcBorders>
            <w:shd w:fill="E8F5E9" w:val="clear"/>
            <w:tcMar>
              <w:top w:type="dxa" w:w="200"/>
              <w:left w:type="dxa" w:w="300"/>
              <w:bottom w:type="dxa" w:w="200"/>
              <w:right w:type="dxa" w:w="300"/>
            </w:tcMar>
          </w:tcPr>
          <w:p>
            <w:pPr>
              <w:spacing w:after="120" w:before="0"/>
            </w:pPr>
            <w:r>
              <w:rPr>
                <w:rFonts w:ascii="Calibri" w:cs="Calibri" w:eastAsia="Calibri" w:hAnsi="Calibri"/>
                <w:i/>
                <w:iCs/>
                <w:color w:val="1A1A1A"/>
                <w:sz w:val="22"/>
                <w:szCs w:val="22"/>
              </w:rPr>
              <w:t xml:space="preserve">"My lightbulb moment came from a simple observation: the conflict between tradition and the cost of living. I saw talented home cooks and micro-caterers — women I knew, families I respected — struggling with massive gas bills and the rising cost of imported staples. I watched the green technology conversation happen entirely around and above them, as if their kitchens didn't matter.</w:t>
            </w:r>
          </w:p>
          <w:p>
            <w:pPr>
              <w:spacing w:after="120" w:before="0"/>
            </w:pPr>
            <w:r>
              <w:rPr>
                <w:rFonts w:ascii="Calibri" w:cs="Calibri" w:eastAsia="Calibri" w:hAnsi="Calibri"/>
                <w:i/>
                <w:iCs/>
                <w:color w:val="1A1A1A"/>
                <w:sz w:val="22"/>
                <w:szCs w:val="22"/>
              </w:rPr>
              <w:t xml:space="preserve">I realised that if we didn't find a way to make our cultural cooking green, it would eventually become too expensive to survive. Our children would grow up without the flavours that connect them to home. And our community would be left behind — again — in a transition that affects all of us.</w:t>
            </w:r>
          </w:p>
          <w:p>
            <w:pPr>
              <w:spacing w:after="120" w:before="0"/>
            </w:pPr>
            <w:r>
              <w:rPr>
                <w:rFonts w:ascii="Calibri" w:cs="Calibri" w:eastAsia="Calibri" w:hAnsi="Calibri"/>
                <w:i/>
                <w:iCs/>
                <w:color w:val="1A1A1A"/>
                <w:sz w:val="22"/>
                <w:szCs w:val="22"/>
              </w:rPr>
              <w:t xml:space="preserve">Green Africa Hub is my answer to that. It is built from lived experience, professional expertise, and a conviction that our heritage and our future are not in conflict. They are the same journey."</w:t>
            </w:r>
          </w:p>
          <w:p>
            <w:pPr>
              <w:spacing w:after="0" w:before="80"/>
              <w:jc w:val="right"/>
            </w:pPr>
            <w:r>
              <w:rPr>
                <w:rFonts w:ascii="Calibri" w:cs="Calibri" w:eastAsia="Calibri" w:hAnsi="Calibri"/>
                <w:b/>
                <w:bCs/>
                <w:color w:val="1A5C38"/>
                <w:sz w:val="22"/>
                <w:szCs w:val="22"/>
              </w:rPr>
              <w:t xml:space="preserve">— Grace Omotuase, Founder &amp; CEO</w:t>
            </w:r>
          </w:p>
        </w:tc>
      </w:tr>
    </w:tbl>
    <w:p>
      <w:pPr>
        <w:spacing w:after="0" w:before="80"/>
      </w:pPr>
    </w:p>
    <w:p>
      <w:pPr>
        <w:spacing w:after="80" w:before="80"/>
        <w:jc w:val="both"/>
      </w:pPr>
      <w:r>
        <w:rPr>
          <w:rFonts w:ascii="Calibri" w:cs="Calibri" w:eastAsia="Calibri" w:hAnsi="Calibri"/>
          <w:color w:val="1A1A1A"/>
          <w:sz w:val="22"/>
          <w:szCs w:val="22"/>
        </w:rPr>
        <w:t xml:space="preserve">Grace spent 18 months before incorporation developing and testing the Smart-Prep Methodology™ — personally adapting 11 traditional recipes for energy-efficient induction cooking, building and validating the carbon accounting framework against DEFRA 2025 emissions factors, and developing the AI carbon tracking dashboard prototype. She completed the WECA Sustainability in Business Bootcamp at Future Leap in March 2026, which provided institutional validation, community connections, and direct advisor feedback that has been incorporated into Version 2.0 of this business plan.</w:t>
      </w:r>
    </w:p>
    <w:p>
      <w:r>
        <w:br w:type="page"/>
      </w:r>
    </w:p>
    <w:p>
      <w:pPr>
        <w:pStyle w:val="Heading1"/>
        <w:spacing w:after="180" w:before="360"/>
      </w:pPr>
      <w:r>
        <w:rPr>
          <w:rFonts w:ascii="Calibri" w:cs="Calibri" w:eastAsia="Calibri" w:hAnsi="Calibri"/>
          <w:b/>
          <w:bCs/>
          <w:color w:val="1A5C38"/>
          <w:sz w:val="32"/>
          <w:szCs w:val="32"/>
        </w:rPr>
        <w:t xml:space="preserve">3. The Problem</w:t>
      </w:r>
    </w:p>
    <w:p>
      <w:pPr>
        <w:spacing w:after="80" w:before="80"/>
        <w:jc w:val="both"/>
      </w:pPr>
      <w:r>
        <w:rPr>
          <w:rFonts w:ascii="Calibri" w:cs="Calibri" w:eastAsia="Calibri" w:hAnsi="Calibri"/>
          <w:color w:val="1A1A1A"/>
          <w:sz w:val="22"/>
          <w:szCs w:val="22"/>
        </w:rPr>
        <w:t xml:space="preserve">African and Caribbean households and micro-food businesses in the UK face four interconnected challenges:</w:t>
      </w:r>
    </w:p>
    <w:p>
      <w:pPr>
        <w:pStyle w:val="Heading2"/>
        <w:spacing w:after="120" w:before="240"/>
      </w:pPr>
      <w:r>
        <w:rPr>
          <w:rFonts w:ascii="Calibri" w:cs="Calibri" w:eastAsia="Calibri" w:hAnsi="Calibri"/>
          <w:b/>
          <w:bCs/>
          <w:color w:val="1A5C38"/>
          <w:sz w:val="24"/>
          <w:szCs w:val="24"/>
        </w:rPr>
        <w:t xml:space="preserve">3.1 Rising Energy Costs</w:t>
      </w:r>
    </w:p>
    <w:p>
      <w:pPr>
        <w:spacing w:after="80" w:before="80"/>
        <w:jc w:val="both"/>
      </w:pPr>
      <w:r>
        <w:rPr>
          <w:rFonts w:ascii="Calibri" w:cs="Calibri" w:eastAsia="Calibri" w:hAnsi="Calibri"/>
          <w:color w:val="1A1A1A"/>
          <w:sz w:val="22"/>
          <w:szCs w:val="22"/>
        </w:rPr>
        <w:t xml:space="preserve">Traditional African and Caribbean cooking relies on gas for extended high-heat methods — long-simmering stews, deep frying, steaming over high heat. With UK gas prices rising over 40% since 2021, small caterers and households face unmanageable costs. Average energy bills for African and Caribbean households run £2,400–£3,200 annually, approximately 40% above the national average. Fuel poverty rates in Black African and Black Caribbean communities run at 25–30%, compared to the 13% national average (ONS, 2021 Census data).</w:t>
      </w:r>
    </w:p>
    <w:p>
      <w:pPr>
        <w:pStyle w:val="Heading2"/>
        <w:spacing w:after="120" w:before="240"/>
      </w:pPr>
      <w:r>
        <w:rPr>
          <w:rFonts w:ascii="Calibri" w:cs="Calibri" w:eastAsia="Calibri" w:hAnsi="Calibri"/>
          <w:b/>
          <w:bCs/>
          <w:color w:val="1A5C38"/>
          <w:sz w:val="24"/>
          <w:szCs w:val="24"/>
        </w:rPr>
        <w:t xml:space="preserve">3.2 High Carbon Footprint</w:t>
      </w:r>
    </w:p>
    <w:p>
      <w:pPr>
        <w:spacing w:after="80" w:before="80"/>
        <w:jc w:val="both"/>
      </w:pPr>
      <w:r>
        <w:rPr>
          <w:rFonts w:ascii="Calibri" w:cs="Calibri" w:eastAsia="Calibri" w:hAnsi="Calibri"/>
          <w:color w:val="1A1A1A"/>
          <w:sz w:val="22"/>
          <w:szCs w:val="22"/>
        </w:rPr>
        <w:t xml:space="preserve">Gas cooking produces significant Scope 1 emissions directly in the home. Imported ingredients — plantains, yams, scotch bonnets, palm oil — create Scope 3 supply chain emissions. Neither is currently tracked or managed by community caterers. The vast majority of African and Caribbean micro-food businesses have no carbon footprint data at all, making them unable to meet emerging ESG requirements or access green economy funding.</w:t>
      </w:r>
    </w:p>
    <w:p>
      <w:pPr>
        <w:pStyle w:val="Heading2"/>
        <w:spacing w:after="120" w:before="240"/>
      </w:pPr>
      <w:r>
        <w:rPr>
          <w:rFonts w:ascii="Calibri" w:cs="Calibri" w:eastAsia="Calibri" w:hAnsi="Calibri"/>
          <w:b/>
          <w:bCs/>
          <w:color w:val="1A5C38"/>
          <w:sz w:val="24"/>
          <w:szCs w:val="24"/>
        </w:rPr>
        <w:t xml:space="preserve">3.3 Exclusion from Green Technology</w:t>
      </w:r>
    </w:p>
    <w:p>
      <w:pPr>
        <w:spacing w:after="80" w:before="80"/>
        <w:jc w:val="both"/>
      </w:pPr>
      <w:r>
        <w:rPr>
          <w:rFonts w:ascii="Calibri" w:cs="Calibri" w:eastAsia="Calibri" w:hAnsi="Calibri"/>
          <w:color w:val="1A1A1A"/>
          <w:sz w:val="22"/>
          <w:szCs w:val="22"/>
        </w:rPr>
        <w:t xml:space="preserve">Based on community engagement during the WECA Sustainability in Business Bootcamp (March 2026) and direct conversations with Bristol's African and Caribbean food community, Green Africa Hub's founder observed that the overwhelming majority of small African and Caribbean community caterers have not accessed green kitchen technology. The barriers are consistent: high upfront costs of quality induction equipment (£600–£1,500), no community-specific guidance or demonstration, and a widespread perception — understandable given the lack of evidence to the contrary — that induction technology cannot replicate the results of traditional gas cooking.</w:t>
      </w:r>
    </w:p>
    <w:p>
      <w:pPr>
        <w:spacing w:after="80" w:before="80"/>
        <w:jc w:val="both"/>
      </w:pPr>
      <w:r>
        <w:rPr>
          <w:rFonts w:ascii="Calibri" w:cs="Calibri" w:eastAsia="Calibri" w:hAnsi="Calibri"/>
          <w:b/>
          <w:bCs/>
          <w:i/>
          <w:iCs/>
          <w:color w:val="555555"/>
          <w:sz w:val="22"/>
          <w:szCs w:val="22"/>
        </w:rPr>
        <w:t xml:space="preserve">Note: </w:t>
      </w:r>
      <w:r>
        <w:rPr>
          <w:rFonts w:ascii="Calibri" w:cs="Calibri" w:eastAsia="Calibri" w:hAnsi="Calibri"/>
          <w:i/>
          <w:iCs/>
          <w:color w:val="555555"/>
          <w:sz w:val="22"/>
          <w:szCs w:val="22"/>
        </w:rPr>
        <w:t xml:space="preserve">This observation is based on Grace Omotuase's direct community engagement and the WECA Bootcamp research process. Formal market research will be conducted during the pilot phase (April–June 2026) to generate quantified data.</w:t>
      </w:r>
    </w:p>
    <w:p>
      <w:pPr>
        <w:pStyle w:val="Heading2"/>
        <w:spacing w:after="120" w:before="240"/>
      </w:pPr>
      <w:r>
        <w:rPr>
          <w:rFonts w:ascii="Calibri" w:cs="Calibri" w:eastAsia="Calibri" w:hAnsi="Calibri"/>
          <w:b/>
          <w:bCs/>
          <w:color w:val="1A5C38"/>
          <w:sz w:val="24"/>
          <w:szCs w:val="24"/>
        </w:rPr>
        <w:t xml:space="preserve">3.4 The Cultural Dimension</w:t>
      </w:r>
    </w:p>
    <w:p>
      <w:pPr>
        <w:spacing w:after="80" w:before="80"/>
        <w:jc w:val="both"/>
      </w:pPr>
      <w:r>
        <w:rPr>
          <w:rFonts w:ascii="Calibri" w:cs="Calibri" w:eastAsia="Calibri" w:hAnsi="Calibri"/>
          <w:color w:val="1A1A1A"/>
          <w:sz w:val="22"/>
          <w:szCs w:val="22"/>
        </w:rPr>
        <w:t xml:space="preserve">Many African and Caribbean cooks believe — often correctly, based on their experience of poorly adapted equipment — that induction cooking cannot replicate traditional methods. This perception, combined with high costs and a lack of trusted guidance from within the community, perpetuates gas dependency despite its economic and environmental costs. Green Africa Hub addresses this not through generic sustainability messaging, but through culturally credible demonstration: Grace cooks the food herself, in the community, with the technology.</w:t>
      </w:r>
    </w:p>
    <w:p>
      <w:r>
        <w:br w:type="page"/>
      </w:r>
    </w:p>
    <w:p>
      <w:pPr>
        <w:pStyle w:val="Heading1"/>
        <w:spacing w:after="180" w:before="360"/>
      </w:pPr>
      <w:r>
        <w:rPr>
          <w:rFonts w:ascii="Calibri" w:cs="Calibri" w:eastAsia="Calibri" w:hAnsi="Calibri"/>
          <w:b/>
          <w:bCs/>
          <w:color w:val="1A5C38"/>
          <w:sz w:val="32"/>
          <w:szCs w:val="32"/>
        </w:rPr>
        <w:t xml:space="preserve">4. The Solution — Smart Kitchen Hub</w:t>
      </w:r>
    </w:p>
    <w:p>
      <w:pPr>
        <w:pStyle w:val="Heading2"/>
        <w:spacing w:after="120" w:before="240"/>
      </w:pPr>
      <w:r>
        <w:rPr>
          <w:rFonts w:ascii="Calibri" w:cs="Calibri" w:eastAsia="Calibri" w:hAnsi="Calibri"/>
          <w:b/>
          <w:bCs/>
          <w:color w:val="1A5C38"/>
          <w:sz w:val="24"/>
          <w:szCs w:val="24"/>
        </w:rPr>
        <w:t xml:space="preserve">4.1 Smart-Prep Methodology™</w:t>
      </w:r>
    </w:p>
    <w:p>
      <w:pPr>
        <w:spacing w:after="80" w:before="80"/>
        <w:jc w:val="both"/>
      </w:pPr>
      <w:r>
        <w:rPr>
          <w:rFonts w:ascii="Calibri" w:cs="Calibri" w:eastAsia="Calibri" w:hAnsi="Calibri"/>
          <w:color w:val="1A1A1A"/>
          <w:sz w:val="22"/>
          <w:szCs w:val="22"/>
        </w:rPr>
        <w:t xml:space="preserve">Green Africa Hub's core proprietary asset is the Smart-Prep Methodology™ — a systematic process for adapting traditional African and Caribbean recipes to energy-efficient induction cooking. Each adapted recipe preserves cultural authenticity while reducing energy consumption and carbon emissions.</w:t>
      </w:r>
    </w:p>
    <w:p>
      <w:pPr>
        <w:spacing w:after="80" w:before="80"/>
        <w:jc w:val="both"/>
      </w:pPr>
      <w:r>
        <w:rPr>
          <w:rFonts w:ascii="Calibri" w:cs="Calibri" w:eastAsia="Calibri" w:hAnsi="Calibri"/>
          <w:b/>
          <w:bCs/>
          <w:color w:val="1A1A1A"/>
          <w:sz w:val="22"/>
          <w:szCs w:val="22"/>
        </w:rPr>
        <w:t xml:space="preserve">Current status: </w:t>
      </w:r>
      <w:r>
        <w:rPr>
          <w:rFonts w:ascii="Calibri" w:cs="Calibri" w:eastAsia="Calibri" w:hAnsi="Calibri"/>
          <w:color w:val="1A1A1A"/>
          <w:sz w:val="22"/>
          <w:szCs w:val="22"/>
        </w:rPr>
        <w:t xml:space="preserve">11 fully tested and validated recipes completed. 40+ in development pipeline. Trademark application in preparation (Q2 2026, Classes 41, 42, 43).</w:t>
      </w:r>
    </w:p>
    <w:p>
      <w:pPr>
        <w:pStyle w:val="Heading2"/>
        <w:spacing w:after="120" w:before="240"/>
      </w:pPr>
      <w:r>
        <w:rPr>
          <w:rFonts w:ascii="Calibri" w:cs="Calibri" w:eastAsia="Calibri" w:hAnsi="Calibri"/>
          <w:b/>
          <w:bCs/>
          <w:color w:val="1A5C38"/>
          <w:sz w:val="24"/>
          <w:szCs w:val="24"/>
        </w:rPr>
        <w:t xml:space="preserve">4.2 AI Carbon Tracking Dashboard</w:t>
      </w:r>
    </w:p>
    <w:p>
      <w:pPr>
        <w:spacing w:after="80" w:before="80"/>
        <w:jc w:val="both"/>
      </w:pPr>
      <w:r>
        <w:rPr>
          <w:rFonts w:ascii="Calibri" w:cs="Calibri" w:eastAsia="Calibri" w:hAnsi="Calibri"/>
          <w:color w:val="1A1A1A"/>
          <w:sz w:val="22"/>
          <w:szCs w:val="22"/>
        </w:rPr>
        <w:t xml:space="preserve">The UK's first AI-powered carbon tracking tool designed specifically for African and Caribbean cooking. Built by Grace using Python, Scikit-learn, and Power BI — the tool maps each recipe's ingredients and cooking method to real emissions data using DEFRA 2025 factors and recommends culturally appropriate lower-carbon alternatives. Prototype functional. Pilot with 50 households planned for Year 1.</w:t>
      </w:r>
    </w:p>
    <w:p>
      <w:pPr>
        <w:pStyle w:val="Heading2"/>
        <w:spacing w:after="120" w:before="240"/>
      </w:pPr>
      <w:r>
        <w:rPr>
          <w:rFonts w:ascii="Calibri" w:cs="Calibri" w:eastAsia="Calibri" w:hAnsi="Calibri"/>
          <w:b/>
          <w:bCs/>
          <w:color w:val="1A5C38"/>
          <w:sz w:val="24"/>
          <w:szCs w:val="24"/>
        </w:rPr>
        <w:t xml:space="preserve">4.3 Smart Kitchen Hub — Bristol</w:t>
      </w:r>
    </w:p>
    <w:p>
      <w:pPr>
        <w:spacing w:after="80" w:before="80"/>
        <w:jc w:val="both"/>
      </w:pPr>
      <w:r>
        <w:rPr>
          <w:rFonts w:ascii="Calibri" w:cs="Calibri" w:eastAsia="Calibri" w:hAnsi="Calibri"/>
          <w:color w:val="1A1A1A"/>
          <w:sz w:val="22"/>
          <w:szCs w:val="22"/>
        </w:rPr>
        <w:t xml:space="preserve">A community-facing hub in Bristol combining:</w:t>
      </w:r>
    </w:p>
    <w:p>
      <w:pPr>
        <w:pStyle w:val="ListParagraph"/>
        <w:numPr>
          <w:ilvl w:val="0"/>
          <w:numId w:val="2"/>
        </w:numPr>
        <w:spacing w:after="40" w:before="40"/>
      </w:pPr>
      <w:r>
        <w:rPr>
          <w:rFonts w:ascii="Calibri" w:cs="Calibri" w:eastAsia="Calibri" w:hAnsi="Calibri"/>
          <w:color w:val="1A1A1A"/>
          <w:sz w:val="22"/>
          <w:szCs w:val="22"/>
        </w:rPr>
        <w:t xml:space="preserve">Shared electric induction cooking facilities</w:t>
      </w:r>
    </w:p>
    <w:p>
      <w:pPr>
        <w:pStyle w:val="ListParagraph"/>
        <w:numPr>
          <w:ilvl w:val="0"/>
          <w:numId w:val="2"/>
        </w:numPr>
        <w:spacing w:after="40" w:before="40"/>
      </w:pPr>
      <w:r>
        <w:rPr>
          <w:rFonts w:ascii="Calibri" w:cs="Calibri" w:eastAsia="Calibri" w:hAnsi="Calibri"/>
          <w:color w:val="1A1A1A"/>
          <w:sz w:val="22"/>
          <w:szCs w:val="22"/>
        </w:rPr>
        <w:t xml:space="preserve">In-person Smart-Prep cooking sessions</w:t>
      </w:r>
    </w:p>
    <w:p>
      <w:pPr>
        <w:pStyle w:val="ListParagraph"/>
        <w:numPr>
          <w:ilvl w:val="0"/>
          <w:numId w:val="2"/>
        </w:numPr>
        <w:spacing w:after="40" w:before="40"/>
      </w:pPr>
      <w:r>
        <w:rPr>
          <w:rFonts w:ascii="Calibri" w:cs="Calibri" w:eastAsia="Calibri" w:hAnsi="Calibri"/>
          <w:color w:val="1A1A1A"/>
          <w:sz w:val="22"/>
          <w:szCs w:val="22"/>
        </w:rPr>
        <w:t xml:space="preserve">Live carbon tracking and education</w:t>
      </w:r>
    </w:p>
    <w:p>
      <w:pPr>
        <w:pStyle w:val="ListParagraph"/>
        <w:numPr>
          <w:ilvl w:val="0"/>
          <w:numId w:val="2"/>
        </w:numPr>
        <w:spacing w:after="40" w:before="40"/>
      </w:pPr>
      <w:r>
        <w:rPr>
          <w:rFonts w:ascii="Calibri" w:cs="Calibri" w:eastAsia="Calibri" w:hAnsi="Calibri"/>
          <w:color w:val="1A1A1A"/>
          <w:sz w:val="22"/>
          <w:szCs w:val="22"/>
        </w:rPr>
        <w:t xml:space="preserve">Food safety and allergen training</w:t>
      </w:r>
    </w:p>
    <w:p>
      <w:pPr>
        <w:pStyle w:val="ListParagraph"/>
        <w:numPr>
          <w:ilvl w:val="0"/>
          <w:numId w:val="2"/>
        </w:numPr>
        <w:spacing w:after="40" w:before="40"/>
      </w:pPr>
      <w:r>
        <w:rPr>
          <w:rFonts w:ascii="Calibri" w:cs="Calibri" w:eastAsia="Calibri" w:hAnsi="Calibri"/>
          <w:color w:val="1A1A1A"/>
          <w:sz w:val="22"/>
          <w:szCs w:val="22"/>
        </w:rPr>
        <w:t xml:space="preserve">Digital subscription platform access</w:t>
      </w:r>
    </w:p>
    <w:p>
      <w:pPr>
        <w:spacing w:after="80" w:before="80"/>
        <w:jc w:val="both"/>
      </w:pPr>
      <w:r>
        <w:rPr>
          <w:rFonts w:ascii="Calibri" w:cs="Calibri" w:eastAsia="Calibri" w:hAnsi="Calibri"/>
          <w:color w:val="1A1A1A"/>
          <w:sz w:val="22"/>
          <w:szCs w:val="22"/>
        </w:rPr>
        <w:t xml:space="preserve">Partnership with Future Leap (WECA-funded) confirmed for facilities access during Year 1.</w:t>
      </w:r>
    </w:p>
    <w:p>
      <w:pPr>
        <w:pStyle w:val="Heading2"/>
        <w:spacing w:after="120" w:before="240"/>
      </w:pPr>
      <w:r>
        <w:rPr>
          <w:rFonts w:ascii="Calibri" w:cs="Calibri" w:eastAsia="Calibri" w:hAnsi="Calibri"/>
          <w:b/>
          <w:bCs/>
          <w:color w:val="1A5C38"/>
          <w:sz w:val="24"/>
          <w:szCs w:val="24"/>
        </w:rPr>
        <w:t xml:space="preserve">4.4 Hub &amp; Spoke Scalability</w:t>
      </w:r>
    </w:p>
    <w:p>
      <w:pPr>
        <w:spacing w:after="80" w:before="80"/>
        <w:jc w:val="both"/>
      </w:pPr>
      <w:r>
        <w:rPr>
          <w:rFonts w:ascii="Calibri" w:cs="Calibri" w:eastAsia="Calibri" w:hAnsi="Calibri"/>
          <w:color w:val="1A1A1A"/>
          <w:sz w:val="22"/>
          <w:szCs w:val="22"/>
        </w:rPr>
        <w:t xml:space="preserve">Bristol Hub provides centralised R&amp;D, content creation, and quality assurance. Licensed community Spokes deliver local training in Birmingham (Year 2) and Manchester (Year 2–3), scaling to 10+ UK cities by Year 5. Digital platform provides national reach from Day 1.</w:t>
      </w:r>
    </w:p>
    <w:p>
      <w:r>
        <w:br w:type="page"/>
      </w:r>
    </w:p>
    <w:p>
      <w:pPr>
        <w:pStyle w:val="Heading1"/>
        <w:spacing w:after="180" w:before="360"/>
      </w:pPr>
      <w:r>
        <w:rPr>
          <w:rFonts w:ascii="Calibri" w:cs="Calibri" w:eastAsia="Calibri" w:hAnsi="Calibri"/>
          <w:b/>
          <w:bCs/>
          <w:color w:val="1A5C38"/>
          <w:sz w:val="32"/>
          <w:szCs w:val="32"/>
        </w:rPr>
        <w:t xml:space="preserve">5. The Pilot Plan — April–June 2026</w:t>
      </w:r>
    </w:p>
    <w:p>
      <w:pPr>
        <w:spacing w:after="60" w:before="60"/>
      </w:pPr>
      <w:r>
        <w:rPr>
          <w:rFonts w:ascii="Calibri" w:cs="Calibri" w:eastAsia="Calibri" w:hAnsi="Calibri"/>
          <w:b/>
          <w:bCs/>
          <w:i/>
          <w:iCs/>
          <w:color w:val="1A5C38"/>
          <w:sz w:val="20"/>
          <w:szCs w:val="20"/>
        </w:rPr>
        <w:t xml:space="preserve">[NEW — </w:t>
      </w:r>
      <w:r>
        <w:rPr>
          <w:rFonts w:ascii="Calibri" w:cs="Calibri" w:eastAsia="Calibri" w:hAnsi="Calibri"/>
          <w:i/>
          <w:iCs/>
          <w:color w:val="1A5C38"/>
          <w:sz w:val="20"/>
          <w:szCs w:val="20"/>
        </w:rPr>
        <w:t xml:space="preserve">Added following Future Leap advisor recommendation</w:t>
      </w:r>
      <w:r>
        <w:rPr>
          <w:rFonts w:ascii="Calibri" w:cs="Calibri" w:eastAsia="Calibri" w:hAnsi="Calibri"/>
          <w:b/>
          <w:bCs/>
          <w:i/>
          <w:iCs/>
          <w:color w:val="1A5C38"/>
          <w:sz w:val="20"/>
          <w:szCs w:val="20"/>
        </w:rPr>
        <w:t xml:space="preserve">]</w:t>
      </w:r>
    </w:p>
    <w:p>
      <w:pPr>
        <w:spacing w:after="80" w:before="80"/>
        <w:jc w:val="both"/>
      </w:pPr>
      <w:r>
        <w:rPr>
          <w:rFonts w:ascii="Calibri" w:cs="Calibri" w:eastAsia="Calibri" w:hAnsi="Calibri"/>
          <w:color w:val="1A1A1A"/>
          <w:sz w:val="22"/>
          <w:szCs w:val="22"/>
        </w:rPr>
        <w:t xml:space="preserve">Before approaching funders for larger capital, Green Africa Hub will run a structured 3-session community pilot to generate real evidence of demand, willingness to pay, and programme impact.</w:t>
      </w:r>
    </w:p>
    <w:p>
      <w:pPr>
        <w:pStyle w:val="Heading2"/>
        <w:spacing w:after="120" w:before="240"/>
      </w:pPr>
      <w:r>
        <w:rPr>
          <w:rFonts w:ascii="Calibri" w:cs="Calibri" w:eastAsia="Calibri" w:hAnsi="Calibri"/>
          <w:b/>
          <w:bCs/>
          <w:color w:val="1A5C38"/>
          <w:sz w:val="24"/>
          <w:szCs w:val="24"/>
        </w:rPr>
        <w:t xml:space="preserve">Pilot Structure</w:t>
      </w:r>
    </w:p>
    <w:p>
      <w:pPr>
        <w:pStyle w:val="ListParagraph"/>
        <w:numPr>
          <w:ilvl w:val="0"/>
          <w:numId w:val="2"/>
        </w:numPr>
        <w:spacing w:after="40" w:before="40"/>
      </w:pPr>
      <w:r>
        <w:rPr>
          <w:rFonts w:ascii="Calibri" w:cs="Calibri" w:eastAsia="Calibri" w:hAnsi="Calibri"/>
          <w:color w:val="1A1A1A"/>
          <w:sz w:val="22"/>
          <w:szCs w:val="22"/>
        </w:rPr>
        <w:t xml:space="preserve">3 sessions: April, May, June 2026</w:t>
      </w:r>
    </w:p>
    <w:p>
      <w:pPr>
        <w:pStyle w:val="ListParagraph"/>
        <w:numPr>
          <w:ilvl w:val="0"/>
          <w:numId w:val="2"/>
        </w:numPr>
        <w:spacing w:after="40" w:before="40"/>
      </w:pPr>
      <w:r>
        <w:rPr>
          <w:rFonts w:ascii="Calibri" w:cs="Calibri" w:eastAsia="Calibri" w:hAnsi="Calibri"/>
          <w:color w:val="1A1A1A"/>
          <w:sz w:val="22"/>
          <w:szCs w:val="22"/>
        </w:rPr>
        <w:t xml:space="preserve">Venue: Community kitchen in Bristol (approached via pilot proposal — zero venue cost)</w:t>
      </w:r>
    </w:p>
    <w:p>
      <w:pPr>
        <w:pStyle w:val="ListParagraph"/>
        <w:numPr>
          <w:ilvl w:val="0"/>
          <w:numId w:val="2"/>
        </w:numPr>
        <w:spacing w:after="40" w:before="40"/>
      </w:pPr>
      <w:r>
        <w:rPr>
          <w:rFonts w:ascii="Calibri" w:cs="Calibri" w:eastAsia="Calibri" w:hAnsi="Calibri"/>
          <w:color w:val="1A1A1A"/>
          <w:sz w:val="22"/>
          <w:szCs w:val="22"/>
        </w:rPr>
        <w:t xml:space="preserve">Participants: 8–15 per session</w:t>
      </w:r>
    </w:p>
    <w:p>
      <w:pPr>
        <w:pStyle w:val="ListParagraph"/>
        <w:numPr>
          <w:ilvl w:val="0"/>
          <w:numId w:val="2"/>
        </w:numPr>
        <w:spacing w:after="40" w:before="40"/>
      </w:pPr>
      <w:r>
        <w:rPr>
          <w:rFonts w:ascii="Calibri" w:cs="Calibri" w:eastAsia="Calibri" w:hAnsi="Calibri"/>
          <w:color w:val="1A1A1A"/>
          <w:sz w:val="22"/>
          <w:szCs w:val="22"/>
        </w:rPr>
        <w:t xml:space="preserve">Session themes: Smart-Prep Basics / African Flavours, Green Futures / Carbon Tracking in Your Kitchen</w:t>
      </w:r>
    </w:p>
    <w:p>
      <w:pPr>
        <w:pStyle w:val="ListParagraph"/>
        <w:numPr>
          <w:ilvl w:val="0"/>
          <w:numId w:val="2"/>
        </w:numPr>
        <w:spacing w:after="40" w:before="40"/>
      </w:pPr>
      <w:r>
        <w:rPr>
          <w:rFonts w:ascii="Calibri" w:cs="Calibri" w:eastAsia="Calibri" w:hAnsi="Calibri"/>
          <w:color w:val="1A1A1A"/>
          <w:sz w:val="22"/>
          <w:szCs w:val="22"/>
        </w:rPr>
        <w:t xml:space="preserve">Cost to participants: Free (pilot phase)</w:t>
      </w:r>
    </w:p>
    <w:p>
      <w:pPr>
        <w:pStyle w:val="ListParagraph"/>
        <w:numPr>
          <w:ilvl w:val="0"/>
          <w:numId w:val="2"/>
        </w:numPr>
        <w:spacing w:after="40" w:before="40"/>
      </w:pPr>
      <w:r>
        <w:rPr>
          <w:rFonts w:ascii="Calibri" w:cs="Calibri" w:eastAsia="Calibri" w:hAnsi="Calibri"/>
          <w:color w:val="1A1A1A"/>
          <w:sz w:val="22"/>
          <w:szCs w:val="22"/>
        </w:rPr>
        <w:t xml:space="preserve">Equipment: Grace's own portable induction equipment</w:t>
      </w:r>
    </w:p>
    <w:p>
      <w:pPr>
        <w:pStyle w:val="Heading2"/>
        <w:spacing w:after="120" w:before="240"/>
      </w:pPr>
      <w:r>
        <w:rPr>
          <w:rFonts w:ascii="Calibri" w:cs="Calibri" w:eastAsia="Calibri" w:hAnsi="Calibri"/>
          <w:b/>
          <w:bCs/>
          <w:color w:val="1A5C38"/>
          <w:sz w:val="24"/>
          <w:szCs w:val="24"/>
        </w:rPr>
        <w:t xml:space="preserve">What the Pilot Will Measure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0B0B0" w:sz="1"/>
              <w:left w:val="single" w:color="B0B0B0" w:sz="1"/>
              <w:bottom w:val="single" w:color="B0B0B0" w:sz="1"/>
              <w:right w:val="single" w:color="B0B0B0" w:sz="1"/>
            </w:tcBorders>
            <w:shd w:fill="1A5C38" w:val="clear"/>
            <w:tcMar>
              <w:top w:type="dxa" w:w="60"/>
              <w:left w:type="dxa" w:w="100"/>
              <w:bottom w:type="dxa" w:w="60"/>
              <w:right w:type="dxa" w:w="100"/>
            </w:tcMar>
            <w:vAlign w:val="center"/>
          </w:tcPr>
          <w:p>
            <w:pPr>
              <w:spacing w:after="0" w:before="0"/>
            </w:pPr>
            <w:r>
              <w:rPr>
                <w:rFonts w:ascii="Calibri" w:cs="Calibri" w:eastAsia="Calibri" w:hAnsi="Calibri"/>
                <w:b/>
                <w:bCs/>
                <w:color w:val="FFFFFF"/>
                <w:sz w:val="20"/>
                <w:szCs w:val="20"/>
              </w:rPr>
              <w:t xml:space="preserve">Metric</w:t>
            </w:r>
          </w:p>
        </w:tc>
        <w:tc>
          <w:tcPr>
            <w:tcW w:type="dxa" w:w="4513"/>
            <w:tcBorders>
              <w:top w:val="single" w:color="B0B0B0" w:sz="1"/>
              <w:left w:val="single" w:color="B0B0B0" w:sz="1"/>
              <w:bottom w:val="single" w:color="B0B0B0" w:sz="1"/>
              <w:right w:val="single" w:color="B0B0B0" w:sz="1"/>
            </w:tcBorders>
            <w:shd w:fill="1A5C38" w:val="clear"/>
            <w:tcMar>
              <w:top w:type="dxa" w:w="60"/>
              <w:left w:type="dxa" w:w="100"/>
              <w:bottom w:type="dxa" w:w="60"/>
              <w:right w:type="dxa" w:w="100"/>
            </w:tcMar>
            <w:vAlign w:val="center"/>
          </w:tcPr>
          <w:p>
            <w:pPr>
              <w:spacing w:after="0" w:before="0"/>
            </w:pPr>
            <w:r>
              <w:rPr>
                <w:rFonts w:ascii="Calibri" w:cs="Calibri" w:eastAsia="Calibri" w:hAnsi="Calibri"/>
                <w:b/>
                <w:bCs/>
                <w:color w:val="FFFFFF"/>
                <w:sz w:val="20"/>
                <w:szCs w:val="20"/>
              </w:rPr>
              <w:t xml:space="preserve">Purpose</w:t>
            </w:r>
          </w:p>
        </w:tc>
      </w:tr>
      <w:tr>
        <w:tc>
          <w:tcPr>
            <w:tcW w:type="dxa" w:w="4513"/>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before="0"/>
            </w:pPr>
            <w:r>
              <w:rPr>
                <w:rFonts w:ascii="Calibri" w:cs="Calibri" w:eastAsia="Calibri" w:hAnsi="Calibri"/>
                <w:b w:val="false"/>
                <w:bCs w:val="false"/>
                <w:color w:val="1A1A1A"/>
                <w:sz w:val="20"/>
                <w:szCs w:val="20"/>
              </w:rPr>
              <w:t xml:space="preserve">Attendance and return rate</w:t>
            </w:r>
          </w:p>
        </w:tc>
        <w:tc>
          <w:tcPr>
            <w:tcW w:type="dxa" w:w="4513"/>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before="0"/>
            </w:pPr>
            <w:r>
              <w:rPr>
                <w:rFonts w:ascii="Calibri" w:cs="Calibri" w:eastAsia="Calibri" w:hAnsi="Calibri"/>
                <w:b w:val="false"/>
                <w:bCs w:val="false"/>
                <w:color w:val="1A1A1A"/>
                <w:sz w:val="20"/>
                <w:szCs w:val="20"/>
              </w:rPr>
              <w:t xml:space="preserve">Measures demand and engagement</w:t>
            </w:r>
          </w:p>
        </w:tc>
      </w:tr>
      <w:tr>
        <w:tc>
          <w:tcPr>
            <w:tcW w:type="dxa" w:w="4513"/>
            <w:tcBorders>
              <w:top w:val="single" w:color="B0B0B0" w:sz="1"/>
              <w:left w:val="single" w:color="B0B0B0" w:sz="1"/>
              <w:bottom w:val="single" w:color="B0B0B0" w:sz="1"/>
              <w:right w:val="single" w:color="B0B0B0" w:sz="1"/>
            </w:tcBorders>
            <w:shd w:fill="F5F5F5" w:val="clear"/>
            <w:tcMar>
              <w:top w:type="dxa" w:w="50"/>
              <w:left w:type="dxa" w:w="100"/>
              <w:bottom w:type="dxa" w:w="50"/>
              <w:right w:type="dxa" w:w="100"/>
            </w:tcMar>
            <w:vAlign w:val="center"/>
          </w:tcPr>
          <w:p>
            <w:pPr>
              <w:spacing w:after="0" w:before="0"/>
            </w:pPr>
            <w:r>
              <w:rPr>
                <w:rFonts w:ascii="Calibri" w:cs="Calibri" w:eastAsia="Calibri" w:hAnsi="Calibri"/>
                <w:b w:val="false"/>
                <w:bCs w:val="false"/>
                <w:color w:val="1A1A1A"/>
                <w:sz w:val="20"/>
                <w:szCs w:val="20"/>
              </w:rPr>
              <w:t xml:space="preserve">Participant feedback scores</w:t>
            </w:r>
          </w:p>
        </w:tc>
        <w:tc>
          <w:tcPr>
            <w:tcW w:type="dxa" w:w="4513"/>
            <w:tcBorders>
              <w:top w:val="single" w:color="B0B0B0" w:sz="1"/>
              <w:left w:val="single" w:color="B0B0B0" w:sz="1"/>
              <w:bottom w:val="single" w:color="B0B0B0" w:sz="1"/>
              <w:right w:val="single" w:color="B0B0B0" w:sz="1"/>
            </w:tcBorders>
            <w:shd w:fill="F5F5F5" w:val="clear"/>
            <w:tcMar>
              <w:top w:type="dxa" w:w="50"/>
              <w:left w:type="dxa" w:w="100"/>
              <w:bottom w:type="dxa" w:w="50"/>
              <w:right w:type="dxa" w:w="100"/>
            </w:tcMar>
            <w:vAlign w:val="center"/>
          </w:tcPr>
          <w:p>
            <w:pPr>
              <w:spacing w:after="0" w:before="0"/>
            </w:pPr>
            <w:r>
              <w:rPr>
                <w:rFonts w:ascii="Calibri" w:cs="Calibri" w:eastAsia="Calibri" w:hAnsi="Calibri"/>
                <w:b w:val="false"/>
                <w:bCs w:val="false"/>
                <w:color w:val="1A1A1A"/>
                <w:sz w:val="20"/>
                <w:szCs w:val="20"/>
              </w:rPr>
              <w:t xml:space="preserve">Validates programme quality</w:t>
            </w:r>
          </w:p>
        </w:tc>
      </w:tr>
      <w:tr>
        <w:tc>
          <w:tcPr>
            <w:tcW w:type="dxa" w:w="4513"/>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before="0"/>
            </w:pPr>
            <w:r>
              <w:rPr>
                <w:rFonts w:ascii="Calibri" w:cs="Calibri" w:eastAsia="Calibri" w:hAnsi="Calibri"/>
                <w:b w:val="false"/>
                <w:bCs w:val="false"/>
                <w:color w:val="1A1A1A"/>
                <w:sz w:val="20"/>
                <w:szCs w:val="20"/>
              </w:rPr>
              <w:t xml:space="preserve">Estimated CO₂ saved per session vs gas equivalent</w:t>
            </w:r>
          </w:p>
        </w:tc>
        <w:tc>
          <w:tcPr>
            <w:tcW w:type="dxa" w:w="4513"/>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before="0"/>
            </w:pPr>
            <w:r>
              <w:rPr>
                <w:rFonts w:ascii="Calibri" w:cs="Calibri" w:eastAsia="Calibri" w:hAnsi="Calibri"/>
                <w:b w:val="false"/>
                <w:bCs w:val="false"/>
                <w:color w:val="1A1A1A"/>
                <w:sz w:val="20"/>
                <w:szCs w:val="20"/>
              </w:rPr>
              <w:t xml:space="preserve">Quantifies environmental impact</w:t>
            </w:r>
          </w:p>
        </w:tc>
      </w:tr>
      <w:tr>
        <w:tc>
          <w:tcPr>
            <w:tcW w:type="dxa" w:w="4513"/>
            <w:tcBorders>
              <w:top w:val="single" w:color="B0B0B0" w:sz="1"/>
              <w:left w:val="single" w:color="B0B0B0" w:sz="1"/>
              <w:bottom w:val="single" w:color="B0B0B0" w:sz="1"/>
              <w:right w:val="single" w:color="B0B0B0" w:sz="1"/>
            </w:tcBorders>
            <w:shd w:fill="F5F5F5" w:val="clear"/>
            <w:tcMar>
              <w:top w:type="dxa" w:w="50"/>
              <w:left w:type="dxa" w:w="100"/>
              <w:bottom w:type="dxa" w:w="50"/>
              <w:right w:type="dxa" w:w="100"/>
            </w:tcMar>
            <w:vAlign w:val="center"/>
          </w:tcPr>
          <w:p>
            <w:pPr>
              <w:spacing w:after="0" w:before="0"/>
            </w:pPr>
            <w:r>
              <w:rPr>
                <w:rFonts w:ascii="Calibri" w:cs="Calibri" w:eastAsia="Calibri" w:hAnsi="Calibri"/>
                <w:b w:val="false"/>
                <w:bCs w:val="false"/>
                <w:color w:val="1A1A1A"/>
                <w:sz w:val="20"/>
                <w:szCs w:val="20"/>
              </w:rPr>
              <w:t xml:space="preserve">Average energy cost saving per household per meal</w:t>
            </w:r>
          </w:p>
        </w:tc>
        <w:tc>
          <w:tcPr>
            <w:tcW w:type="dxa" w:w="4513"/>
            <w:tcBorders>
              <w:top w:val="single" w:color="B0B0B0" w:sz="1"/>
              <w:left w:val="single" w:color="B0B0B0" w:sz="1"/>
              <w:bottom w:val="single" w:color="B0B0B0" w:sz="1"/>
              <w:right w:val="single" w:color="B0B0B0" w:sz="1"/>
            </w:tcBorders>
            <w:shd w:fill="F5F5F5" w:val="clear"/>
            <w:tcMar>
              <w:top w:type="dxa" w:w="50"/>
              <w:left w:type="dxa" w:w="100"/>
              <w:bottom w:type="dxa" w:w="50"/>
              <w:right w:type="dxa" w:w="100"/>
            </w:tcMar>
            <w:vAlign w:val="center"/>
          </w:tcPr>
          <w:p>
            <w:pPr>
              <w:spacing w:after="0" w:before="0"/>
            </w:pPr>
            <w:r>
              <w:rPr>
                <w:rFonts w:ascii="Calibri" w:cs="Calibri" w:eastAsia="Calibri" w:hAnsi="Calibri"/>
                <w:b w:val="false"/>
                <w:bCs w:val="false"/>
                <w:color w:val="1A1A1A"/>
                <w:sz w:val="20"/>
                <w:szCs w:val="20"/>
              </w:rPr>
              <w:t xml:space="preserve">Demonstrates economic value</w:t>
            </w:r>
          </w:p>
        </w:tc>
      </w:tr>
      <w:tr>
        <w:tc>
          <w:tcPr>
            <w:tcW w:type="dxa" w:w="4513"/>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before="0"/>
            </w:pPr>
            <w:r>
              <w:rPr>
                <w:rFonts w:ascii="Calibri" w:cs="Calibri" w:eastAsia="Calibri" w:hAnsi="Calibri"/>
                <w:b w:val="false"/>
                <w:bCs w:val="false"/>
                <w:color w:val="1A1A1A"/>
                <w:sz w:val="20"/>
                <w:szCs w:val="20"/>
              </w:rPr>
              <w:t xml:space="preserve">Willingness to pay for ongoing sessions</w:t>
            </w:r>
          </w:p>
        </w:tc>
        <w:tc>
          <w:tcPr>
            <w:tcW w:type="dxa" w:w="4513"/>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before="0"/>
            </w:pPr>
            <w:r>
              <w:rPr>
                <w:rFonts w:ascii="Calibri" w:cs="Calibri" w:eastAsia="Calibri" w:hAnsi="Calibri"/>
                <w:b w:val="false"/>
                <w:bCs w:val="false"/>
                <w:color w:val="1A1A1A"/>
                <w:sz w:val="20"/>
                <w:szCs w:val="20"/>
              </w:rPr>
              <w:t xml:space="preserve">Validates pricing model</w:t>
            </w:r>
          </w:p>
        </w:tc>
      </w:tr>
      <w:tr>
        <w:tc>
          <w:tcPr>
            <w:tcW w:type="dxa" w:w="4513"/>
            <w:tcBorders>
              <w:top w:val="single" w:color="B0B0B0" w:sz="1"/>
              <w:left w:val="single" w:color="B0B0B0" w:sz="1"/>
              <w:bottom w:val="single" w:color="B0B0B0" w:sz="1"/>
              <w:right w:val="single" w:color="B0B0B0" w:sz="1"/>
            </w:tcBorders>
            <w:shd w:fill="F5F5F5" w:val="clear"/>
            <w:tcMar>
              <w:top w:type="dxa" w:w="50"/>
              <w:left w:type="dxa" w:w="100"/>
              <w:bottom w:type="dxa" w:w="50"/>
              <w:right w:type="dxa" w:w="100"/>
            </w:tcMar>
            <w:vAlign w:val="center"/>
          </w:tcPr>
          <w:p>
            <w:pPr>
              <w:spacing w:after="0" w:before="0"/>
            </w:pPr>
            <w:r>
              <w:rPr>
                <w:rFonts w:ascii="Calibri" w:cs="Calibri" w:eastAsia="Calibri" w:hAnsi="Calibri"/>
                <w:b w:val="false"/>
                <w:bCs w:val="false"/>
                <w:color w:val="1A1A1A"/>
                <w:sz w:val="20"/>
                <w:szCs w:val="20"/>
              </w:rPr>
              <w:t xml:space="preserve">Interest in digital subscription</w:t>
            </w:r>
          </w:p>
        </w:tc>
        <w:tc>
          <w:tcPr>
            <w:tcW w:type="dxa" w:w="4513"/>
            <w:tcBorders>
              <w:top w:val="single" w:color="B0B0B0" w:sz="1"/>
              <w:left w:val="single" w:color="B0B0B0" w:sz="1"/>
              <w:bottom w:val="single" w:color="B0B0B0" w:sz="1"/>
              <w:right w:val="single" w:color="B0B0B0" w:sz="1"/>
            </w:tcBorders>
            <w:shd w:fill="F5F5F5" w:val="clear"/>
            <w:tcMar>
              <w:top w:type="dxa" w:w="50"/>
              <w:left w:type="dxa" w:w="100"/>
              <w:bottom w:type="dxa" w:w="50"/>
              <w:right w:type="dxa" w:w="100"/>
            </w:tcMar>
            <w:vAlign w:val="center"/>
          </w:tcPr>
          <w:p>
            <w:pPr>
              <w:spacing w:after="0" w:before="0"/>
            </w:pPr>
            <w:r>
              <w:rPr>
                <w:rFonts w:ascii="Calibri" w:cs="Calibri" w:eastAsia="Calibri" w:hAnsi="Calibri"/>
                <w:b w:val="false"/>
                <w:bCs w:val="false"/>
                <w:color w:val="1A1A1A"/>
                <w:sz w:val="20"/>
                <w:szCs w:val="20"/>
              </w:rPr>
              <w:t xml:space="preserve">Tests digital revenue stream potential</w:t>
            </w:r>
          </w:p>
        </w:tc>
      </w:tr>
    </w:tbl>
    <w:p>
      <w:pPr>
        <w:spacing w:after="0" w:before="120"/>
      </w:pPr>
    </w:p>
    <w:p>
      <w:pPr>
        <w:pStyle w:val="Heading2"/>
        <w:spacing w:after="120" w:before="240"/>
      </w:pPr>
      <w:r>
        <w:rPr>
          <w:rFonts w:ascii="Calibri" w:cs="Calibri" w:eastAsia="Calibri" w:hAnsi="Calibri"/>
          <w:b/>
          <w:bCs/>
          <w:color w:val="1A5C38"/>
          <w:sz w:val="24"/>
          <w:szCs w:val="24"/>
        </w:rPr>
        <w:t xml:space="preserve">Why This Matters</w:t>
      </w:r>
    </w:p>
    <w:p>
      <w:pPr>
        <w:spacing w:after="80" w:before="80"/>
        <w:jc w:val="both"/>
      </w:pPr>
      <w:r>
        <w:rPr>
          <w:rFonts w:ascii="Calibri" w:cs="Calibri" w:eastAsia="Calibri" w:hAnsi="Calibri"/>
          <w:color w:val="1A1A1A"/>
          <w:sz w:val="22"/>
          <w:szCs w:val="22"/>
        </w:rPr>
        <w:t xml:space="preserve">The pilot transforms the funding pitch from a promising idea into an evidenced proposition. Three sessions with 10 participants each generates 30 real data points — attendance figures, feedback scores, energy savings, and expressed demand. This data will be presented to grant funders from July 2026 onwards and is expected to significantly strengthen applications to Innovate UK, UKSPF, and the WECA Green Economy Fund.</w:t>
      </w:r>
    </w:p>
    <w:p>
      <w:r>
        <w:br w:type="page"/>
      </w:r>
    </w:p>
    <w:p>
      <w:pPr>
        <w:pStyle w:val="Heading1"/>
        <w:spacing w:after="180" w:before="360"/>
      </w:pPr>
      <w:r>
        <w:rPr>
          <w:rFonts w:ascii="Calibri" w:cs="Calibri" w:eastAsia="Calibri" w:hAnsi="Calibri"/>
          <w:b/>
          <w:bCs/>
          <w:color w:val="1A5C38"/>
          <w:sz w:val="32"/>
          <w:szCs w:val="32"/>
        </w:rPr>
        <w:t xml:space="preserve">6. Revenue Model</w:t>
      </w:r>
    </w:p>
    <w:p>
      <w:pPr>
        <w:spacing w:after="80" w:before="80"/>
        <w:jc w:val="both"/>
      </w:pPr>
      <w:r>
        <w:rPr>
          <w:rFonts w:ascii="Calibri" w:cs="Calibri" w:eastAsia="Calibri" w:hAnsi="Calibri"/>
          <w:color w:val="1A1A1A"/>
          <w:sz w:val="22"/>
          <w:szCs w:val="22"/>
        </w:rPr>
        <w:t xml:space="preserve">Five diversified revenue streams reduce dependency on any single source:</w:t>
      </w:r>
    </w:p>
    <w:p>
      <w:pPr>
        <w:spacing w:after="0" w:before="80"/>
      </w:pP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200"/>
        <w:gridCol w:w="1200"/>
        <w:gridCol w:w="1200"/>
      </w:tblGrid>
      <w:tr>
        <w:tc>
          <w:tcPr>
            <w:tcW w:type="dxa" w:w="2600"/>
            <w:tcBorders>
              <w:top w:val="single" w:color="B0B0B0" w:sz="1"/>
              <w:left w:val="single" w:color="B0B0B0" w:sz="1"/>
              <w:bottom w:val="single" w:color="B0B0B0" w:sz="1"/>
              <w:right w:val="single" w:color="B0B0B0" w:sz="1"/>
            </w:tcBorders>
            <w:shd w:fill="1A5C38" w:val="clear"/>
            <w:tcMar>
              <w:top w:type="dxa" w:w="60"/>
              <w:left w:type="dxa" w:w="100"/>
              <w:bottom w:type="dxa" w:w="60"/>
              <w:right w:type="dxa" w:w="100"/>
            </w:tcMar>
            <w:vAlign w:val="center"/>
          </w:tcPr>
          <w:p>
            <w:pPr>
              <w:spacing w:after="0" w:before="0"/>
            </w:pPr>
            <w:r>
              <w:rPr>
                <w:rFonts w:ascii="Calibri" w:cs="Calibri" w:eastAsia="Calibri" w:hAnsi="Calibri"/>
                <w:b/>
                <w:bCs/>
                <w:color w:val="FFFFFF"/>
                <w:sz w:val="20"/>
                <w:szCs w:val="20"/>
              </w:rPr>
              <w:t xml:space="preserve">Revenue Stream</w:t>
            </w:r>
          </w:p>
        </w:tc>
        <w:tc>
          <w:tcPr>
            <w:tcW w:type="dxa" w:w="1500"/>
            <w:tcBorders>
              <w:top w:val="single" w:color="B0B0B0" w:sz="1"/>
              <w:left w:val="single" w:color="B0B0B0" w:sz="1"/>
              <w:bottom w:val="single" w:color="B0B0B0" w:sz="1"/>
              <w:right w:val="single" w:color="B0B0B0" w:sz="1"/>
            </w:tcBorders>
            <w:shd w:fill="1A5C38" w:val="clear"/>
            <w:tcMar>
              <w:top w:type="dxa" w:w="60"/>
              <w:left w:type="dxa" w:w="100"/>
              <w:bottom w:type="dxa" w:w="60"/>
              <w:right w:type="dxa" w:w="100"/>
            </w:tcMar>
            <w:vAlign w:val="center"/>
          </w:tcPr>
          <w:p>
            <w:pPr>
              <w:spacing w:after="0" w:before="0"/>
            </w:pPr>
            <w:r>
              <w:rPr>
                <w:rFonts w:ascii="Calibri" w:cs="Calibri" w:eastAsia="Calibri" w:hAnsi="Calibri"/>
                <w:b/>
                <w:bCs/>
                <w:color w:val="FFFFFF"/>
                <w:sz w:val="20"/>
                <w:szCs w:val="20"/>
              </w:rPr>
              <w:t xml:space="preserve">Pricing</w:t>
            </w:r>
          </w:p>
        </w:tc>
        <w:tc>
          <w:tcPr>
            <w:tcW w:type="dxa" w:w="1200"/>
            <w:tcBorders>
              <w:top w:val="single" w:color="B0B0B0" w:sz="1"/>
              <w:left w:val="single" w:color="B0B0B0" w:sz="1"/>
              <w:bottom w:val="single" w:color="B0B0B0" w:sz="1"/>
              <w:right w:val="single" w:color="B0B0B0" w:sz="1"/>
            </w:tcBorders>
            <w:shd w:fill="1A5C38" w:val="clear"/>
            <w:tcMar>
              <w:top w:type="dxa" w:w="60"/>
              <w:left w:type="dxa" w:w="100"/>
              <w:bottom w:type="dxa" w:w="60"/>
              <w:right w:type="dxa" w:w="100"/>
            </w:tcMar>
            <w:vAlign w:val="center"/>
          </w:tcPr>
          <w:p>
            <w:pPr>
              <w:spacing w:after="0" w:before="0"/>
            </w:pPr>
            <w:r>
              <w:rPr>
                <w:rFonts w:ascii="Calibri" w:cs="Calibri" w:eastAsia="Calibri" w:hAnsi="Calibri"/>
                <w:b/>
                <w:bCs/>
                <w:color w:val="FFFFFF"/>
                <w:sz w:val="20"/>
                <w:szCs w:val="20"/>
              </w:rPr>
              <w:t xml:space="preserve">Year 1</w:t>
            </w:r>
          </w:p>
        </w:tc>
        <w:tc>
          <w:tcPr>
            <w:tcW w:type="dxa" w:w="1200"/>
            <w:tcBorders>
              <w:top w:val="single" w:color="B0B0B0" w:sz="1"/>
              <w:left w:val="single" w:color="B0B0B0" w:sz="1"/>
              <w:bottom w:val="single" w:color="B0B0B0" w:sz="1"/>
              <w:right w:val="single" w:color="B0B0B0" w:sz="1"/>
            </w:tcBorders>
            <w:shd w:fill="1A5C38" w:val="clear"/>
            <w:tcMar>
              <w:top w:type="dxa" w:w="60"/>
              <w:left w:type="dxa" w:w="100"/>
              <w:bottom w:type="dxa" w:w="60"/>
              <w:right w:type="dxa" w:w="100"/>
            </w:tcMar>
            <w:vAlign w:val="center"/>
          </w:tcPr>
          <w:p>
            <w:pPr>
              <w:spacing w:after="0" w:before="0"/>
            </w:pPr>
            <w:r>
              <w:rPr>
                <w:rFonts w:ascii="Calibri" w:cs="Calibri" w:eastAsia="Calibri" w:hAnsi="Calibri"/>
                <w:b/>
                <w:bCs/>
                <w:color w:val="FFFFFF"/>
                <w:sz w:val="20"/>
                <w:szCs w:val="20"/>
              </w:rPr>
              <w:t xml:space="preserve">Year 2</w:t>
            </w:r>
          </w:p>
        </w:tc>
        <w:tc>
          <w:tcPr>
            <w:tcW w:type="dxa" w:w="1200"/>
            <w:tcBorders>
              <w:top w:val="single" w:color="B0B0B0" w:sz="1"/>
              <w:left w:val="single" w:color="B0B0B0" w:sz="1"/>
              <w:bottom w:val="single" w:color="B0B0B0" w:sz="1"/>
              <w:right w:val="single" w:color="B0B0B0" w:sz="1"/>
            </w:tcBorders>
            <w:shd w:fill="1A5C38" w:val="clear"/>
            <w:tcMar>
              <w:top w:type="dxa" w:w="60"/>
              <w:left w:type="dxa" w:w="100"/>
              <w:bottom w:type="dxa" w:w="60"/>
              <w:right w:type="dxa" w:w="100"/>
            </w:tcMar>
            <w:vAlign w:val="center"/>
          </w:tcPr>
          <w:p>
            <w:pPr>
              <w:spacing w:after="0" w:before="0"/>
            </w:pPr>
            <w:r>
              <w:rPr>
                <w:rFonts w:ascii="Calibri" w:cs="Calibri" w:eastAsia="Calibri" w:hAnsi="Calibri"/>
                <w:b/>
                <w:bCs/>
                <w:color w:val="FFFFFF"/>
                <w:sz w:val="20"/>
                <w:szCs w:val="20"/>
              </w:rPr>
              <w:t xml:space="preserve">Year 3</w:t>
            </w:r>
          </w:p>
        </w:tc>
      </w:tr>
      <w:tr>
        <w:tc>
          <w:tcPr>
            <w:tcW w:type="dxa" w:w="2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before="0"/>
            </w:pPr>
            <w:r>
              <w:rPr>
                <w:rFonts w:ascii="Calibri" w:cs="Calibri" w:eastAsia="Calibri" w:hAnsi="Calibri"/>
                <w:b w:val="false"/>
                <w:bCs w:val="false"/>
                <w:color w:val="1A1A1A"/>
                <w:sz w:val="20"/>
                <w:szCs w:val="20"/>
              </w:rPr>
              <w:t xml:space="preserve">In-person sessions</w:t>
            </w:r>
          </w:p>
        </w:tc>
        <w:tc>
          <w:tcPr>
            <w:tcW w:type="dxa" w:w="15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before="0"/>
            </w:pPr>
            <w:r>
              <w:rPr>
                <w:rFonts w:ascii="Calibri" w:cs="Calibri" w:eastAsia="Calibri" w:hAnsi="Calibri"/>
                <w:b w:val="false"/>
                <w:bCs w:val="false"/>
                <w:color w:val="1A1A1A"/>
                <w:sz w:val="20"/>
                <w:szCs w:val="20"/>
              </w:rPr>
              <w:t xml:space="preserve">£10–£50/session</w:t>
            </w:r>
          </w:p>
        </w:tc>
        <w:tc>
          <w:tcPr>
            <w:tcW w:type="dxa" w:w="12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before="0"/>
            </w:pPr>
            <w:r>
              <w:rPr>
                <w:rFonts w:ascii="Calibri" w:cs="Calibri" w:eastAsia="Calibri" w:hAnsi="Calibri"/>
                <w:b w:val="false"/>
                <w:bCs w:val="false"/>
                <w:color w:val="1A1A1A"/>
                <w:sz w:val="20"/>
                <w:szCs w:val="20"/>
              </w:rPr>
              <w:t xml:space="preserve">£8,400</w:t>
            </w:r>
          </w:p>
        </w:tc>
        <w:tc>
          <w:tcPr>
            <w:tcW w:type="dxa" w:w="12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before="0"/>
            </w:pPr>
            <w:r>
              <w:rPr>
                <w:rFonts w:ascii="Calibri" w:cs="Calibri" w:eastAsia="Calibri" w:hAnsi="Calibri"/>
                <w:b w:val="false"/>
                <w:bCs w:val="false"/>
                <w:color w:val="1A1A1A"/>
                <w:sz w:val="20"/>
                <w:szCs w:val="20"/>
              </w:rPr>
              <w:t xml:space="preserve">£28,800</w:t>
            </w:r>
          </w:p>
        </w:tc>
        <w:tc>
          <w:tcPr>
            <w:tcW w:type="dxa" w:w="12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before="0"/>
            </w:pPr>
            <w:r>
              <w:rPr>
                <w:rFonts w:ascii="Calibri" w:cs="Calibri" w:eastAsia="Calibri" w:hAnsi="Calibri"/>
                <w:b w:val="false"/>
                <w:bCs w:val="false"/>
                <w:color w:val="1A1A1A"/>
                <w:sz w:val="20"/>
                <w:szCs w:val="20"/>
              </w:rPr>
              <w:t xml:space="preserve">£54,000</w:t>
            </w:r>
          </w:p>
        </w:tc>
      </w:tr>
      <w:tr>
        <w:tc>
          <w:tcPr>
            <w:tcW w:type="dxa" w:w="2600"/>
            <w:tcBorders>
              <w:top w:val="single" w:color="B0B0B0" w:sz="1"/>
              <w:left w:val="single" w:color="B0B0B0" w:sz="1"/>
              <w:bottom w:val="single" w:color="B0B0B0" w:sz="1"/>
              <w:right w:val="single" w:color="B0B0B0" w:sz="1"/>
            </w:tcBorders>
            <w:shd w:fill="F5F5F5" w:val="clear"/>
            <w:tcMar>
              <w:top w:type="dxa" w:w="50"/>
              <w:left w:type="dxa" w:w="100"/>
              <w:bottom w:type="dxa" w:w="50"/>
              <w:right w:type="dxa" w:w="100"/>
            </w:tcMar>
            <w:vAlign w:val="center"/>
          </w:tcPr>
          <w:p>
            <w:pPr>
              <w:spacing w:after="0" w:before="0"/>
            </w:pPr>
            <w:r>
              <w:rPr>
                <w:rFonts w:ascii="Calibri" w:cs="Calibri" w:eastAsia="Calibri" w:hAnsi="Calibri"/>
                <w:b w:val="false"/>
                <w:bCs w:val="false"/>
                <w:color w:val="1A1A1A"/>
                <w:sz w:val="20"/>
                <w:szCs w:val="20"/>
              </w:rPr>
              <w:t xml:space="preserve">Digital subscriptions</w:t>
            </w:r>
          </w:p>
        </w:tc>
        <w:tc>
          <w:tcPr>
            <w:tcW w:type="dxa" w:w="1500"/>
            <w:tcBorders>
              <w:top w:val="single" w:color="B0B0B0" w:sz="1"/>
              <w:left w:val="single" w:color="B0B0B0" w:sz="1"/>
              <w:bottom w:val="single" w:color="B0B0B0" w:sz="1"/>
              <w:right w:val="single" w:color="B0B0B0" w:sz="1"/>
            </w:tcBorders>
            <w:shd w:fill="F5F5F5" w:val="clear"/>
            <w:tcMar>
              <w:top w:type="dxa" w:w="50"/>
              <w:left w:type="dxa" w:w="100"/>
              <w:bottom w:type="dxa" w:w="50"/>
              <w:right w:type="dxa" w:w="100"/>
            </w:tcMar>
            <w:vAlign w:val="center"/>
          </w:tcPr>
          <w:p>
            <w:pPr>
              <w:spacing w:after="0" w:before="0"/>
            </w:pPr>
            <w:r>
              <w:rPr>
                <w:rFonts w:ascii="Calibri" w:cs="Calibri" w:eastAsia="Calibri" w:hAnsi="Calibri"/>
                <w:b w:val="false"/>
                <w:bCs w:val="false"/>
                <w:color w:val="1A1A1A"/>
                <w:sz w:val="20"/>
                <w:szCs w:val="20"/>
              </w:rPr>
              <w:t xml:space="preserve">£10–£20/month</w:t>
            </w:r>
          </w:p>
        </w:tc>
        <w:tc>
          <w:tcPr>
            <w:tcW w:type="dxa" w:w="1200"/>
            <w:tcBorders>
              <w:top w:val="single" w:color="B0B0B0" w:sz="1"/>
              <w:left w:val="single" w:color="B0B0B0" w:sz="1"/>
              <w:bottom w:val="single" w:color="B0B0B0" w:sz="1"/>
              <w:right w:val="single" w:color="B0B0B0" w:sz="1"/>
            </w:tcBorders>
            <w:shd w:fill="F5F5F5" w:val="clear"/>
            <w:tcMar>
              <w:top w:type="dxa" w:w="50"/>
              <w:left w:type="dxa" w:w="100"/>
              <w:bottom w:type="dxa" w:w="50"/>
              <w:right w:type="dxa" w:w="100"/>
            </w:tcMar>
            <w:vAlign w:val="center"/>
          </w:tcPr>
          <w:p>
            <w:pPr>
              <w:spacing w:after="0" w:before="0"/>
            </w:pPr>
            <w:r>
              <w:rPr>
                <w:rFonts w:ascii="Calibri" w:cs="Calibri" w:eastAsia="Calibri" w:hAnsi="Calibri"/>
                <w:b w:val="false"/>
                <w:bCs w:val="false"/>
                <w:color w:val="1A1A1A"/>
                <w:sz w:val="20"/>
                <w:szCs w:val="20"/>
              </w:rPr>
              <w:t xml:space="preserve">£7,200</w:t>
            </w:r>
          </w:p>
        </w:tc>
        <w:tc>
          <w:tcPr>
            <w:tcW w:type="dxa" w:w="1200"/>
            <w:tcBorders>
              <w:top w:val="single" w:color="B0B0B0" w:sz="1"/>
              <w:left w:val="single" w:color="B0B0B0" w:sz="1"/>
              <w:bottom w:val="single" w:color="B0B0B0" w:sz="1"/>
              <w:right w:val="single" w:color="B0B0B0" w:sz="1"/>
            </w:tcBorders>
            <w:shd w:fill="F5F5F5" w:val="clear"/>
            <w:tcMar>
              <w:top w:type="dxa" w:w="50"/>
              <w:left w:type="dxa" w:w="100"/>
              <w:bottom w:type="dxa" w:w="50"/>
              <w:right w:type="dxa" w:w="100"/>
            </w:tcMar>
            <w:vAlign w:val="center"/>
          </w:tcPr>
          <w:p>
            <w:pPr>
              <w:spacing w:after="0" w:before="0"/>
            </w:pPr>
            <w:r>
              <w:rPr>
                <w:rFonts w:ascii="Calibri" w:cs="Calibri" w:eastAsia="Calibri" w:hAnsi="Calibri"/>
                <w:b w:val="false"/>
                <w:bCs w:val="false"/>
                <w:color w:val="1A1A1A"/>
                <w:sz w:val="20"/>
                <w:szCs w:val="20"/>
              </w:rPr>
              <w:t xml:space="preserve">£28,800</w:t>
            </w:r>
          </w:p>
        </w:tc>
        <w:tc>
          <w:tcPr>
            <w:tcW w:type="dxa" w:w="1200"/>
            <w:tcBorders>
              <w:top w:val="single" w:color="B0B0B0" w:sz="1"/>
              <w:left w:val="single" w:color="B0B0B0" w:sz="1"/>
              <w:bottom w:val="single" w:color="B0B0B0" w:sz="1"/>
              <w:right w:val="single" w:color="B0B0B0" w:sz="1"/>
            </w:tcBorders>
            <w:shd w:fill="F5F5F5" w:val="clear"/>
            <w:tcMar>
              <w:top w:type="dxa" w:w="50"/>
              <w:left w:type="dxa" w:w="100"/>
              <w:bottom w:type="dxa" w:w="50"/>
              <w:right w:type="dxa" w:w="100"/>
            </w:tcMar>
            <w:vAlign w:val="center"/>
          </w:tcPr>
          <w:p>
            <w:pPr>
              <w:spacing w:after="0" w:before="0"/>
            </w:pPr>
            <w:r>
              <w:rPr>
                <w:rFonts w:ascii="Calibri" w:cs="Calibri" w:eastAsia="Calibri" w:hAnsi="Calibri"/>
                <w:b w:val="false"/>
                <w:bCs w:val="false"/>
                <w:color w:val="1A1A1A"/>
                <w:sz w:val="20"/>
                <w:szCs w:val="20"/>
              </w:rPr>
              <w:t xml:space="preserve">£57,600</w:t>
            </w:r>
          </w:p>
        </w:tc>
      </w:tr>
      <w:tr>
        <w:tc>
          <w:tcPr>
            <w:tcW w:type="dxa" w:w="2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before="0"/>
            </w:pPr>
            <w:r>
              <w:rPr>
                <w:rFonts w:ascii="Calibri" w:cs="Calibri" w:eastAsia="Calibri" w:hAnsi="Calibri"/>
                <w:b w:val="false"/>
                <w:bCs w:val="false"/>
                <w:color w:val="1A1A1A"/>
                <w:sz w:val="20"/>
                <w:szCs w:val="20"/>
              </w:rPr>
              <w:t xml:space="preserve">Kitchen memberships</w:t>
            </w:r>
          </w:p>
        </w:tc>
        <w:tc>
          <w:tcPr>
            <w:tcW w:type="dxa" w:w="15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before="0"/>
            </w:pPr>
            <w:r>
              <w:rPr>
                <w:rFonts w:ascii="Calibri" w:cs="Calibri" w:eastAsia="Calibri" w:hAnsi="Calibri"/>
                <w:b w:val="false"/>
                <w:bCs w:val="false"/>
                <w:color w:val="1A1A1A"/>
                <w:sz w:val="20"/>
                <w:szCs w:val="20"/>
              </w:rPr>
              <w:t xml:space="preserve">£50–£100/month</w:t>
            </w:r>
          </w:p>
        </w:tc>
        <w:tc>
          <w:tcPr>
            <w:tcW w:type="dxa" w:w="12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before="0"/>
            </w:pPr>
            <w:r>
              <w:rPr>
                <w:rFonts w:ascii="Calibri" w:cs="Calibri" w:eastAsia="Calibri" w:hAnsi="Calibri"/>
                <w:b w:val="false"/>
                <w:bCs w:val="false"/>
                <w:color w:val="1A1A1A"/>
                <w:sz w:val="20"/>
                <w:szCs w:val="20"/>
              </w:rPr>
              <w:t xml:space="preserve">£6,000</w:t>
            </w:r>
          </w:p>
        </w:tc>
        <w:tc>
          <w:tcPr>
            <w:tcW w:type="dxa" w:w="12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before="0"/>
            </w:pPr>
            <w:r>
              <w:rPr>
                <w:rFonts w:ascii="Calibri" w:cs="Calibri" w:eastAsia="Calibri" w:hAnsi="Calibri"/>
                <w:b w:val="false"/>
                <w:bCs w:val="false"/>
                <w:color w:val="1A1A1A"/>
                <w:sz w:val="20"/>
                <w:szCs w:val="20"/>
              </w:rPr>
              <w:t xml:space="preserve">£18,000</w:t>
            </w:r>
          </w:p>
        </w:tc>
        <w:tc>
          <w:tcPr>
            <w:tcW w:type="dxa" w:w="12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before="0"/>
            </w:pPr>
            <w:r>
              <w:rPr>
                <w:rFonts w:ascii="Calibri" w:cs="Calibri" w:eastAsia="Calibri" w:hAnsi="Calibri"/>
                <w:b w:val="false"/>
                <w:bCs w:val="false"/>
                <w:color w:val="1A1A1A"/>
                <w:sz w:val="20"/>
                <w:szCs w:val="20"/>
              </w:rPr>
              <w:t xml:space="preserve">£24,000</w:t>
            </w:r>
          </w:p>
        </w:tc>
      </w:tr>
      <w:tr>
        <w:tc>
          <w:tcPr>
            <w:tcW w:type="dxa" w:w="2600"/>
            <w:tcBorders>
              <w:top w:val="single" w:color="B0B0B0" w:sz="1"/>
              <w:left w:val="single" w:color="B0B0B0" w:sz="1"/>
              <w:bottom w:val="single" w:color="B0B0B0" w:sz="1"/>
              <w:right w:val="single" w:color="B0B0B0" w:sz="1"/>
            </w:tcBorders>
            <w:shd w:fill="F5F5F5" w:val="clear"/>
            <w:tcMar>
              <w:top w:type="dxa" w:w="50"/>
              <w:left w:type="dxa" w:w="100"/>
              <w:bottom w:type="dxa" w:w="50"/>
              <w:right w:type="dxa" w:w="100"/>
            </w:tcMar>
            <w:vAlign w:val="center"/>
          </w:tcPr>
          <w:p>
            <w:pPr>
              <w:spacing w:after="0" w:before="0"/>
            </w:pPr>
            <w:r>
              <w:rPr>
                <w:rFonts w:ascii="Calibri" w:cs="Calibri" w:eastAsia="Calibri" w:hAnsi="Calibri"/>
                <w:b w:val="false"/>
                <w:bCs w:val="false"/>
                <w:color w:val="1A1A1A"/>
                <w:sz w:val="20"/>
                <w:szCs w:val="20"/>
              </w:rPr>
              <w:t xml:space="preserve">Equipment commissions</w:t>
            </w:r>
          </w:p>
        </w:tc>
        <w:tc>
          <w:tcPr>
            <w:tcW w:type="dxa" w:w="1500"/>
            <w:tcBorders>
              <w:top w:val="single" w:color="B0B0B0" w:sz="1"/>
              <w:left w:val="single" w:color="B0B0B0" w:sz="1"/>
              <w:bottom w:val="single" w:color="B0B0B0" w:sz="1"/>
              <w:right w:val="single" w:color="B0B0B0" w:sz="1"/>
            </w:tcBorders>
            <w:shd w:fill="F5F5F5" w:val="clear"/>
            <w:tcMar>
              <w:top w:type="dxa" w:w="50"/>
              <w:left w:type="dxa" w:w="100"/>
              <w:bottom w:type="dxa" w:w="50"/>
              <w:right w:type="dxa" w:w="100"/>
            </w:tcMar>
            <w:vAlign w:val="center"/>
          </w:tcPr>
          <w:p>
            <w:pPr>
              <w:spacing w:after="0" w:before="0"/>
            </w:pPr>
            <w:r>
              <w:rPr>
                <w:rFonts w:ascii="Calibri" w:cs="Calibri" w:eastAsia="Calibri" w:hAnsi="Calibri"/>
                <w:b w:val="false"/>
                <w:bCs w:val="false"/>
                <w:color w:val="1A1A1A"/>
                <w:sz w:val="20"/>
                <w:szCs w:val="20"/>
              </w:rPr>
              <w:t xml:space="preserve">10–15% per sale</w:t>
            </w:r>
          </w:p>
        </w:tc>
        <w:tc>
          <w:tcPr>
            <w:tcW w:type="dxa" w:w="1200"/>
            <w:tcBorders>
              <w:top w:val="single" w:color="B0B0B0" w:sz="1"/>
              <w:left w:val="single" w:color="B0B0B0" w:sz="1"/>
              <w:bottom w:val="single" w:color="B0B0B0" w:sz="1"/>
              <w:right w:val="single" w:color="B0B0B0" w:sz="1"/>
            </w:tcBorders>
            <w:shd w:fill="F5F5F5" w:val="clear"/>
            <w:tcMar>
              <w:top w:type="dxa" w:w="50"/>
              <w:left w:type="dxa" w:w="100"/>
              <w:bottom w:type="dxa" w:w="50"/>
              <w:right w:type="dxa" w:w="100"/>
            </w:tcMar>
            <w:vAlign w:val="center"/>
          </w:tcPr>
          <w:p>
            <w:pPr>
              <w:spacing w:after="0" w:before="0"/>
            </w:pPr>
            <w:r>
              <w:rPr>
                <w:rFonts w:ascii="Calibri" w:cs="Calibri" w:eastAsia="Calibri" w:hAnsi="Calibri"/>
                <w:b w:val="false"/>
                <w:bCs w:val="false"/>
                <w:color w:val="1A1A1A"/>
                <w:sz w:val="20"/>
                <w:szCs w:val="20"/>
              </w:rPr>
              <w:t xml:space="preserve">£2,600</w:t>
            </w:r>
          </w:p>
        </w:tc>
        <w:tc>
          <w:tcPr>
            <w:tcW w:type="dxa" w:w="1200"/>
            <w:tcBorders>
              <w:top w:val="single" w:color="B0B0B0" w:sz="1"/>
              <w:left w:val="single" w:color="B0B0B0" w:sz="1"/>
              <w:bottom w:val="single" w:color="B0B0B0" w:sz="1"/>
              <w:right w:val="single" w:color="B0B0B0" w:sz="1"/>
            </w:tcBorders>
            <w:shd w:fill="F5F5F5" w:val="clear"/>
            <w:tcMar>
              <w:top w:type="dxa" w:w="50"/>
              <w:left w:type="dxa" w:w="100"/>
              <w:bottom w:type="dxa" w:w="50"/>
              <w:right w:type="dxa" w:w="100"/>
            </w:tcMar>
            <w:vAlign w:val="center"/>
          </w:tcPr>
          <w:p>
            <w:pPr>
              <w:spacing w:after="0" w:before="0"/>
            </w:pPr>
            <w:r>
              <w:rPr>
                <w:rFonts w:ascii="Calibri" w:cs="Calibri" w:eastAsia="Calibri" w:hAnsi="Calibri"/>
                <w:b w:val="false"/>
                <w:bCs w:val="false"/>
                <w:color w:val="1A1A1A"/>
                <w:sz w:val="20"/>
                <w:szCs w:val="20"/>
              </w:rPr>
              <w:t xml:space="preserve">£6,500</w:t>
            </w:r>
          </w:p>
        </w:tc>
        <w:tc>
          <w:tcPr>
            <w:tcW w:type="dxa" w:w="1200"/>
            <w:tcBorders>
              <w:top w:val="single" w:color="B0B0B0" w:sz="1"/>
              <w:left w:val="single" w:color="B0B0B0" w:sz="1"/>
              <w:bottom w:val="single" w:color="B0B0B0" w:sz="1"/>
              <w:right w:val="single" w:color="B0B0B0" w:sz="1"/>
            </w:tcBorders>
            <w:shd w:fill="F5F5F5" w:val="clear"/>
            <w:tcMar>
              <w:top w:type="dxa" w:w="50"/>
              <w:left w:type="dxa" w:w="100"/>
              <w:bottom w:type="dxa" w:w="50"/>
              <w:right w:type="dxa" w:w="100"/>
            </w:tcMar>
            <w:vAlign w:val="center"/>
          </w:tcPr>
          <w:p>
            <w:pPr>
              <w:spacing w:after="0" w:before="0"/>
            </w:pPr>
            <w:r>
              <w:rPr>
                <w:rFonts w:ascii="Calibri" w:cs="Calibri" w:eastAsia="Calibri" w:hAnsi="Calibri"/>
                <w:b w:val="false"/>
                <w:bCs w:val="false"/>
                <w:color w:val="1A1A1A"/>
                <w:sz w:val="20"/>
                <w:szCs w:val="20"/>
              </w:rPr>
              <w:t xml:space="preserve">£10,400</w:t>
            </w:r>
          </w:p>
        </w:tc>
      </w:tr>
      <w:tr>
        <w:tc>
          <w:tcPr>
            <w:tcW w:type="dxa" w:w="2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before="0"/>
            </w:pPr>
            <w:r>
              <w:rPr>
                <w:rFonts w:ascii="Calibri" w:cs="Calibri" w:eastAsia="Calibri" w:hAnsi="Calibri"/>
                <w:b w:val="false"/>
                <w:bCs w:val="false"/>
                <w:color w:val="1A1A1A"/>
                <w:sz w:val="20"/>
                <w:szCs w:val="20"/>
              </w:rPr>
              <w:t xml:space="preserve">B2B consulting &amp; events</w:t>
            </w:r>
          </w:p>
        </w:tc>
        <w:tc>
          <w:tcPr>
            <w:tcW w:type="dxa" w:w="15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before="0"/>
            </w:pPr>
            <w:r>
              <w:rPr>
                <w:rFonts w:ascii="Calibri" w:cs="Calibri" w:eastAsia="Calibri" w:hAnsi="Calibri"/>
                <w:b w:val="false"/>
                <w:bCs w:val="false"/>
                <w:color w:val="1A1A1A"/>
                <w:sz w:val="20"/>
                <w:szCs w:val="20"/>
              </w:rPr>
              <w:t xml:space="preserve">£500–£2,500</w:t>
            </w:r>
          </w:p>
        </w:tc>
        <w:tc>
          <w:tcPr>
            <w:tcW w:type="dxa" w:w="12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before="0"/>
            </w:pPr>
            <w:r>
              <w:rPr>
                <w:rFonts w:ascii="Calibri" w:cs="Calibri" w:eastAsia="Calibri" w:hAnsi="Calibri"/>
                <w:b w:val="false"/>
                <w:bCs w:val="false"/>
                <w:color w:val="1A1A1A"/>
                <w:sz w:val="20"/>
                <w:szCs w:val="20"/>
              </w:rPr>
              <w:t xml:space="preserve">£4,000</w:t>
            </w:r>
          </w:p>
        </w:tc>
        <w:tc>
          <w:tcPr>
            <w:tcW w:type="dxa" w:w="12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before="0"/>
            </w:pPr>
            <w:r>
              <w:rPr>
                <w:rFonts w:ascii="Calibri" w:cs="Calibri" w:eastAsia="Calibri" w:hAnsi="Calibri"/>
                <w:b w:val="false"/>
                <w:bCs w:val="false"/>
                <w:color w:val="1A1A1A"/>
                <w:sz w:val="20"/>
                <w:szCs w:val="20"/>
              </w:rPr>
              <w:t xml:space="preserve">£5,400</w:t>
            </w:r>
          </w:p>
        </w:tc>
        <w:tc>
          <w:tcPr>
            <w:tcW w:type="dxa" w:w="12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before="0"/>
            </w:pPr>
            <w:r>
              <w:rPr>
                <w:rFonts w:ascii="Calibri" w:cs="Calibri" w:eastAsia="Calibri" w:hAnsi="Calibri"/>
                <w:b w:val="false"/>
                <w:bCs w:val="false"/>
                <w:color w:val="1A1A1A"/>
                <w:sz w:val="20"/>
                <w:szCs w:val="20"/>
              </w:rPr>
              <w:t xml:space="preserve">£6,000</w:t>
            </w:r>
          </w:p>
        </w:tc>
      </w:tr>
      <w:tr>
        <w:tc>
          <w:tcPr>
            <w:tcW w:type="dxa" w:w="2600"/>
            <w:tcBorders>
              <w:top w:val="single" w:color="B0B0B0" w:sz="1"/>
              <w:left w:val="single" w:color="B0B0B0" w:sz="1"/>
              <w:bottom w:val="single" w:color="B0B0B0" w:sz="1"/>
              <w:right w:val="single" w:color="B0B0B0" w:sz="1"/>
            </w:tcBorders>
            <w:shd w:fill="E8F5E9" w:val="clear"/>
            <w:tcMar>
              <w:top w:type="dxa" w:w="50"/>
              <w:left w:type="dxa" w:w="100"/>
              <w:bottom w:type="dxa" w:w="50"/>
              <w:right w:type="dxa" w:w="100"/>
            </w:tcMar>
            <w:vAlign w:val="center"/>
          </w:tcPr>
          <w:p>
            <w:pPr>
              <w:spacing w:after="0" w:before="0"/>
            </w:pPr>
            <w:r>
              <w:rPr>
                <w:rFonts w:ascii="Calibri" w:cs="Calibri" w:eastAsia="Calibri" w:hAnsi="Calibri"/>
                <w:b/>
                <w:bCs/>
                <w:color w:val="1A5C38"/>
                <w:sz w:val="20"/>
                <w:szCs w:val="20"/>
              </w:rPr>
              <w:t xml:space="preserve">TOTAL</w:t>
            </w:r>
          </w:p>
        </w:tc>
        <w:tc>
          <w:tcPr>
            <w:tcW w:type="dxa" w:w="1500"/>
            <w:tcBorders>
              <w:top w:val="single" w:color="B0B0B0" w:sz="1"/>
              <w:left w:val="single" w:color="B0B0B0" w:sz="1"/>
              <w:bottom w:val="single" w:color="B0B0B0" w:sz="1"/>
              <w:right w:val="single" w:color="B0B0B0" w:sz="1"/>
            </w:tcBorders>
            <w:shd w:fill="E8F5E9" w:val="clear"/>
            <w:tcMar>
              <w:top w:type="dxa" w:w="50"/>
              <w:left w:type="dxa" w:w="100"/>
              <w:bottom w:type="dxa" w:w="50"/>
              <w:right w:type="dxa" w:w="100"/>
            </w:tcMar>
            <w:vAlign w:val="center"/>
          </w:tcPr>
          <w:p>
            <w:pPr>
              <w:spacing w:after="0" w:before="0"/>
            </w:pPr>
            <w:r>
              <w:rPr>
                <w:rFonts w:ascii="Calibri" w:cs="Calibri" w:eastAsia="Calibri" w:hAnsi="Calibri"/>
                <w:b w:val="false"/>
                <w:bCs w:val="false"/>
                <w:color w:val="1A1A1A"/>
                <w:sz w:val="20"/>
                <w:szCs w:val="20"/>
              </w:rPr>
              <w:t xml:space="preserve"/>
            </w:r>
          </w:p>
        </w:tc>
        <w:tc>
          <w:tcPr>
            <w:tcW w:type="dxa" w:w="1200"/>
            <w:tcBorders>
              <w:top w:val="single" w:color="B0B0B0" w:sz="1"/>
              <w:left w:val="single" w:color="B0B0B0" w:sz="1"/>
              <w:bottom w:val="single" w:color="B0B0B0" w:sz="1"/>
              <w:right w:val="single" w:color="B0B0B0" w:sz="1"/>
            </w:tcBorders>
            <w:shd w:fill="E8F5E9" w:val="clear"/>
            <w:tcMar>
              <w:top w:type="dxa" w:w="50"/>
              <w:left w:type="dxa" w:w="100"/>
              <w:bottom w:type="dxa" w:w="50"/>
              <w:right w:type="dxa" w:w="100"/>
            </w:tcMar>
            <w:vAlign w:val="center"/>
          </w:tcPr>
          <w:p>
            <w:pPr>
              <w:spacing w:after="0" w:before="0"/>
            </w:pPr>
            <w:r>
              <w:rPr>
                <w:rFonts w:ascii="Calibri" w:cs="Calibri" w:eastAsia="Calibri" w:hAnsi="Calibri"/>
                <w:b/>
                <w:bCs/>
                <w:color w:val="1A5C38"/>
                <w:sz w:val="20"/>
                <w:szCs w:val="20"/>
              </w:rPr>
              <w:t xml:space="preserve">£28,200</w:t>
            </w:r>
          </w:p>
        </w:tc>
        <w:tc>
          <w:tcPr>
            <w:tcW w:type="dxa" w:w="1200"/>
            <w:tcBorders>
              <w:top w:val="single" w:color="B0B0B0" w:sz="1"/>
              <w:left w:val="single" w:color="B0B0B0" w:sz="1"/>
              <w:bottom w:val="single" w:color="B0B0B0" w:sz="1"/>
              <w:right w:val="single" w:color="B0B0B0" w:sz="1"/>
            </w:tcBorders>
            <w:shd w:fill="E8F5E9" w:val="clear"/>
            <w:tcMar>
              <w:top w:type="dxa" w:w="50"/>
              <w:left w:type="dxa" w:w="100"/>
              <w:bottom w:type="dxa" w:w="50"/>
              <w:right w:type="dxa" w:w="100"/>
            </w:tcMar>
            <w:vAlign w:val="center"/>
          </w:tcPr>
          <w:p>
            <w:pPr>
              <w:spacing w:after="0" w:before="0"/>
            </w:pPr>
            <w:r>
              <w:rPr>
                <w:rFonts w:ascii="Calibri" w:cs="Calibri" w:eastAsia="Calibri" w:hAnsi="Calibri"/>
                <w:b/>
                <w:bCs/>
                <w:color w:val="1A5C38"/>
                <w:sz w:val="20"/>
                <w:szCs w:val="20"/>
              </w:rPr>
              <w:t xml:space="preserve">£87,500</w:t>
            </w:r>
          </w:p>
        </w:tc>
        <w:tc>
          <w:tcPr>
            <w:tcW w:type="dxa" w:w="1200"/>
            <w:tcBorders>
              <w:top w:val="single" w:color="B0B0B0" w:sz="1"/>
              <w:left w:val="single" w:color="B0B0B0" w:sz="1"/>
              <w:bottom w:val="single" w:color="B0B0B0" w:sz="1"/>
              <w:right w:val="single" w:color="B0B0B0" w:sz="1"/>
            </w:tcBorders>
            <w:shd w:fill="E8F5E9" w:val="clear"/>
            <w:tcMar>
              <w:top w:type="dxa" w:w="50"/>
              <w:left w:type="dxa" w:w="100"/>
              <w:bottom w:type="dxa" w:w="50"/>
              <w:right w:type="dxa" w:w="100"/>
            </w:tcMar>
            <w:vAlign w:val="center"/>
          </w:tcPr>
          <w:p>
            <w:pPr>
              <w:spacing w:after="0" w:before="0"/>
            </w:pPr>
            <w:r>
              <w:rPr>
                <w:rFonts w:ascii="Calibri" w:cs="Calibri" w:eastAsia="Calibri" w:hAnsi="Calibri"/>
                <w:b/>
                <w:bCs/>
                <w:color w:val="1A5C38"/>
                <w:sz w:val="20"/>
                <w:szCs w:val="20"/>
              </w:rPr>
              <w:t xml:space="preserve">£152,000</w:t>
            </w:r>
          </w:p>
        </w:tc>
      </w:tr>
    </w:tbl>
    <w:p>
      <w:r>
        <w:br w:type="page"/>
      </w:r>
    </w:p>
    <w:p>
      <w:pPr>
        <w:pStyle w:val="Heading1"/>
        <w:spacing w:after="180" w:before="360"/>
      </w:pPr>
      <w:r>
        <w:rPr>
          <w:rFonts w:ascii="Calibri" w:cs="Calibri" w:eastAsia="Calibri" w:hAnsi="Calibri"/>
          <w:b/>
          <w:bCs/>
          <w:color w:val="1A5C38"/>
          <w:sz w:val="32"/>
          <w:szCs w:val="32"/>
        </w:rPr>
        <w:t xml:space="preserve">7. Break-Even Analysis</w:t>
      </w:r>
    </w:p>
    <w:p>
      <w:pPr>
        <w:spacing w:after="60" w:before="60"/>
      </w:pPr>
      <w:r>
        <w:rPr>
          <w:rFonts w:ascii="Calibri" w:cs="Calibri" w:eastAsia="Calibri" w:hAnsi="Calibri"/>
          <w:b/>
          <w:bCs/>
          <w:i/>
          <w:iCs/>
          <w:color w:val="1A5C38"/>
          <w:sz w:val="20"/>
          <w:szCs w:val="20"/>
        </w:rPr>
        <w:t xml:space="preserve">[NEW — </w:t>
      </w:r>
      <w:r>
        <w:rPr>
          <w:rFonts w:ascii="Calibri" w:cs="Calibri" w:eastAsia="Calibri" w:hAnsi="Calibri"/>
          <w:i/>
          <w:iCs/>
          <w:color w:val="1A5C38"/>
          <w:sz w:val="20"/>
          <w:szCs w:val="20"/>
        </w:rPr>
        <w:t xml:space="preserve">Added following Future Leap advisor recommendation</w:t>
      </w:r>
      <w:r>
        <w:rPr>
          <w:rFonts w:ascii="Calibri" w:cs="Calibri" w:eastAsia="Calibri" w:hAnsi="Calibri"/>
          <w:b/>
          <w:bCs/>
          <w:i/>
          <w:iCs/>
          <w:color w:val="1A5C38"/>
          <w:sz w:val="20"/>
          <w:szCs w:val="20"/>
        </w:rPr>
        <w:t xml:space="preserve">]</w:t>
      </w:r>
    </w:p>
    <w:p>
      <w:pPr>
        <w:pStyle w:val="Heading2"/>
        <w:spacing w:after="120" w:before="240"/>
      </w:pPr>
      <w:r>
        <w:rPr>
          <w:rFonts w:ascii="Calibri" w:cs="Calibri" w:eastAsia="Calibri" w:hAnsi="Calibri"/>
          <w:b/>
          <w:bCs/>
          <w:color w:val="1A5C38"/>
          <w:sz w:val="24"/>
          <w:szCs w:val="24"/>
        </w:rPr>
        <w:t xml:space="preserve">Break-Even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0B0B0" w:sz="1"/>
              <w:left w:val="single" w:color="B0B0B0" w:sz="1"/>
              <w:bottom w:val="single" w:color="B0B0B0" w:sz="1"/>
              <w:right w:val="single" w:color="B0B0B0" w:sz="1"/>
            </w:tcBorders>
            <w:shd w:fill="E8F5E9" w:val="clear"/>
            <w:tcMar>
              <w:top w:type="dxa" w:w="50"/>
              <w:left w:type="dxa" w:w="100"/>
              <w:bottom w:type="dxa" w:w="50"/>
              <w:right w:type="dxa" w:w="100"/>
            </w:tcMar>
            <w:vAlign w:val="center"/>
          </w:tcPr>
          <w:p>
            <w:pPr>
              <w:spacing w:after="0" w:before="0"/>
            </w:pPr>
            <w:r>
              <w:rPr>
                <w:rFonts w:ascii="Calibri" w:cs="Calibri" w:eastAsia="Calibri" w:hAnsi="Calibri"/>
                <w:b/>
                <w:bCs/>
                <w:color w:val="1A5C38"/>
                <w:sz w:val="20"/>
                <w:szCs w:val="20"/>
              </w:rPr>
              <w:t xml:space="preserve">Fixed monthly costs</w:t>
            </w:r>
          </w:p>
        </w:tc>
        <w:tc>
          <w:tcPr>
            <w:tcW w:type="dxa" w:w="4513"/>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before="0"/>
            </w:pPr>
            <w:r>
              <w:rPr>
                <w:rFonts w:ascii="Calibri" w:cs="Calibri" w:eastAsia="Calibri" w:hAnsi="Calibri"/>
                <w:b w:val="false"/>
                <w:bCs w:val="false"/>
                <w:color w:val="1A1A1A"/>
                <w:sz w:val="20"/>
                <w:szCs w:val="20"/>
              </w:rPr>
              <w:t xml:space="preserve">£1,080</w:t>
            </w:r>
          </w:p>
        </w:tc>
      </w:tr>
      <w:tr>
        <w:tc>
          <w:tcPr>
            <w:tcW w:type="dxa" w:w="4513"/>
            <w:tcBorders>
              <w:top w:val="single" w:color="B0B0B0" w:sz="1"/>
              <w:left w:val="single" w:color="B0B0B0" w:sz="1"/>
              <w:bottom w:val="single" w:color="B0B0B0" w:sz="1"/>
              <w:right w:val="single" w:color="B0B0B0" w:sz="1"/>
            </w:tcBorders>
            <w:shd w:fill="E8F5E9" w:val="clear"/>
            <w:tcMar>
              <w:top w:type="dxa" w:w="50"/>
              <w:left w:type="dxa" w:w="100"/>
              <w:bottom w:type="dxa" w:w="50"/>
              <w:right w:type="dxa" w:w="100"/>
            </w:tcMar>
            <w:vAlign w:val="center"/>
          </w:tcPr>
          <w:p>
            <w:pPr>
              <w:spacing w:after="0" w:before="0"/>
            </w:pPr>
            <w:r>
              <w:rPr>
                <w:rFonts w:ascii="Calibri" w:cs="Calibri" w:eastAsia="Calibri" w:hAnsi="Calibri"/>
                <w:b/>
                <w:bCs/>
                <w:color w:val="1A5C38"/>
                <w:sz w:val="20"/>
                <w:szCs w:val="20"/>
              </w:rPr>
              <w:t xml:space="preserve">Variable cost per session</w:t>
            </w:r>
          </w:p>
        </w:tc>
        <w:tc>
          <w:tcPr>
            <w:tcW w:type="dxa" w:w="4513"/>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before="0"/>
            </w:pPr>
            <w:r>
              <w:rPr>
                <w:rFonts w:ascii="Calibri" w:cs="Calibri" w:eastAsia="Calibri" w:hAnsi="Calibri"/>
                <w:b w:val="false"/>
                <w:bCs w:val="false"/>
                <w:color w:val="1A1A1A"/>
                <w:sz w:val="20"/>
                <w:szCs w:val="20"/>
              </w:rPr>
              <w:t xml:space="preserve">£60</w:t>
            </w:r>
          </w:p>
        </w:tc>
      </w:tr>
      <w:tr>
        <w:tc>
          <w:tcPr>
            <w:tcW w:type="dxa" w:w="4513"/>
            <w:tcBorders>
              <w:top w:val="single" w:color="B0B0B0" w:sz="1"/>
              <w:left w:val="single" w:color="B0B0B0" w:sz="1"/>
              <w:bottom w:val="single" w:color="B0B0B0" w:sz="1"/>
              <w:right w:val="single" w:color="B0B0B0" w:sz="1"/>
            </w:tcBorders>
            <w:shd w:fill="E8F5E9" w:val="clear"/>
            <w:tcMar>
              <w:top w:type="dxa" w:w="50"/>
              <w:left w:type="dxa" w:w="100"/>
              <w:bottom w:type="dxa" w:w="50"/>
              <w:right w:type="dxa" w:w="100"/>
            </w:tcMar>
            <w:vAlign w:val="center"/>
          </w:tcPr>
          <w:p>
            <w:pPr>
              <w:spacing w:after="0" w:before="0"/>
            </w:pPr>
            <w:r>
              <w:rPr>
                <w:rFonts w:ascii="Calibri" w:cs="Calibri" w:eastAsia="Calibri" w:hAnsi="Calibri"/>
                <w:b/>
                <w:bCs/>
                <w:color w:val="1A5C38"/>
                <w:sz w:val="20"/>
                <w:szCs w:val="20"/>
              </w:rPr>
              <w:t xml:space="preserve">Average session revenue (8 × £20)</w:t>
            </w:r>
          </w:p>
        </w:tc>
        <w:tc>
          <w:tcPr>
            <w:tcW w:type="dxa" w:w="4513"/>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before="0"/>
            </w:pPr>
            <w:r>
              <w:rPr>
                <w:rFonts w:ascii="Calibri" w:cs="Calibri" w:eastAsia="Calibri" w:hAnsi="Calibri"/>
                <w:b w:val="false"/>
                <w:bCs w:val="false"/>
                <w:color w:val="1A1A1A"/>
                <w:sz w:val="20"/>
                <w:szCs w:val="20"/>
              </w:rPr>
              <w:t xml:space="preserve">£160</w:t>
            </w:r>
          </w:p>
        </w:tc>
      </w:tr>
      <w:tr>
        <w:tc>
          <w:tcPr>
            <w:tcW w:type="dxa" w:w="4513"/>
            <w:tcBorders>
              <w:top w:val="single" w:color="B0B0B0" w:sz="1"/>
              <w:left w:val="single" w:color="B0B0B0" w:sz="1"/>
              <w:bottom w:val="single" w:color="B0B0B0" w:sz="1"/>
              <w:right w:val="single" w:color="B0B0B0" w:sz="1"/>
            </w:tcBorders>
            <w:shd w:fill="E8F5E9" w:val="clear"/>
            <w:tcMar>
              <w:top w:type="dxa" w:w="50"/>
              <w:left w:type="dxa" w:w="100"/>
              <w:bottom w:type="dxa" w:w="50"/>
              <w:right w:type="dxa" w:w="100"/>
            </w:tcMar>
            <w:vAlign w:val="center"/>
          </w:tcPr>
          <w:p>
            <w:pPr>
              <w:spacing w:after="0" w:before="0"/>
            </w:pPr>
            <w:r>
              <w:rPr>
                <w:rFonts w:ascii="Calibri" w:cs="Calibri" w:eastAsia="Calibri" w:hAnsi="Calibri"/>
                <w:b/>
                <w:bCs/>
                <w:color w:val="1A5C38"/>
                <w:sz w:val="20"/>
                <w:szCs w:val="20"/>
              </w:rPr>
              <w:t xml:space="preserve">Contribution margin per session</w:t>
            </w:r>
          </w:p>
        </w:tc>
        <w:tc>
          <w:tcPr>
            <w:tcW w:type="dxa" w:w="4513"/>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before="0"/>
            </w:pPr>
            <w:r>
              <w:rPr>
                <w:rFonts w:ascii="Calibri" w:cs="Calibri" w:eastAsia="Calibri" w:hAnsi="Calibri"/>
                <w:b w:val="false"/>
                <w:bCs w:val="false"/>
                <w:color w:val="1A1A1A"/>
                <w:sz w:val="20"/>
                <w:szCs w:val="20"/>
              </w:rPr>
              <w:t xml:space="preserve">£100</w:t>
            </w:r>
          </w:p>
        </w:tc>
      </w:tr>
      <w:tr>
        <w:tc>
          <w:tcPr>
            <w:tcW w:type="dxa" w:w="4513"/>
            <w:tcBorders>
              <w:top w:val="single" w:color="B0B0B0" w:sz="1"/>
              <w:left w:val="single" w:color="B0B0B0" w:sz="1"/>
              <w:bottom w:val="single" w:color="B0B0B0" w:sz="1"/>
              <w:right w:val="single" w:color="B0B0B0" w:sz="1"/>
            </w:tcBorders>
            <w:shd w:fill="E8F5E9" w:val="clear"/>
            <w:tcMar>
              <w:top w:type="dxa" w:w="50"/>
              <w:left w:type="dxa" w:w="100"/>
              <w:bottom w:type="dxa" w:w="50"/>
              <w:right w:type="dxa" w:w="100"/>
            </w:tcMar>
            <w:vAlign w:val="center"/>
          </w:tcPr>
          <w:p>
            <w:pPr>
              <w:spacing w:after="0" w:before="0"/>
            </w:pPr>
            <w:r>
              <w:rPr>
                <w:rFonts w:ascii="Calibri" w:cs="Calibri" w:eastAsia="Calibri" w:hAnsi="Calibri"/>
                <w:b/>
                <w:bCs/>
                <w:color w:val="1A5C38"/>
                <w:sz w:val="20"/>
                <w:szCs w:val="20"/>
              </w:rPr>
              <w:t xml:space="preserve">Sessions-only break-even</w:t>
            </w:r>
          </w:p>
        </w:tc>
        <w:tc>
          <w:tcPr>
            <w:tcW w:type="dxa" w:w="4513"/>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before="0"/>
            </w:pPr>
            <w:r>
              <w:rPr>
                <w:rFonts w:ascii="Calibri" w:cs="Calibri" w:eastAsia="Calibri" w:hAnsi="Calibri"/>
                <w:b w:val="false"/>
                <w:bCs w:val="false"/>
                <w:color w:val="1A1A1A"/>
                <w:sz w:val="20"/>
                <w:szCs w:val="20"/>
              </w:rPr>
              <w:t xml:space="preserve">11 sessions/month</w:t>
            </w:r>
          </w:p>
        </w:tc>
      </w:tr>
      <w:tr>
        <w:tc>
          <w:tcPr>
            <w:tcW w:type="dxa" w:w="4513"/>
            <w:tcBorders>
              <w:top w:val="single" w:color="B0B0B0" w:sz="1"/>
              <w:left w:val="single" w:color="B0B0B0" w:sz="1"/>
              <w:bottom w:val="single" w:color="B0B0B0" w:sz="1"/>
              <w:right w:val="single" w:color="B0B0B0" w:sz="1"/>
            </w:tcBorders>
            <w:shd w:fill="E8F5E9" w:val="clear"/>
            <w:tcMar>
              <w:top w:type="dxa" w:w="50"/>
              <w:left w:type="dxa" w:w="100"/>
              <w:bottom w:type="dxa" w:w="50"/>
              <w:right w:type="dxa" w:w="100"/>
            </w:tcMar>
            <w:vAlign w:val="center"/>
          </w:tcPr>
          <w:p>
            <w:pPr>
              <w:spacing w:after="0" w:before="0"/>
            </w:pPr>
            <w:r>
              <w:rPr>
                <w:rFonts w:ascii="Calibri" w:cs="Calibri" w:eastAsia="Calibri" w:hAnsi="Calibri"/>
                <w:b/>
                <w:bCs/>
                <w:color w:val="1A5C38"/>
                <w:sz w:val="20"/>
                <w:szCs w:val="20"/>
              </w:rPr>
              <w:t xml:space="preserve">Blended break-even</w:t>
            </w:r>
          </w:p>
        </w:tc>
        <w:tc>
          <w:tcPr>
            <w:tcW w:type="dxa" w:w="4513"/>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before="0"/>
            </w:pPr>
            <w:r>
              <w:rPr>
                <w:rFonts w:ascii="Calibri" w:cs="Calibri" w:eastAsia="Calibri" w:hAnsi="Calibri"/>
                <w:b w:val="false"/>
                <w:bCs w:val="false"/>
                <w:color w:val="1A1A1A"/>
                <w:sz w:val="20"/>
                <w:szCs w:val="20"/>
              </w:rPr>
              <w:t xml:space="preserve">Month 7–8</w:t>
            </w:r>
          </w:p>
        </w:tc>
      </w:tr>
      <w:tr>
        <w:tc>
          <w:tcPr>
            <w:tcW w:type="dxa" w:w="4513"/>
            <w:tcBorders>
              <w:top w:val="single" w:color="B0B0B0" w:sz="1"/>
              <w:left w:val="single" w:color="B0B0B0" w:sz="1"/>
              <w:bottom w:val="single" w:color="B0B0B0" w:sz="1"/>
              <w:right w:val="single" w:color="B0B0B0" w:sz="1"/>
            </w:tcBorders>
            <w:shd w:fill="E8F5E9" w:val="clear"/>
            <w:tcMar>
              <w:top w:type="dxa" w:w="50"/>
              <w:left w:type="dxa" w:w="100"/>
              <w:bottom w:type="dxa" w:w="50"/>
              <w:right w:type="dxa" w:w="100"/>
            </w:tcMar>
            <w:vAlign w:val="center"/>
          </w:tcPr>
          <w:p>
            <w:pPr>
              <w:spacing w:after="0" w:before="0"/>
            </w:pPr>
            <w:r>
              <w:rPr>
                <w:rFonts w:ascii="Calibri" w:cs="Calibri" w:eastAsia="Calibri" w:hAnsi="Calibri"/>
                <w:b/>
                <w:bCs/>
                <w:color w:val="1A5C38"/>
                <w:sz w:val="20"/>
                <w:szCs w:val="20"/>
              </w:rPr>
              <w:t xml:space="preserve">Year 1 total revenue</w:t>
            </w:r>
          </w:p>
        </w:tc>
        <w:tc>
          <w:tcPr>
            <w:tcW w:type="dxa" w:w="4513"/>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before="0"/>
            </w:pPr>
            <w:r>
              <w:rPr>
                <w:rFonts w:ascii="Calibri" w:cs="Calibri" w:eastAsia="Calibri" w:hAnsi="Calibri"/>
                <w:b w:val="false"/>
                <w:bCs w:val="false"/>
                <w:color w:val="1A1A1A"/>
                <w:sz w:val="20"/>
                <w:szCs w:val="20"/>
              </w:rPr>
              <w:t xml:space="preserve">£28,200</w:t>
            </w:r>
          </w:p>
        </w:tc>
      </w:tr>
      <w:tr>
        <w:tc>
          <w:tcPr>
            <w:tcW w:type="dxa" w:w="4513"/>
            <w:tcBorders>
              <w:top w:val="single" w:color="B0B0B0" w:sz="1"/>
              <w:left w:val="single" w:color="B0B0B0" w:sz="1"/>
              <w:bottom w:val="single" w:color="B0B0B0" w:sz="1"/>
              <w:right w:val="single" w:color="B0B0B0" w:sz="1"/>
            </w:tcBorders>
            <w:shd w:fill="E8F5E9" w:val="clear"/>
            <w:tcMar>
              <w:top w:type="dxa" w:w="50"/>
              <w:left w:type="dxa" w:w="100"/>
              <w:bottom w:type="dxa" w:w="50"/>
              <w:right w:type="dxa" w:w="100"/>
            </w:tcMar>
            <w:vAlign w:val="center"/>
          </w:tcPr>
          <w:p>
            <w:pPr>
              <w:spacing w:after="0" w:before="0"/>
            </w:pPr>
            <w:r>
              <w:rPr>
                <w:rFonts w:ascii="Calibri" w:cs="Calibri" w:eastAsia="Calibri" w:hAnsi="Calibri"/>
                <w:b/>
                <w:bCs/>
                <w:color w:val="1A5C38"/>
                <w:sz w:val="20"/>
                <w:szCs w:val="20"/>
              </w:rPr>
              <w:t xml:space="preserve">Year 1 total costs</w:t>
            </w:r>
          </w:p>
        </w:tc>
        <w:tc>
          <w:tcPr>
            <w:tcW w:type="dxa" w:w="4513"/>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before="0"/>
            </w:pPr>
            <w:r>
              <w:rPr>
                <w:rFonts w:ascii="Calibri" w:cs="Calibri" w:eastAsia="Calibri" w:hAnsi="Calibri"/>
                <w:b w:val="false"/>
                <w:bCs w:val="false"/>
                <w:color w:val="1A1A1A"/>
                <w:sz w:val="20"/>
                <w:szCs w:val="20"/>
              </w:rPr>
              <w:t xml:space="preserve">£20,160</w:t>
            </w:r>
          </w:p>
        </w:tc>
      </w:tr>
      <w:tr>
        <w:tc>
          <w:tcPr>
            <w:tcW w:type="dxa" w:w="4513"/>
            <w:tcBorders>
              <w:top w:val="single" w:color="B0B0B0" w:sz="1"/>
              <w:left w:val="single" w:color="B0B0B0" w:sz="1"/>
              <w:bottom w:val="single" w:color="B0B0B0" w:sz="1"/>
              <w:right w:val="single" w:color="B0B0B0" w:sz="1"/>
            </w:tcBorders>
            <w:shd w:fill="E8F5E9" w:val="clear"/>
            <w:tcMar>
              <w:top w:type="dxa" w:w="50"/>
              <w:left w:type="dxa" w:w="100"/>
              <w:bottom w:type="dxa" w:w="50"/>
              <w:right w:type="dxa" w:w="100"/>
            </w:tcMar>
            <w:vAlign w:val="center"/>
          </w:tcPr>
          <w:p>
            <w:pPr>
              <w:spacing w:after="0" w:before="0"/>
            </w:pPr>
            <w:r>
              <w:rPr>
                <w:rFonts w:ascii="Calibri" w:cs="Calibri" w:eastAsia="Calibri" w:hAnsi="Calibri"/>
                <w:b/>
                <w:bCs/>
                <w:color w:val="1A5C38"/>
                <w:sz w:val="20"/>
                <w:szCs w:val="20"/>
              </w:rPr>
              <w:t xml:space="preserve">Year 1 net surplus</w:t>
            </w:r>
          </w:p>
        </w:tc>
        <w:tc>
          <w:tcPr>
            <w:tcW w:type="dxa" w:w="4513"/>
            <w:tcBorders>
              <w:top w:val="single" w:color="B0B0B0" w:sz="1"/>
              <w:left w:val="single" w:color="B0B0B0" w:sz="1"/>
              <w:bottom w:val="single" w:color="B0B0B0" w:sz="1"/>
              <w:right w:val="single" w:color="B0B0B0" w:sz="1"/>
            </w:tcBorders>
            <w:shd w:fill="E8F5E9" w:val="clear"/>
            <w:tcMar>
              <w:top w:type="dxa" w:w="50"/>
              <w:left w:type="dxa" w:w="100"/>
              <w:bottom w:type="dxa" w:w="50"/>
              <w:right w:type="dxa" w:w="100"/>
            </w:tcMar>
            <w:vAlign w:val="center"/>
          </w:tcPr>
          <w:p>
            <w:pPr>
              <w:spacing w:after="0" w:before="0"/>
            </w:pPr>
            <w:r>
              <w:rPr>
                <w:rFonts w:ascii="Calibri" w:cs="Calibri" w:eastAsia="Calibri" w:hAnsi="Calibri"/>
                <w:b/>
                <w:bCs/>
                <w:color w:val="1A5C38"/>
                <w:sz w:val="20"/>
                <w:szCs w:val="20"/>
              </w:rPr>
              <w:t xml:space="preserve">£8,040</w:t>
            </w:r>
          </w:p>
        </w:tc>
      </w:tr>
    </w:tbl>
    <w:p>
      <w:pPr>
        <w:spacing w:after="0" w:before="120"/>
      </w:pPr>
    </w:p>
    <w:p>
      <w:pPr>
        <w:pStyle w:val="Heading2"/>
        <w:spacing w:after="120" w:before="240"/>
      </w:pPr>
      <w:r>
        <w:rPr>
          <w:rFonts w:ascii="Calibri" w:cs="Calibri" w:eastAsia="Calibri" w:hAnsi="Calibri"/>
          <w:b/>
          <w:bCs/>
          <w:color w:val="1A5C38"/>
          <w:sz w:val="24"/>
          <w:szCs w:val="24"/>
        </w:rPr>
        <w:t xml:space="preserve">Fixed Monthly Costs: £1,080</w:t>
      </w:r>
    </w:p>
    <w:p>
      <w:pPr>
        <w:pStyle w:val="ListParagraph"/>
        <w:numPr>
          <w:ilvl w:val="0"/>
          <w:numId w:val="2"/>
        </w:numPr>
        <w:spacing w:after="40" w:before="40"/>
      </w:pPr>
      <w:r>
        <w:rPr>
          <w:rFonts w:ascii="Calibri" w:cs="Calibri" w:eastAsia="Calibri" w:hAnsi="Calibri"/>
          <w:color w:val="1A1A1A"/>
          <w:sz w:val="22"/>
          <w:szCs w:val="22"/>
        </w:rPr>
        <w:t xml:space="preserve">Hub space hire: £800</w:t>
      </w:r>
    </w:p>
    <w:p>
      <w:pPr>
        <w:pStyle w:val="ListParagraph"/>
        <w:numPr>
          <w:ilvl w:val="0"/>
          <w:numId w:val="2"/>
        </w:numPr>
        <w:spacing w:after="40" w:before="40"/>
      </w:pPr>
      <w:r>
        <w:rPr>
          <w:rFonts w:ascii="Calibri" w:cs="Calibri" w:eastAsia="Calibri" w:hAnsi="Calibri"/>
          <w:color w:val="1A1A1A"/>
          <w:sz w:val="22"/>
          <w:szCs w:val="22"/>
        </w:rPr>
        <w:t xml:space="preserve">Insurance: £80</w:t>
      </w:r>
    </w:p>
    <w:p>
      <w:pPr>
        <w:pStyle w:val="ListParagraph"/>
        <w:numPr>
          <w:ilvl w:val="0"/>
          <w:numId w:val="2"/>
        </w:numPr>
        <w:spacing w:after="40" w:before="40"/>
      </w:pPr>
      <w:r>
        <w:rPr>
          <w:rFonts w:ascii="Calibri" w:cs="Calibri" w:eastAsia="Calibri" w:hAnsi="Calibri"/>
          <w:color w:val="1A1A1A"/>
          <w:sz w:val="22"/>
          <w:szCs w:val="22"/>
        </w:rPr>
        <w:t xml:space="preserve">Website/tools: £50</w:t>
      </w:r>
    </w:p>
    <w:p>
      <w:pPr>
        <w:pStyle w:val="ListParagraph"/>
        <w:numPr>
          <w:ilvl w:val="0"/>
          <w:numId w:val="2"/>
        </w:numPr>
        <w:spacing w:after="40" w:before="40"/>
      </w:pPr>
      <w:r>
        <w:rPr>
          <w:rFonts w:ascii="Calibri" w:cs="Calibri" w:eastAsia="Calibri" w:hAnsi="Calibri"/>
          <w:color w:val="1A1A1A"/>
          <w:sz w:val="22"/>
          <w:szCs w:val="22"/>
        </w:rPr>
        <w:t xml:space="preserve">Marketing: £100</w:t>
      </w:r>
    </w:p>
    <w:p>
      <w:pPr>
        <w:pStyle w:val="ListParagraph"/>
        <w:numPr>
          <w:ilvl w:val="0"/>
          <w:numId w:val="2"/>
        </w:numPr>
        <w:spacing w:after="40" w:before="40"/>
      </w:pPr>
      <w:r>
        <w:rPr>
          <w:rFonts w:ascii="Calibri" w:cs="Calibri" w:eastAsia="Calibri" w:hAnsi="Calibri"/>
          <w:color w:val="1A1A1A"/>
          <w:sz w:val="22"/>
          <w:szCs w:val="22"/>
        </w:rPr>
        <w:t xml:space="preserve">Admin: £50</w:t>
      </w:r>
    </w:p>
    <w:p>
      <w:pPr>
        <w:pStyle w:val="Heading2"/>
        <w:spacing w:after="120" w:before="240"/>
      </w:pPr>
      <w:r>
        <w:rPr>
          <w:rFonts w:ascii="Calibri" w:cs="Calibri" w:eastAsia="Calibri" w:hAnsi="Calibri"/>
          <w:b/>
          <w:bCs/>
          <w:color w:val="1A5C38"/>
          <w:sz w:val="24"/>
          <w:szCs w:val="24"/>
        </w:rPr>
        <w:t xml:space="preserve">Variable Cost per Session: £60</w:t>
      </w:r>
    </w:p>
    <w:p>
      <w:pPr>
        <w:pStyle w:val="ListParagraph"/>
        <w:numPr>
          <w:ilvl w:val="0"/>
          <w:numId w:val="2"/>
        </w:numPr>
        <w:spacing w:after="40" w:before="40"/>
      </w:pPr>
      <w:r>
        <w:rPr>
          <w:rFonts w:ascii="Calibri" w:cs="Calibri" w:eastAsia="Calibri" w:hAnsi="Calibri"/>
          <w:color w:val="1A1A1A"/>
          <w:sz w:val="22"/>
          <w:szCs w:val="22"/>
        </w:rPr>
        <w:t xml:space="preserve">Ingredients: £40</w:t>
      </w:r>
    </w:p>
    <w:p>
      <w:pPr>
        <w:pStyle w:val="ListParagraph"/>
        <w:numPr>
          <w:ilvl w:val="0"/>
          <w:numId w:val="2"/>
        </w:numPr>
        <w:spacing w:after="40" w:before="40"/>
      </w:pPr>
      <w:r>
        <w:rPr>
          <w:rFonts w:ascii="Calibri" w:cs="Calibri" w:eastAsia="Calibri" w:hAnsi="Calibri"/>
          <w:color w:val="1A1A1A"/>
          <w:sz w:val="22"/>
          <w:szCs w:val="22"/>
        </w:rPr>
        <w:t xml:space="preserve">Materials: £5</w:t>
      </w:r>
    </w:p>
    <w:p>
      <w:pPr>
        <w:pStyle w:val="ListParagraph"/>
        <w:numPr>
          <w:ilvl w:val="0"/>
          <w:numId w:val="2"/>
        </w:numPr>
        <w:spacing w:after="40" w:before="40"/>
      </w:pPr>
      <w:r>
        <w:rPr>
          <w:rFonts w:ascii="Calibri" w:cs="Calibri" w:eastAsia="Calibri" w:hAnsi="Calibri"/>
          <w:color w:val="1A1A1A"/>
          <w:sz w:val="22"/>
          <w:szCs w:val="22"/>
        </w:rPr>
        <w:t xml:space="preserve">Equipment: £10</w:t>
      </w:r>
    </w:p>
    <w:p>
      <w:pPr>
        <w:pStyle w:val="ListParagraph"/>
        <w:numPr>
          <w:ilvl w:val="0"/>
          <w:numId w:val="2"/>
        </w:numPr>
        <w:spacing w:after="40" w:before="40"/>
      </w:pPr>
      <w:r>
        <w:rPr>
          <w:rFonts w:ascii="Calibri" w:cs="Calibri" w:eastAsia="Calibri" w:hAnsi="Calibri"/>
          <w:color w:val="1A1A1A"/>
          <w:sz w:val="22"/>
          <w:szCs w:val="22"/>
        </w:rPr>
        <w:t xml:space="preserve">Energy: £5</w:t>
      </w:r>
    </w:p>
    <w:p>
      <w:pPr>
        <w:pStyle w:val="Heading2"/>
        <w:spacing w:after="120" w:before="240"/>
      </w:pPr>
      <w:r>
        <w:rPr>
          <w:rFonts w:ascii="Calibri" w:cs="Calibri" w:eastAsia="Calibri" w:hAnsi="Calibri"/>
          <w:b/>
          <w:bCs/>
          <w:color w:val="1A5C38"/>
          <w:sz w:val="24"/>
          <w:szCs w:val="24"/>
        </w:rPr>
        <w:t xml:space="preserve">Sessions-Only Break-Even: 11 Sessions per Month</w:t>
      </w:r>
    </w:p>
    <w:p>
      <w:pPr>
        <w:spacing w:after="80" w:before="80"/>
        <w:jc w:val="both"/>
      </w:pPr>
      <w:r>
        <w:rPr>
          <w:rFonts w:ascii="Calibri" w:cs="Calibri" w:eastAsia="Calibri" w:hAnsi="Calibri"/>
          <w:color w:val="1A1A1A"/>
          <w:sz w:val="22"/>
          <w:szCs w:val="22"/>
        </w:rPr>
        <w:t xml:space="preserve">Average session revenue: £160 (8 participants × £20 average) minus variable cost of £60 = contribution margin of £100 per session. Fixed costs of £1,080 ÷ £100 contribution margin = 10.8, rounded up to 11 sessions per month.</w:t>
      </w:r>
    </w:p>
    <w:p>
      <w:pPr>
        <w:pStyle w:val="Heading2"/>
        <w:spacing w:after="120" w:before="240"/>
      </w:pPr>
      <w:r>
        <w:rPr>
          <w:rFonts w:ascii="Calibri" w:cs="Calibri" w:eastAsia="Calibri" w:hAnsi="Calibri"/>
          <w:b/>
          <w:bCs/>
          <w:color w:val="1A5C38"/>
          <w:sz w:val="24"/>
          <w:szCs w:val="24"/>
        </w:rPr>
        <w:t xml:space="preserve">Blended Break-Even: Month 7–8</w:t>
      </w:r>
    </w:p>
    <w:p>
      <w:pPr>
        <w:spacing w:after="80" w:before="80"/>
        <w:jc w:val="both"/>
      </w:pPr>
      <w:r>
        <w:rPr>
          <w:rFonts w:ascii="Calibri" w:cs="Calibri" w:eastAsia="Calibri" w:hAnsi="Calibri"/>
          <w:color w:val="1A1A1A"/>
          <w:sz w:val="22"/>
          <w:szCs w:val="22"/>
        </w:rPr>
        <w:t xml:space="preserve">By Month 6, combining all five revenue streams:</w:t>
      </w:r>
    </w:p>
    <w:p>
      <w:pPr>
        <w:pStyle w:val="ListParagraph"/>
        <w:numPr>
          <w:ilvl w:val="0"/>
          <w:numId w:val="2"/>
        </w:numPr>
        <w:spacing w:after="40" w:before="40"/>
      </w:pPr>
      <w:r>
        <w:rPr>
          <w:rFonts w:ascii="Calibri" w:cs="Calibri" w:eastAsia="Calibri" w:hAnsi="Calibri"/>
          <w:color w:val="1A1A1A"/>
          <w:sz w:val="22"/>
          <w:szCs w:val="22"/>
        </w:rPr>
        <w:t xml:space="preserve">Sessions: ~£700</w:t>
      </w:r>
    </w:p>
    <w:p>
      <w:pPr>
        <w:pStyle w:val="ListParagraph"/>
        <w:numPr>
          <w:ilvl w:val="0"/>
          <w:numId w:val="2"/>
        </w:numPr>
        <w:spacing w:after="40" w:before="40"/>
      </w:pPr>
      <w:r>
        <w:rPr>
          <w:rFonts w:ascii="Calibri" w:cs="Calibri" w:eastAsia="Calibri" w:hAnsi="Calibri"/>
          <w:color w:val="1A1A1A"/>
          <w:sz w:val="22"/>
          <w:szCs w:val="22"/>
        </w:rPr>
        <w:t xml:space="preserve">Subscriptions: ~£450</w:t>
      </w:r>
    </w:p>
    <w:p>
      <w:pPr>
        <w:pStyle w:val="ListParagraph"/>
        <w:numPr>
          <w:ilvl w:val="0"/>
          <w:numId w:val="2"/>
        </w:numPr>
        <w:spacing w:after="40" w:before="40"/>
      </w:pPr>
      <w:r>
        <w:rPr>
          <w:rFonts w:ascii="Calibri" w:cs="Calibri" w:eastAsia="Calibri" w:hAnsi="Calibri"/>
          <w:color w:val="1A1A1A"/>
          <w:sz w:val="22"/>
          <w:szCs w:val="22"/>
        </w:rPr>
        <w:t xml:space="preserve">Memberships: ~£375</w:t>
      </w:r>
    </w:p>
    <w:p>
      <w:pPr>
        <w:pStyle w:val="ListParagraph"/>
        <w:numPr>
          <w:ilvl w:val="0"/>
          <w:numId w:val="2"/>
        </w:numPr>
        <w:spacing w:after="40" w:before="40"/>
      </w:pPr>
      <w:r>
        <w:rPr>
          <w:rFonts w:ascii="Calibri" w:cs="Calibri" w:eastAsia="Calibri" w:hAnsi="Calibri"/>
          <w:color w:val="1A1A1A"/>
          <w:sz w:val="22"/>
          <w:szCs w:val="22"/>
        </w:rPr>
        <w:t xml:space="preserve">Commissions: ~£130</w:t>
      </w:r>
    </w:p>
    <w:p>
      <w:pPr>
        <w:pStyle w:val="ListParagraph"/>
        <w:numPr>
          <w:ilvl w:val="0"/>
          <w:numId w:val="2"/>
        </w:numPr>
        <w:spacing w:after="40" w:before="40"/>
      </w:pPr>
      <w:r>
        <w:rPr>
          <w:rFonts w:ascii="Calibri" w:cs="Calibri" w:eastAsia="Calibri" w:hAnsi="Calibri"/>
          <w:color w:val="1A1A1A"/>
          <w:sz w:val="22"/>
          <w:szCs w:val="22"/>
        </w:rPr>
        <w:t xml:space="preserve">Consulting: ~£333</w:t>
      </w:r>
    </w:p>
    <w:p>
      <w:pPr>
        <w:spacing w:after="80" w:before="80"/>
        <w:jc w:val="both"/>
      </w:pPr>
      <w:r>
        <w:rPr>
          <w:rFonts w:ascii="Calibri" w:cs="Calibri" w:eastAsia="Calibri" w:hAnsi="Calibri"/>
          <w:b/>
          <w:bCs/>
          <w:color w:val="1A1A1A"/>
          <w:sz w:val="22"/>
          <w:szCs w:val="22"/>
        </w:rPr>
        <w:t xml:space="preserve">Total Month 6 revenue: ~£1,988 vs total costs ~£1,500 = £488 surplus.</w:t>
      </w:r>
    </w:p>
    <w:p>
      <w:pPr>
        <w:spacing w:after="80" w:before="80"/>
        <w:jc w:val="both"/>
      </w:pPr>
      <w:r>
        <w:rPr>
          <w:rFonts w:ascii="Calibri" w:cs="Calibri" w:eastAsia="Calibri" w:hAnsi="Calibri"/>
          <w:color w:val="1A1A1A"/>
          <w:sz w:val="22"/>
          <w:szCs w:val="22"/>
        </w:rPr>
        <w:t xml:space="preserve">Cumulative break-even (costs recovered): Month 7–8.</w:t>
      </w:r>
    </w:p>
    <w:p>
      <w:pPr>
        <w:spacing w:after="0" w:before="80"/>
      </w:pPr>
    </w:p>
    <w:p>
      <w:pPr>
        <w:pStyle w:val="Heading2"/>
        <w:spacing w:after="120" w:before="240"/>
      </w:pPr>
      <w:r>
        <w:rPr>
          <w:rFonts w:ascii="Calibri" w:cs="Calibri" w:eastAsia="Calibri" w:hAnsi="Calibri"/>
          <w:b/>
          <w:bCs/>
          <w:color w:val="1A5C38"/>
          <w:sz w:val="24"/>
          <w:szCs w:val="24"/>
        </w:rPr>
        <w:t xml:space="preserve">Year 1 Summary</w:t>
      </w:r>
    </w:p>
    <w:p>
      <w:pPr>
        <w:spacing w:after="80" w:before="80"/>
        <w:jc w:val="both"/>
      </w:pPr>
      <w:r>
        <w:rPr>
          <w:rFonts w:ascii="Calibri" w:cs="Calibri" w:eastAsia="Calibri" w:hAnsi="Calibri"/>
          <w:b/>
          <w:bCs/>
          <w:color w:val="1A5C38"/>
          <w:sz w:val="22"/>
          <w:szCs w:val="22"/>
        </w:rPr>
        <w:t xml:space="preserve">Total revenue: £28,200  |  Total costs: £20,160  |  Net surplus: £8,040</w:t>
      </w:r>
    </w:p>
    <w:p>
      <w:pPr>
        <w:spacing w:after="80" w:before="80"/>
        <w:jc w:val="both"/>
      </w:pPr>
      <w:r>
        <w:rPr>
          <w:rFonts w:ascii="Calibri" w:cs="Calibri" w:eastAsia="Calibri" w:hAnsi="Calibri"/>
          <w:color w:val="1A1A1A"/>
          <w:sz w:val="22"/>
          <w:szCs w:val="22"/>
        </w:rPr>
        <w:t xml:space="preserve">The full interactive financial model with month-by-month projections is available as a separate Excel workbook (GreenAfricaHub_BreakEven_Model_v2.xlsx).</w:t>
      </w:r>
    </w:p>
    <w:p>
      <w:r>
        <w:br w:type="page"/>
      </w:r>
    </w:p>
    <w:p>
      <w:pPr>
        <w:pStyle w:val="Heading1"/>
        <w:spacing w:after="180" w:before="360"/>
      </w:pPr>
      <w:r>
        <w:rPr>
          <w:rFonts w:ascii="Calibri" w:cs="Calibri" w:eastAsia="Calibri" w:hAnsi="Calibri"/>
          <w:b/>
          <w:bCs/>
          <w:color w:val="1A5C38"/>
          <w:sz w:val="32"/>
          <w:szCs w:val="32"/>
        </w:rPr>
        <w:t xml:space="preserve">8. Market Opportunity</w:t>
      </w:r>
    </w:p>
    <w:p>
      <w:pPr>
        <w:spacing w:after="80" w:before="80"/>
        <w:jc w:val="both"/>
      </w:pPr>
      <w:r>
        <w:rPr>
          <w:rFonts w:ascii="Calibri" w:cs="Calibri" w:eastAsia="Calibri" w:hAnsi="Calibri"/>
          <w:b/>
          <w:bCs/>
          <w:color w:val="1A1A1A"/>
          <w:sz w:val="22"/>
          <w:szCs w:val="22"/>
        </w:rPr>
        <w:t xml:space="preserve">Primary market: </w:t>
      </w:r>
      <w:r>
        <w:rPr>
          <w:rFonts w:ascii="Calibri" w:cs="Calibri" w:eastAsia="Calibri" w:hAnsi="Calibri"/>
          <w:color w:val="1A1A1A"/>
          <w:sz w:val="22"/>
          <w:szCs w:val="22"/>
        </w:rPr>
        <w:t xml:space="preserve">~1.5 million UK African and Caribbean diaspora (ONS Census 2021). Concentrated in Bristol, Birmingham, Manchester, London. Fuel poverty rate 25–30% vs 13% national average.</w:t>
      </w:r>
    </w:p>
    <w:p>
      <w:pPr>
        <w:spacing w:after="80" w:before="80"/>
        <w:jc w:val="both"/>
      </w:pPr>
      <w:r>
        <w:rPr>
          <w:rFonts w:ascii="Calibri" w:cs="Calibri" w:eastAsia="Calibri" w:hAnsi="Calibri"/>
          <w:b/>
          <w:bCs/>
          <w:color w:val="1A1A1A"/>
          <w:sz w:val="22"/>
          <w:szCs w:val="22"/>
        </w:rPr>
        <w:t xml:space="preserve">Bristol target community: </w:t>
      </w:r>
      <w:r>
        <w:rPr>
          <w:rFonts w:ascii="Calibri" w:cs="Calibri" w:eastAsia="Calibri" w:hAnsi="Calibri"/>
          <w:color w:val="1A1A1A"/>
          <w:sz w:val="22"/>
          <w:szCs w:val="22"/>
        </w:rPr>
        <w:t xml:space="preserve">15,000–20,000 Black African and Black Caribbean residents. Established food culture with regular cultural events, markets, and community catering.</w:t>
      </w:r>
    </w:p>
    <w:p>
      <w:pPr>
        <w:spacing w:after="80" w:before="80"/>
        <w:jc w:val="both"/>
      </w:pPr>
      <w:r>
        <w:rPr>
          <w:rFonts w:ascii="Calibri" w:cs="Calibri" w:eastAsia="Calibri" w:hAnsi="Calibri"/>
          <w:b/>
          <w:bCs/>
          <w:color w:val="1A1A1A"/>
          <w:sz w:val="22"/>
          <w:szCs w:val="22"/>
        </w:rPr>
        <w:t xml:space="preserve">UK micro-caterers: </w:t>
      </w:r>
      <w:r>
        <w:rPr>
          <w:rFonts w:ascii="Calibri" w:cs="Calibri" w:eastAsia="Calibri" w:hAnsi="Calibri"/>
          <w:color w:val="1A1A1A"/>
          <w:sz w:val="22"/>
          <w:szCs w:val="22"/>
        </w:rPr>
        <w:t xml:space="preserve">An estimated 5,000–8,000 informal African and Caribbean food businesses operate across the UK, most with no access to green technology or sustainability education.</w:t>
      </w:r>
    </w:p>
    <w:p>
      <w:pPr>
        <w:spacing w:after="80" w:before="80"/>
        <w:jc w:val="both"/>
      </w:pPr>
      <w:r>
        <w:rPr>
          <w:rFonts w:ascii="Calibri" w:cs="Calibri" w:eastAsia="Calibri" w:hAnsi="Calibri"/>
          <w:b/>
          <w:bCs/>
          <w:color w:val="1A1A1A"/>
          <w:sz w:val="22"/>
          <w:szCs w:val="22"/>
        </w:rPr>
        <w:t xml:space="preserve">UK sustainable food market: </w:t>
      </w:r>
      <w:r>
        <w:rPr>
          <w:rFonts w:ascii="Calibri" w:cs="Calibri" w:eastAsia="Calibri" w:hAnsi="Calibri"/>
          <w:color w:val="1A1A1A"/>
          <w:sz w:val="22"/>
          <w:szCs w:val="22"/>
        </w:rPr>
        <w:t xml:space="preserve">£14 billion+ (2024), growing driven by consumer demand and regulatory pressure.</w:t>
      </w:r>
    </w:p>
    <w:p>
      <w:pPr>
        <w:spacing w:after="0" w:before="80"/>
      </w:pPr>
    </w:p>
    <w:p>
      <w:pPr>
        <w:pStyle w:val="Heading2"/>
        <w:spacing w:after="120" w:before="240"/>
      </w:pPr>
      <w:r>
        <w:rPr>
          <w:rFonts w:ascii="Calibri" w:cs="Calibri" w:eastAsia="Calibri" w:hAnsi="Calibri"/>
          <w:b/>
          <w:bCs/>
          <w:color w:val="1A5C38"/>
          <w:sz w:val="24"/>
          <w:szCs w:val="24"/>
        </w:rPr>
        <w:t xml:space="preserve">Competitive Position</w:t>
      </w:r>
    </w:p>
    <w:p>
      <w:pPr>
        <w:spacing w:after="80" w:before="80"/>
        <w:jc w:val="both"/>
      </w:pPr>
      <w:r>
        <w:rPr>
          <w:rFonts w:ascii="Calibri" w:cs="Calibri" w:eastAsia="Calibri" w:hAnsi="Calibri"/>
          <w:color w:val="1A1A1A"/>
          <w:sz w:val="22"/>
          <w:szCs w:val="22"/>
        </w:rPr>
        <w:t xml:space="preserve">No direct competitors. Green Africa Hub is the first organisation combining cultural food expertise, AI carbon tracking technology, institutional sustainability partnerships, and a completed recipe library — all specifically for African and Caribbean communities in the UK.</w:t>
      </w:r>
    </w:p>
    <w:p>
      <w:r>
        <w:br w:type="page"/>
      </w:r>
    </w:p>
    <w:p>
      <w:pPr>
        <w:pStyle w:val="Heading1"/>
        <w:spacing w:after="180" w:before="360"/>
      </w:pPr>
      <w:r>
        <w:rPr>
          <w:rFonts w:ascii="Calibri" w:cs="Calibri" w:eastAsia="Calibri" w:hAnsi="Calibri"/>
          <w:b/>
          <w:bCs/>
          <w:color w:val="1A5C38"/>
          <w:sz w:val="32"/>
          <w:szCs w:val="32"/>
        </w:rPr>
        <w:t xml:space="preserve">9. Operations &amp; Timeline</w:t>
      </w:r>
    </w:p>
    <w:p>
      <w:pPr>
        <w:pStyle w:val="Heading2"/>
        <w:spacing w:after="120" w:before="240"/>
      </w:pPr>
      <w:r>
        <w:rPr>
          <w:rFonts w:ascii="Calibri" w:cs="Calibri" w:eastAsia="Calibri" w:hAnsi="Calibri"/>
          <w:b/>
          <w:bCs/>
          <w:color w:val="1A5C38"/>
          <w:sz w:val="24"/>
          <w:szCs w:val="24"/>
        </w:rPr>
        <w:t xml:space="preserve">Year 1 (2026) — Pilot &amp; Launch</w:t>
      </w:r>
    </w:p>
    <w:p>
      <w:pPr>
        <w:spacing w:after="80" w:before="80"/>
        <w:jc w:val="both"/>
      </w:pPr>
      <w:r>
        <w:rPr>
          <w:rFonts w:ascii="Calibri" w:cs="Calibri" w:eastAsia="Calibri" w:hAnsi="Calibri"/>
          <w:b/>
          <w:bCs/>
          <w:color w:val="1A1A1A"/>
          <w:sz w:val="22"/>
          <w:szCs w:val="22"/>
        </w:rPr>
        <w:t xml:space="preserve">Q1–Q2: </w:t>
      </w:r>
      <w:r>
        <w:rPr>
          <w:rFonts w:ascii="Calibri" w:cs="Calibri" w:eastAsia="Calibri" w:hAnsi="Calibri"/>
          <w:color w:val="1A1A1A"/>
          <w:sz w:val="22"/>
          <w:szCs w:val="22"/>
        </w:rPr>
        <w:t xml:space="preserve">3-session community pilot (April–June). Data collection and analysis.</w:t>
      </w:r>
    </w:p>
    <w:p>
      <w:pPr>
        <w:spacing w:after="80" w:before="80"/>
        <w:jc w:val="both"/>
      </w:pPr>
      <w:r>
        <w:rPr>
          <w:rFonts w:ascii="Calibri" w:cs="Calibri" w:eastAsia="Calibri" w:hAnsi="Calibri"/>
          <w:b/>
          <w:bCs/>
          <w:color w:val="1A1A1A"/>
          <w:sz w:val="22"/>
          <w:szCs w:val="22"/>
        </w:rPr>
        <w:t xml:space="preserve">Q2: </w:t>
      </w:r>
      <w:r>
        <w:rPr>
          <w:rFonts w:ascii="Calibri" w:cs="Calibri" w:eastAsia="Calibri" w:hAnsi="Calibri"/>
          <w:color w:val="1A1A1A"/>
          <w:sz w:val="22"/>
          <w:szCs w:val="22"/>
        </w:rPr>
        <w:t xml:space="preserve">Grant applications submitted (Innovate UK, UKSPF, WECA Green Economy Fund, National Lottery).</w:t>
      </w:r>
    </w:p>
    <w:p>
      <w:pPr>
        <w:spacing w:after="80" w:before="80"/>
        <w:jc w:val="both"/>
      </w:pPr>
      <w:r>
        <w:rPr>
          <w:rFonts w:ascii="Calibri" w:cs="Calibri" w:eastAsia="Calibri" w:hAnsi="Calibri"/>
          <w:b/>
          <w:bCs/>
          <w:color w:val="1A1A1A"/>
          <w:sz w:val="22"/>
          <w:szCs w:val="22"/>
        </w:rPr>
        <w:t xml:space="preserve">Q3: </w:t>
      </w:r>
      <w:r>
        <w:rPr>
          <w:rFonts w:ascii="Calibri" w:cs="Calibri" w:eastAsia="Calibri" w:hAnsi="Calibri"/>
          <w:color w:val="1A1A1A"/>
          <w:sz w:val="22"/>
          <w:szCs w:val="22"/>
        </w:rPr>
        <w:t xml:space="preserve">Bristol Smart Kitchen Hub launched with Future Leap. Digital subscription platform live.</w:t>
      </w:r>
    </w:p>
    <w:p>
      <w:pPr>
        <w:spacing w:after="80" w:before="80"/>
        <w:jc w:val="both"/>
      </w:pPr>
      <w:r>
        <w:rPr>
          <w:rFonts w:ascii="Calibri" w:cs="Calibri" w:eastAsia="Calibri" w:hAnsi="Calibri"/>
          <w:b/>
          <w:bCs/>
          <w:color w:val="1A1A1A"/>
          <w:sz w:val="22"/>
          <w:szCs w:val="22"/>
        </w:rPr>
        <w:t xml:space="preserve">Q4: </w:t>
      </w:r>
      <w:r>
        <w:rPr>
          <w:rFonts w:ascii="Calibri" w:cs="Calibri" w:eastAsia="Calibri" w:hAnsi="Calibri"/>
          <w:color w:val="1A1A1A"/>
          <w:sz w:val="22"/>
          <w:szCs w:val="22"/>
        </w:rPr>
        <w:t xml:space="preserve">AI Carbon Tracker pilot with 50 households. Kitchen membership programme launched.</w:t>
      </w:r>
    </w:p>
    <w:p>
      <w:pPr>
        <w:pStyle w:val="Heading2"/>
        <w:spacing w:after="120" w:before="240"/>
      </w:pPr>
      <w:r>
        <w:rPr>
          <w:rFonts w:ascii="Calibri" w:cs="Calibri" w:eastAsia="Calibri" w:hAnsi="Calibri"/>
          <w:b/>
          <w:bCs/>
          <w:color w:val="1A5C38"/>
          <w:sz w:val="24"/>
          <w:szCs w:val="24"/>
        </w:rPr>
        <w:t xml:space="preserve">Year 2 (2027) — Growth</w:t>
      </w:r>
    </w:p>
    <w:p>
      <w:pPr>
        <w:spacing w:after="80" w:before="80"/>
        <w:jc w:val="both"/>
      </w:pPr>
      <w:r>
        <w:rPr>
          <w:rFonts w:ascii="Calibri" w:cs="Calibri" w:eastAsia="Calibri" w:hAnsi="Calibri"/>
          <w:color w:val="1A1A1A"/>
          <w:sz w:val="22"/>
          <w:szCs w:val="22"/>
        </w:rPr>
        <w:t xml:space="preserve">Birmingham spoke launched. Digital subscriptions scaled nationally. 5 staff members.</w:t>
      </w:r>
    </w:p>
    <w:p>
      <w:pPr>
        <w:pStyle w:val="Heading2"/>
        <w:spacing w:after="120" w:before="240"/>
      </w:pPr>
      <w:r>
        <w:rPr>
          <w:rFonts w:ascii="Calibri" w:cs="Calibri" w:eastAsia="Calibri" w:hAnsi="Calibri"/>
          <w:b/>
          <w:bCs/>
          <w:color w:val="1A5C38"/>
          <w:sz w:val="24"/>
          <w:szCs w:val="24"/>
        </w:rPr>
        <w:t xml:space="preserve">Year 3 (2028) — Scale</w:t>
      </w:r>
    </w:p>
    <w:p>
      <w:pPr>
        <w:spacing w:after="80" w:before="80"/>
        <w:jc w:val="both"/>
      </w:pPr>
      <w:r>
        <w:rPr>
          <w:rFonts w:ascii="Calibri" w:cs="Calibri" w:eastAsia="Calibri" w:hAnsi="Calibri"/>
          <w:color w:val="1A1A1A"/>
          <w:sz w:val="22"/>
          <w:szCs w:val="22"/>
        </w:rPr>
        <w:t xml:space="preserve">Manchester spoke. SaaS carbon tracker licensing begins. 10+ staff. £152,000 revenue.</w:t>
      </w:r>
    </w:p>
    <w:p>
      <w:r>
        <w:br w:type="page"/>
      </w:r>
    </w:p>
    <w:p>
      <w:pPr>
        <w:pStyle w:val="Heading1"/>
        <w:spacing w:after="180" w:before="360"/>
      </w:pPr>
      <w:r>
        <w:rPr>
          <w:rFonts w:ascii="Calibri" w:cs="Calibri" w:eastAsia="Calibri" w:hAnsi="Calibri"/>
          <w:b/>
          <w:bCs/>
          <w:color w:val="1A5C38"/>
          <w:sz w:val="32"/>
          <w:szCs w:val="32"/>
        </w:rPr>
        <w:t xml:space="preserve">10. Funding Strategy</w:t>
      </w:r>
    </w:p>
    <w:p>
      <w:pPr>
        <w:spacing w:after="80" w:before="80"/>
        <w:jc w:val="both"/>
      </w:pPr>
      <w:r>
        <w:rPr>
          <w:rFonts w:ascii="Calibri" w:cs="Calibri" w:eastAsia="Calibri" w:hAnsi="Calibri"/>
          <w:color w:val="1A1A1A"/>
          <w:sz w:val="22"/>
          <w:szCs w:val="22"/>
        </w:rPr>
        <w:t xml:space="preserve">Bootstrapped to date. No external funding raised.</w:t>
      </w:r>
    </w:p>
    <w:p>
      <w:pPr>
        <w:pStyle w:val="Heading2"/>
        <w:spacing w:after="120" w:before="240"/>
      </w:pPr>
      <w:r>
        <w:rPr>
          <w:rFonts w:ascii="Calibri" w:cs="Calibri" w:eastAsia="Calibri" w:hAnsi="Calibri"/>
          <w:b/>
          <w:bCs/>
          <w:color w:val="1A5C38"/>
          <w:sz w:val="24"/>
          <w:szCs w:val="24"/>
        </w:rPr>
        <w:t xml:space="preserve">Grant Pipeline — Targeting £125,000+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526"/>
      </w:tblGrid>
      <w:tr>
        <w:tc>
          <w:tcPr>
            <w:tcW w:type="dxa" w:w="3500"/>
            <w:tcBorders>
              <w:top w:val="single" w:color="B0B0B0" w:sz="1"/>
              <w:left w:val="single" w:color="B0B0B0" w:sz="1"/>
              <w:bottom w:val="single" w:color="B0B0B0" w:sz="1"/>
              <w:right w:val="single" w:color="B0B0B0" w:sz="1"/>
            </w:tcBorders>
            <w:shd w:fill="1A5C38" w:val="clear"/>
            <w:tcMar>
              <w:top w:type="dxa" w:w="60"/>
              <w:left w:type="dxa" w:w="100"/>
              <w:bottom w:type="dxa" w:w="60"/>
              <w:right w:type="dxa" w:w="100"/>
            </w:tcMar>
            <w:vAlign w:val="center"/>
          </w:tcPr>
          <w:p>
            <w:pPr>
              <w:spacing w:after="0" w:before="0"/>
            </w:pPr>
            <w:r>
              <w:rPr>
                <w:rFonts w:ascii="Calibri" w:cs="Calibri" w:eastAsia="Calibri" w:hAnsi="Calibri"/>
                <w:b/>
                <w:bCs/>
                <w:color w:val="FFFFFF"/>
                <w:sz w:val="20"/>
                <w:szCs w:val="20"/>
              </w:rPr>
              <w:t xml:space="preserve">Grant Programme</w:t>
            </w:r>
          </w:p>
        </w:tc>
        <w:tc>
          <w:tcPr>
            <w:tcW w:type="dxa" w:w="2000"/>
            <w:tcBorders>
              <w:top w:val="single" w:color="B0B0B0" w:sz="1"/>
              <w:left w:val="single" w:color="B0B0B0" w:sz="1"/>
              <w:bottom w:val="single" w:color="B0B0B0" w:sz="1"/>
              <w:right w:val="single" w:color="B0B0B0" w:sz="1"/>
            </w:tcBorders>
            <w:shd w:fill="1A5C38" w:val="clear"/>
            <w:tcMar>
              <w:top w:type="dxa" w:w="60"/>
              <w:left w:type="dxa" w:w="100"/>
              <w:bottom w:type="dxa" w:w="60"/>
              <w:right w:type="dxa" w:w="100"/>
            </w:tcMar>
            <w:vAlign w:val="center"/>
          </w:tcPr>
          <w:p>
            <w:pPr>
              <w:spacing w:after="0" w:before="0"/>
            </w:pPr>
            <w:r>
              <w:rPr>
                <w:rFonts w:ascii="Calibri" w:cs="Calibri" w:eastAsia="Calibri" w:hAnsi="Calibri"/>
                <w:b/>
                <w:bCs/>
                <w:color w:val="FFFFFF"/>
                <w:sz w:val="20"/>
                <w:szCs w:val="20"/>
              </w:rPr>
              <w:t xml:space="preserve">Target Amount</w:t>
            </w:r>
          </w:p>
        </w:tc>
        <w:tc>
          <w:tcPr>
            <w:tcW w:type="dxa" w:w="3526"/>
            <w:tcBorders>
              <w:top w:val="single" w:color="B0B0B0" w:sz="1"/>
              <w:left w:val="single" w:color="B0B0B0" w:sz="1"/>
              <w:bottom w:val="single" w:color="B0B0B0" w:sz="1"/>
              <w:right w:val="single" w:color="B0B0B0" w:sz="1"/>
            </w:tcBorders>
            <w:shd w:fill="1A5C38" w:val="clear"/>
            <w:tcMar>
              <w:top w:type="dxa" w:w="60"/>
              <w:left w:type="dxa" w:w="100"/>
              <w:bottom w:type="dxa" w:w="60"/>
              <w:right w:type="dxa" w:w="100"/>
            </w:tcMar>
            <w:vAlign w:val="center"/>
          </w:tcPr>
          <w:p>
            <w:pPr>
              <w:spacing w:after="0" w:before="0"/>
            </w:pPr>
            <w:r>
              <w:rPr>
                <w:rFonts w:ascii="Calibri" w:cs="Calibri" w:eastAsia="Calibri" w:hAnsi="Calibri"/>
                <w:b/>
                <w:bCs/>
                <w:color w:val="FFFFFF"/>
                <w:sz w:val="20"/>
                <w:szCs w:val="20"/>
              </w:rPr>
              <w:t xml:space="preserve">Focus Area</w:t>
            </w:r>
          </w:p>
        </w:tc>
      </w:tr>
      <w:tr>
        <w:tc>
          <w:tcPr>
            <w:tcW w:type="dxa" w:w="35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before="0"/>
            </w:pPr>
            <w:r>
              <w:rPr>
                <w:rFonts w:ascii="Calibri" w:cs="Calibri" w:eastAsia="Calibri" w:hAnsi="Calibri"/>
                <w:b w:val="false"/>
                <w:bCs w:val="false"/>
                <w:color w:val="1A1A1A"/>
                <w:sz w:val="20"/>
                <w:szCs w:val="20"/>
              </w:rPr>
              <w:t xml:space="preserve">Innovate UK</w:t>
            </w:r>
          </w:p>
        </w:tc>
        <w:tc>
          <w:tcPr>
            <w:tcW w:type="dxa" w:w="20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before="0"/>
            </w:pPr>
            <w:r>
              <w:rPr>
                <w:rFonts w:ascii="Calibri" w:cs="Calibri" w:eastAsia="Calibri" w:hAnsi="Calibri"/>
                <w:b w:val="false"/>
                <w:bCs w:val="false"/>
                <w:color w:val="1A1A1A"/>
                <w:sz w:val="20"/>
                <w:szCs w:val="20"/>
              </w:rPr>
              <w:t xml:space="preserve">£20,000</w:t>
            </w:r>
          </w:p>
        </w:tc>
        <w:tc>
          <w:tcPr>
            <w:tcW w:type="dxa" w:w="3526"/>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before="0"/>
            </w:pPr>
            <w:r>
              <w:rPr>
                <w:rFonts w:ascii="Calibri" w:cs="Calibri" w:eastAsia="Calibri" w:hAnsi="Calibri"/>
                <w:b w:val="false"/>
                <w:bCs w:val="false"/>
                <w:color w:val="1A1A1A"/>
                <w:sz w:val="20"/>
                <w:szCs w:val="20"/>
              </w:rPr>
              <w:t xml:space="preserve">AI innovation — carbon tracker</w:t>
            </w:r>
          </w:p>
        </w:tc>
      </w:tr>
      <w:tr>
        <w:tc>
          <w:tcPr>
            <w:tcW w:type="dxa" w:w="3500"/>
            <w:tcBorders>
              <w:top w:val="single" w:color="B0B0B0" w:sz="1"/>
              <w:left w:val="single" w:color="B0B0B0" w:sz="1"/>
              <w:bottom w:val="single" w:color="B0B0B0" w:sz="1"/>
              <w:right w:val="single" w:color="B0B0B0" w:sz="1"/>
            </w:tcBorders>
            <w:shd w:fill="F5F5F5" w:val="clear"/>
            <w:tcMar>
              <w:top w:type="dxa" w:w="50"/>
              <w:left w:type="dxa" w:w="100"/>
              <w:bottom w:type="dxa" w:w="50"/>
              <w:right w:type="dxa" w:w="100"/>
            </w:tcMar>
            <w:vAlign w:val="center"/>
          </w:tcPr>
          <w:p>
            <w:pPr>
              <w:spacing w:after="0" w:before="0"/>
            </w:pPr>
            <w:r>
              <w:rPr>
                <w:rFonts w:ascii="Calibri" w:cs="Calibri" w:eastAsia="Calibri" w:hAnsi="Calibri"/>
                <w:b w:val="false"/>
                <w:bCs w:val="false"/>
                <w:color w:val="1A1A1A"/>
                <w:sz w:val="20"/>
                <w:szCs w:val="20"/>
              </w:rPr>
              <w:t xml:space="preserve">UKSPF (UK Shared Prosperity Fund)</w:t>
            </w:r>
          </w:p>
        </w:tc>
        <w:tc>
          <w:tcPr>
            <w:tcW w:type="dxa" w:w="2000"/>
            <w:tcBorders>
              <w:top w:val="single" w:color="B0B0B0" w:sz="1"/>
              <w:left w:val="single" w:color="B0B0B0" w:sz="1"/>
              <w:bottom w:val="single" w:color="B0B0B0" w:sz="1"/>
              <w:right w:val="single" w:color="B0B0B0" w:sz="1"/>
            </w:tcBorders>
            <w:shd w:fill="F5F5F5" w:val="clear"/>
            <w:tcMar>
              <w:top w:type="dxa" w:w="50"/>
              <w:left w:type="dxa" w:w="100"/>
              <w:bottom w:type="dxa" w:w="50"/>
              <w:right w:type="dxa" w:w="100"/>
            </w:tcMar>
            <w:vAlign w:val="center"/>
          </w:tcPr>
          <w:p>
            <w:pPr>
              <w:spacing w:after="0" w:before="0"/>
            </w:pPr>
            <w:r>
              <w:rPr>
                <w:rFonts w:ascii="Calibri" w:cs="Calibri" w:eastAsia="Calibri" w:hAnsi="Calibri"/>
                <w:b w:val="false"/>
                <w:bCs w:val="false"/>
                <w:color w:val="1A1A1A"/>
                <w:sz w:val="20"/>
                <w:szCs w:val="20"/>
              </w:rPr>
              <w:t xml:space="preserve">£10,000</w:t>
            </w:r>
          </w:p>
        </w:tc>
        <w:tc>
          <w:tcPr>
            <w:tcW w:type="dxa" w:w="3526"/>
            <w:tcBorders>
              <w:top w:val="single" w:color="B0B0B0" w:sz="1"/>
              <w:left w:val="single" w:color="B0B0B0" w:sz="1"/>
              <w:bottom w:val="single" w:color="B0B0B0" w:sz="1"/>
              <w:right w:val="single" w:color="B0B0B0" w:sz="1"/>
            </w:tcBorders>
            <w:shd w:fill="F5F5F5" w:val="clear"/>
            <w:tcMar>
              <w:top w:type="dxa" w:w="50"/>
              <w:left w:type="dxa" w:w="100"/>
              <w:bottom w:type="dxa" w:w="50"/>
              <w:right w:type="dxa" w:w="100"/>
            </w:tcMar>
            <w:vAlign w:val="center"/>
          </w:tcPr>
          <w:p>
            <w:pPr>
              <w:spacing w:after="0" w:before="0"/>
            </w:pPr>
            <w:r>
              <w:rPr>
                <w:rFonts w:ascii="Calibri" w:cs="Calibri" w:eastAsia="Calibri" w:hAnsi="Calibri"/>
                <w:b w:val="false"/>
                <w:bCs w:val="false"/>
                <w:color w:val="1A1A1A"/>
                <w:sz w:val="20"/>
                <w:szCs w:val="20"/>
              </w:rPr>
              <w:t xml:space="preserve">Community sustainability</w:t>
            </w:r>
          </w:p>
        </w:tc>
      </w:tr>
      <w:tr>
        <w:tc>
          <w:tcPr>
            <w:tcW w:type="dxa" w:w="35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before="0"/>
            </w:pPr>
            <w:r>
              <w:rPr>
                <w:rFonts w:ascii="Calibri" w:cs="Calibri" w:eastAsia="Calibri" w:hAnsi="Calibri"/>
                <w:b w:val="false"/>
                <w:bCs w:val="false"/>
                <w:color w:val="1A1A1A"/>
                <w:sz w:val="20"/>
                <w:szCs w:val="20"/>
              </w:rPr>
              <w:t xml:space="preserve">WECA Green Economy Fund</w:t>
            </w:r>
          </w:p>
        </w:tc>
        <w:tc>
          <w:tcPr>
            <w:tcW w:type="dxa" w:w="20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before="0"/>
            </w:pPr>
            <w:r>
              <w:rPr>
                <w:rFonts w:ascii="Calibri" w:cs="Calibri" w:eastAsia="Calibri" w:hAnsi="Calibri"/>
                <w:b w:val="false"/>
                <w:bCs w:val="false"/>
                <w:color w:val="1A1A1A"/>
                <w:sz w:val="20"/>
                <w:szCs w:val="20"/>
              </w:rPr>
              <w:t xml:space="preserve">£8,000</w:t>
            </w:r>
          </w:p>
        </w:tc>
        <w:tc>
          <w:tcPr>
            <w:tcW w:type="dxa" w:w="3526"/>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before="0"/>
            </w:pPr>
            <w:r>
              <w:rPr>
                <w:rFonts w:ascii="Calibri" w:cs="Calibri" w:eastAsia="Calibri" w:hAnsi="Calibri"/>
                <w:b w:val="false"/>
                <w:bCs w:val="false"/>
                <w:color w:val="1A1A1A"/>
                <w:sz w:val="20"/>
                <w:szCs w:val="20"/>
              </w:rPr>
              <w:t xml:space="preserve">Bristol green SME</w:t>
            </w:r>
          </w:p>
        </w:tc>
      </w:tr>
      <w:tr>
        <w:tc>
          <w:tcPr>
            <w:tcW w:type="dxa" w:w="3500"/>
            <w:tcBorders>
              <w:top w:val="single" w:color="B0B0B0" w:sz="1"/>
              <w:left w:val="single" w:color="B0B0B0" w:sz="1"/>
              <w:bottom w:val="single" w:color="B0B0B0" w:sz="1"/>
              <w:right w:val="single" w:color="B0B0B0" w:sz="1"/>
            </w:tcBorders>
            <w:shd w:fill="F5F5F5" w:val="clear"/>
            <w:tcMar>
              <w:top w:type="dxa" w:w="50"/>
              <w:left w:type="dxa" w:w="100"/>
              <w:bottom w:type="dxa" w:w="50"/>
              <w:right w:type="dxa" w:w="100"/>
            </w:tcMar>
            <w:vAlign w:val="center"/>
          </w:tcPr>
          <w:p>
            <w:pPr>
              <w:spacing w:after="0" w:before="0"/>
            </w:pPr>
            <w:r>
              <w:rPr>
                <w:rFonts w:ascii="Calibri" w:cs="Calibri" w:eastAsia="Calibri" w:hAnsi="Calibri"/>
                <w:b w:val="false"/>
                <w:bCs w:val="false"/>
                <w:color w:val="1A1A1A"/>
                <w:sz w:val="20"/>
                <w:szCs w:val="20"/>
              </w:rPr>
              <w:t xml:space="preserve">National Lottery Community Fund</w:t>
            </w:r>
          </w:p>
        </w:tc>
        <w:tc>
          <w:tcPr>
            <w:tcW w:type="dxa" w:w="2000"/>
            <w:tcBorders>
              <w:top w:val="single" w:color="B0B0B0" w:sz="1"/>
              <w:left w:val="single" w:color="B0B0B0" w:sz="1"/>
              <w:bottom w:val="single" w:color="B0B0B0" w:sz="1"/>
              <w:right w:val="single" w:color="B0B0B0" w:sz="1"/>
            </w:tcBorders>
            <w:shd w:fill="F5F5F5" w:val="clear"/>
            <w:tcMar>
              <w:top w:type="dxa" w:w="50"/>
              <w:left w:type="dxa" w:w="100"/>
              <w:bottom w:type="dxa" w:w="50"/>
              <w:right w:type="dxa" w:w="100"/>
            </w:tcMar>
            <w:vAlign w:val="center"/>
          </w:tcPr>
          <w:p>
            <w:pPr>
              <w:spacing w:after="0" w:before="0"/>
            </w:pPr>
            <w:r>
              <w:rPr>
                <w:rFonts w:ascii="Calibri" w:cs="Calibri" w:eastAsia="Calibri" w:hAnsi="Calibri"/>
                <w:b w:val="false"/>
                <w:bCs w:val="false"/>
                <w:color w:val="1A1A1A"/>
                <w:sz w:val="20"/>
                <w:szCs w:val="20"/>
              </w:rPr>
              <w:t xml:space="preserve">£7,500</w:t>
            </w:r>
          </w:p>
        </w:tc>
        <w:tc>
          <w:tcPr>
            <w:tcW w:type="dxa" w:w="3526"/>
            <w:tcBorders>
              <w:top w:val="single" w:color="B0B0B0" w:sz="1"/>
              <w:left w:val="single" w:color="B0B0B0" w:sz="1"/>
              <w:bottom w:val="single" w:color="B0B0B0" w:sz="1"/>
              <w:right w:val="single" w:color="B0B0B0" w:sz="1"/>
            </w:tcBorders>
            <w:shd w:fill="F5F5F5" w:val="clear"/>
            <w:tcMar>
              <w:top w:type="dxa" w:w="50"/>
              <w:left w:type="dxa" w:w="100"/>
              <w:bottom w:type="dxa" w:w="50"/>
              <w:right w:type="dxa" w:w="100"/>
            </w:tcMar>
            <w:vAlign w:val="center"/>
          </w:tcPr>
          <w:p>
            <w:pPr>
              <w:spacing w:after="0" w:before="0"/>
            </w:pPr>
            <w:r>
              <w:rPr>
                <w:rFonts w:ascii="Calibri" w:cs="Calibri" w:eastAsia="Calibri" w:hAnsi="Calibri"/>
                <w:b w:val="false"/>
                <w:bCs w:val="false"/>
                <w:color w:val="1A1A1A"/>
                <w:sz w:val="20"/>
                <w:szCs w:val="20"/>
              </w:rPr>
              <w:t xml:space="preserve">Social impact</w:t>
            </w:r>
          </w:p>
        </w:tc>
      </w:tr>
    </w:tbl>
    <w:p>
      <w:pPr>
        <w:spacing w:after="0" w:before="120"/>
      </w:pPr>
    </w:p>
    <w:p>
      <w:pPr>
        <w:spacing w:after="80" w:before="80"/>
        <w:jc w:val="both"/>
      </w:pPr>
      <w:r>
        <w:rPr>
          <w:rFonts w:ascii="Calibri" w:cs="Calibri" w:eastAsia="Calibri" w:hAnsi="Calibri"/>
          <w:color w:val="1A1A1A"/>
          <w:sz w:val="22"/>
          <w:szCs w:val="22"/>
        </w:rPr>
        <w:t xml:space="preserve">Applications staggered Q2–Q3 2026, following completion of the pilot programme which will provide demand evidence to strengthen all applications.</w:t>
      </w:r>
    </w:p>
    <w:p>
      <w:r>
        <w:br w:type="page"/>
      </w:r>
    </w:p>
    <w:p>
      <w:pPr>
        <w:pStyle w:val="Heading1"/>
        <w:spacing w:after="180" w:before="360"/>
      </w:pPr>
      <w:r>
        <w:rPr>
          <w:rFonts w:ascii="Calibri" w:cs="Calibri" w:eastAsia="Calibri" w:hAnsi="Calibri"/>
          <w:b/>
          <w:bCs/>
          <w:color w:val="1A5C38"/>
          <w:sz w:val="32"/>
          <w:szCs w:val="32"/>
        </w:rPr>
        <w:t xml:space="preserve">11. SDG Alignment</w:t>
      </w:r>
    </w:p>
    <w:p>
      <w:pPr>
        <w:spacing w:after="80" w:before="80"/>
        <w:jc w:val="both"/>
      </w:pPr>
      <w:r>
        <w:rPr>
          <w:rFonts w:ascii="Calibri" w:cs="Calibri" w:eastAsia="Calibri" w:hAnsi="Calibri"/>
          <w:color w:val="1A1A1A"/>
          <w:sz w:val="22"/>
          <w:szCs w:val="22"/>
        </w:rPr>
        <w:t xml:space="preserve">Green Africa Hub's work aligns with eight United Nations Sustainable Development Goals:</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B0B0B0" w:sz="1"/>
              <w:left w:val="single" w:color="B0B0B0" w:sz="1"/>
              <w:bottom w:val="single" w:color="B0B0B0" w:sz="1"/>
              <w:right w:val="single" w:color="B0B0B0" w:sz="1"/>
            </w:tcBorders>
            <w:shd w:fill="1A5C38" w:val="clear"/>
            <w:tcMar>
              <w:top w:type="dxa" w:w="60"/>
              <w:left w:type="dxa" w:w="100"/>
              <w:bottom w:type="dxa" w:w="60"/>
              <w:right w:type="dxa" w:w="100"/>
            </w:tcMar>
            <w:vAlign w:val="center"/>
          </w:tcPr>
          <w:p>
            <w:pPr>
              <w:spacing w:after="0" w:before="0"/>
            </w:pPr>
            <w:r>
              <w:rPr>
                <w:rFonts w:ascii="Calibri" w:cs="Calibri" w:eastAsia="Calibri" w:hAnsi="Calibri"/>
                <w:b/>
                <w:bCs/>
                <w:color w:val="FFFFFF"/>
                <w:sz w:val="20"/>
                <w:szCs w:val="20"/>
              </w:rPr>
              <w:t xml:space="preserve">SDG</w:t>
            </w:r>
          </w:p>
        </w:tc>
        <w:tc>
          <w:tcPr>
            <w:tcW w:type="dxa" w:w="7026"/>
            <w:tcBorders>
              <w:top w:val="single" w:color="B0B0B0" w:sz="1"/>
              <w:left w:val="single" w:color="B0B0B0" w:sz="1"/>
              <w:bottom w:val="single" w:color="B0B0B0" w:sz="1"/>
              <w:right w:val="single" w:color="B0B0B0" w:sz="1"/>
            </w:tcBorders>
            <w:shd w:fill="1A5C38" w:val="clear"/>
            <w:tcMar>
              <w:top w:type="dxa" w:w="60"/>
              <w:left w:type="dxa" w:w="100"/>
              <w:bottom w:type="dxa" w:w="60"/>
              <w:right w:type="dxa" w:w="100"/>
            </w:tcMar>
            <w:vAlign w:val="center"/>
          </w:tcPr>
          <w:p>
            <w:pPr>
              <w:spacing w:after="0" w:before="0"/>
            </w:pPr>
            <w:r>
              <w:rPr>
                <w:rFonts w:ascii="Calibri" w:cs="Calibri" w:eastAsia="Calibri" w:hAnsi="Calibri"/>
                <w:b/>
                <w:bCs/>
                <w:color w:val="FFFFFF"/>
                <w:sz w:val="20"/>
                <w:szCs w:val="20"/>
              </w:rPr>
              <w:t xml:space="preserve">Alignment</w:t>
            </w:r>
          </w:p>
        </w:tc>
      </w:tr>
      <w:tr>
        <w:tc>
          <w:tcPr>
            <w:tcW w:type="dxa" w:w="20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before="0"/>
            </w:pPr>
            <w:r>
              <w:rPr>
                <w:rFonts w:ascii="Calibri" w:cs="Calibri" w:eastAsia="Calibri" w:hAnsi="Calibri"/>
                <w:b/>
                <w:bCs/>
                <w:color w:val="1A5C38"/>
                <w:sz w:val="20"/>
                <w:szCs w:val="20"/>
              </w:rPr>
              <w:t xml:space="preserve">SDG 1</w:t>
            </w:r>
          </w:p>
        </w:tc>
        <w:tc>
          <w:tcPr>
            <w:tcW w:type="dxa" w:w="7026"/>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before="0"/>
            </w:pPr>
            <w:r>
              <w:rPr>
                <w:rFonts w:ascii="Calibri" w:cs="Calibri" w:eastAsia="Calibri" w:hAnsi="Calibri"/>
                <w:b w:val="false"/>
                <w:bCs w:val="false"/>
                <w:color w:val="1A1A1A"/>
                <w:sz w:val="20"/>
                <w:szCs w:val="20"/>
              </w:rPr>
              <w:t xml:space="preserve">No Poverty — Reducing fuel poverty in African/Caribbean households</w:t>
            </w:r>
          </w:p>
        </w:tc>
      </w:tr>
      <w:tr>
        <w:tc>
          <w:tcPr>
            <w:tcW w:type="dxa" w:w="2000"/>
            <w:tcBorders>
              <w:top w:val="single" w:color="B0B0B0" w:sz="1"/>
              <w:left w:val="single" w:color="B0B0B0" w:sz="1"/>
              <w:bottom w:val="single" w:color="B0B0B0" w:sz="1"/>
              <w:right w:val="single" w:color="B0B0B0" w:sz="1"/>
            </w:tcBorders>
            <w:shd w:fill="F5F5F5" w:val="clear"/>
            <w:tcMar>
              <w:top w:type="dxa" w:w="50"/>
              <w:left w:type="dxa" w:w="100"/>
              <w:bottom w:type="dxa" w:w="50"/>
              <w:right w:type="dxa" w:w="100"/>
            </w:tcMar>
            <w:vAlign w:val="center"/>
          </w:tcPr>
          <w:p>
            <w:pPr>
              <w:spacing w:after="0" w:before="0"/>
            </w:pPr>
            <w:r>
              <w:rPr>
                <w:rFonts w:ascii="Calibri" w:cs="Calibri" w:eastAsia="Calibri" w:hAnsi="Calibri"/>
                <w:b/>
                <w:bCs/>
                <w:color w:val="1A5C38"/>
                <w:sz w:val="20"/>
                <w:szCs w:val="20"/>
              </w:rPr>
              <w:t xml:space="preserve">SDG 2</w:t>
            </w:r>
          </w:p>
        </w:tc>
        <w:tc>
          <w:tcPr>
            <w:tcW w:type="dxa" w:w="7026"/>
            <w:tcBorders>
              <w:top w:val="single" w:color="B0B0B0" w:sz="1"/>
              <w:left w:val="single" w:color="B0B0B0" w:sz="1"/>
              <w:bottom w:val="single" w:color="B0B0B0" w:sz="1"/>
              <w:right w:val="single" w:color="B0B0B0" w:sz="1"/>
            </w:tcBorders>
            <w:shd w:fill="F5F5F5" w:val="clear"/>
            <w:tcMar>
              <w:top w:type="dxa" w:w="50"/>
              <w:left w:type="dxa" w:w="100"/>
              <w:bottom w:type="dxa" w:w="50"/>
              <w:right w:type="dxa" w:w="100"/>
            </w:tcMar>
            <w:vAlign w:val="center"/>
          </w:tcPr>
          <w:p>
            <w:pPr>
              <w:spacing w:after="0" w:before="0"/>
            </w:pPr>
            <w:r>
              <w:rPr>
                <w:rFonts w:ascii="Calibri" w:cs="Calibri" w:eastAsia="Calibri" w:hAnsi="Calibri"/>
                <w:b w:val="false"/>
                <w:bCs w:val="false"/>
                <w:color w:val="1A1A1A"/>
                <w:sz w:val="20"/>
                <w:szCs w:val="20"/>
              </w:rPr>
              <w:t xml:space="preserve">Zero Hunger — Sustainable food systems and cultural food security</w:t>
            </w:r>
          </w:p>
        </w:tc>
      </w:tr>
      <w:tr>
        <w:tc>
          <w:tcPr>
            <w:tcW w:type="dxa" w:w="20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before="0"/>
            </w:pPr>
            <w:r>
              <w:rPr>
                <w:rFonts w:ascii="Calibri" w:cs="Calibri" w:eastAsia="Calibri" w:hAnsi="Calibri"/>
                <w:b/>
                <w:bCs/>
                <w:color w:val="1A5C38"/>
                <w:sz w:val="20"/>
                <w:szCs w:val="20"/>
              </w:rPr>
              <w:t xml:space="preserve">SDG 7</w:t>
            </w:r>
          </w:p>
        </w:tc>
        <w:tc>
          <w:tcPr>
            <w:tcW w:type="dxa" w:w="7026"/>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before="0"/>
            </w:pPr>
            <w:r>
              <w:rPr>
                <w:rFonts w:ascii="Calibri" w:cs="Calibri" w:eastAsia="Calibri" w:hAnsi="Calibri"/>
                <w:b w:val="false"/>
                <w:bCs w:val="false"/>
                <w:color w:val="1A1A1A"/>
                <w:sz w:val="20"/>
                <w:szCs w:val="20"/>
              </w:rPr>
              <w:t xml:space="preserve">Affordable Clean Energy — Transition from gas to induction cooking</w:t>
            </w:r>
          </w:p>
        </w:tc>
      </w:tr>
      <w:tr>
        <w:tc>
          <w:tcPr>
            <w:tcW w:type="dxa" w:w="2000"/>
            <w:tcBorders>
              <w:top w:val="single" w:color="B0B0B0" w:sz="1"/>
              <w:left w:val="single" w:color="B0B0B0" w:sz="1"/>
              <w:bottom w:val="single" w:color="B0B0B0" w:sz="1"/>
              <w:right w:val="single" w:color="B0B0B0" w:sz="1"/>
            </w:tcBorders>
            <w:shd w:fill="F5F5F5" w:val="clear"/>
            <w:tcMar>
              <w:top w:type="dxa" w:w="50"/>
              <w:left w:type="dxa" w:w="100"/>
              <w:bottom w:type="dxa" w:w="50"/>
              <w:right w:type="dxa" w:w="100"/>
            </w:tcMar>
            <w:vAlign w:val="center"/>
          </w:tcPr>
          <w:p>
            <w:pPr>
              <w:spacing w:after="0" w:before="0"/>
            </w:pPr>
            <w:r>
              <w:rPr>
                <w:rFonts w:ascii="Calibri" w:cs="Calibri" w:eastAsia="Calibri" w:hAnsi="Calibri"/>
                <w:b/>
                <w:bCs/>
                <w:color w:val="1A5C38"/>
                <w:sz w:val="20"/>
                <w:szCs w:val="20"/>
              </w:rPr>
              <w:t xml:space="preserve">SDG 8</w:t>
            </w:r>
          </w:p>
        </w:tc>
        <w:tc>
          <w:tcPr>
            <w:tcW w:type="dxa" w:w="7026"/>
            <w:tcBorders>
              <w:top w:val="single" w:color="B0B0B0" w:sz="1"/>
              <w:left w:val="single" w:color="B0B0B0" w:sz="1"/>
              <w:bottom w:val="single" w:color="B0B0B0" w:sz="1"/>
              <w:right w:val="single" w:color="B0B0B0" w:sz="1"/>
            </w:tcBorders>
            <w:shd w:fill="F5F5F5" w:val="clear"/>
            <w:tcMar>
              <w:top w:type="dxa" w:w="50"/>
              <w:left w:type="dxa" w:w="100"/>
              <w:bottom w:type="dxa" w:w="50"/>
              <w:right w:type="dxa" w:w="100"/>
            </w:tcMar>
            <w:vAlign w:val="center"/>
          </w:tcPr>
          <w:p>
            <w:pPr>
              <w:spacing w:after="0" w:before="0"/>
            </w:pPr>
            <w:r>
              <w:rPr>
                <w:rFonts w:ascii="Calibri" w:cs="Calibri" w:eastAsia="Calibri" w:hAnsi="Calibri"/>
                <w:b w:val="false"/>
                <w:bCs w:val="false"/>
                <w:color w:val="1A1A1A"/>
                <w:sz w:val="20"/>
                <w:szCs w:val="20"/>
              </w:rPr>
              <w:t xml:space="preserve">Decent Work — Creating skilled green economy jobs</w:t>
            </w:r>
          </w:p>
        </w:tc>
      </w:tr>
      <w:tr>
        <w:tc>
          <w:tcPr>
            <w:tcW w:type="dxa" w:w="20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before="0"/>
            </w:pPr>
            <w:r>
              <w:rPr>
                <w:rFonts w:ascii="Calibri" w:cs="Calibri" w:eastAsia="Calibri" w:hAnsi="Calibri"/>
                <w:b/>
                <w:bCs/>
                <w:color w:val="1A5C38"/>
                <w:sz w:val="20"/>
                <w:szCs w:val="20"/>
              </w:rPr>
              <w:t xml:space="preserve">SDG 10</w:t>
            </w:r>
          </w:p>
        </w:tc>
        <w:tc>
          <w:tcPr>
            <w:tcW w:type="dxa" w:w="7026"/>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before="0"/>
            </w:pPr>
            <w:r>
              <w:rPr>
                <w:rFonts w:ascii="Calibri" w:cs="Calibri" w:eastAsia="Calibri" w:hAnsi="Calibri"/>
                <w:b w:val="false"/>
                <w:bCs w:val="false"/>
                <w:color w:val="1A1A1A"/>
                <w:sz w:val="20"/>
                <w:szCs w:val="20"/>
              </w:rPr>
              <w:t xml:space="preserve">Reduced Inequalities — Ensuring Black communities lead — not follow — the green transition</w:t>
            </w:r>
          </w:p>
        </w:tc>
      </w:tr>
      <w:tr>
        <w:tc>
          <w:tcPr>
            <w:tcW w:type="dxa" w:w="2000"/>
            <w:tcBorders>
              <w:top w:val="single" w:color="B0B0B0" w:sz="1"/>
              <w:left w:val="single" w:color="B0B0B0" w:sz="1"/>
              <w:bottom w:val="single" w:color="B0B0B0" w:sz="1"/>
              <w:right w:val="single" w:color="B0B0B0" w:sz="1"/>
            </w:tcBorders>
            <w:shd w:fill="F5F5F5" w:val="clear"/>
            <w:tcMar>
              <w:top w:type="dxa" w:w="50"/>
              <w:left w:type="dxa" w:w="100"/>
              <w:bottom w:type="dxa" w:w="50"/>
              <w:right w:type="dxa" w:w="100"/>
            </w:tcMar>
            <w:vAlign w:val="center"/>
          </w:tcPr>
          <w:p>
            <w:pPr>
              <w:spacing w:after="0" w:before="0"/>
            </w:pPr>
            <w:r>
              <w:rPr>
                <w:rFonts w:ascii="Calibri" w:cs="Calibri" w:eastAsia="Calibri" w:hAnsi="Calibri"/>
                <w:b/>
                <w:bCs/>
                <w:color w:val="1A5C38"/>
                <w:sz w:val="20"/>
                <w:szCs w:val="20"/>
              </w:rPr>
              <w:t xml:space="preserve">SDG 12</w:t>
            </w:r>
          </w:p>
        </w:tc>
        <w:tc>
          <w:tcPr>
            <w:tcW w:type="dxa" w:w="7026"/>
            <w:tcBorders>
              <w:top w:val="single" w:color="B0B0B0" w:sz="1"/>
              <w:left w:val="single" w:color="B0B0B0" w:sz="1"/>
              <w:bottom w:val="single" w:color="B0B0B0" w:sz="1"/>
              <w:right w:val="single" w:color="B0B0B0" w:sz="1"/>
            </w:tcBorders>
            <w:shd w:fill="F5F5F5" w:val="clear"/>
            <w:tcMar>
              <w:top w:type="dxa" w:w="50"/>
              <w:left w:type="dxa" w:w="100"/>
              <w:bottom w:type="dxa" w:w="50"/>
              <w:right w:type="dxa" w:w="100"/>
            </w:tcMar>
            <w:vAlign w:val="center"/>
          </w:tcPr>
          <w:p>
            <w:pPr>
              <w:spacing w:after="0" w:before="0"/>
            </w:pPr>
            <w:r>
              <w:rPr>
                <w:rFonts w:ascii="Calibri" w:cs="Calibri" w:eastAsia="Calibri" w:hAnsi="Calibri"/>
                <w:b w:val="false"/>
                <w:bCs w:val="false"/>
                <w:color w:val="1A1A1A"/>
                <w:sz w:val="20"/>
                <w:szCs w:val="20"/>
              </w:rPr>
              <w:t xml:space="preserve">Responsible Consumption — Carbon tracking and sustainable sourcing</w:t>
            </w:r>
          </w:p>
        </w:tc>
      </w:tr>
      <w:tr>
        <w:tc>
          <w:tcPr>
            <w:tcW w:type="dxa" w:w="20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before="0"/>
            </w:pPr>
            <w:r>
              <w:rPr>
                <w:rFonts w:ascii="Calibri" w:cs="Calibri" w:eastAsia="Calibri" w:hAnsi="Calibri"/>
                <w:b/>
                <w:bCs/>
                <w:color w:val="1A5C38"/>
                <w:sz w:val="20"/>
                <w:szCs w:val="20"/>
              </w:rPr>
              <w:t xml:space="preserve">SDG 13</w:t>
            </w:r>
          </w:p>
        </w:tc>
        <w:tc>
          <w:tcPr>
            <w:tcW w:type="dxa" w:w="7026"/>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before="0"/>
            </w:pPr>
            <w:r>
              <w:rPr>
                <w:rFonts w:ascii="Calibri" w:cs="Calibri" w:eastAsia="Calibri" w:hAnsi="Calibri"/>
                <w:b w:val="false"/>
                <w:bCs w:val="false"/>
                <w:color w:val="1A1A1A"/>
                <w:sz w:val="20"/>
                <w:szCs w:val="20"/>
              </w:rPr>
              <w:t xml:space="preserve">Climate Action — Measurable community-level carbon reduction</w:t>
            </w:r>
          </w:p>
        </w:tc>
      </w:tr>
      <w:tr>
        <w:tc>
          <w:tcPr>
            <w:tcW w:type="dxa" w:w="2000"/>
            <w:tcBorders>
              <w:top w:val="single" w:color="B0B0B0" w:sz="1"/>
              <w:left w:val="single" w:color="B0B0B0" w:sz="1"/>
              <w:bottom w:val="single" w:color="B0B0B0" w:sz="1"/>
              <w:right w:val="single" w:color="B0B0B0" w:sz="1"/>
            </w:tcBorders>
            <w:shd w:fill="F5F5F5" w:val="clear"/>
            <w:tcMar>
              <w:top w:type="dxa" w:w="50"/>
              <w:left w:type="dxa" w:w="100"/>
              <w:bottom w:type="dxa" w:w="50"/>
              <w:right w:type="dxa" w:w="100"/>
            </w:tcMar>
            <w:vAlign w:val="center"/>
          </w:tcPr>
          <w:p>
            <w:pPr>
              <w:spacing w:after="0" w:before="0"/>
            </w:pPr>
            <w:r>
              <w:rPr>
                <w:rFonts w:ascii="Calibri" w:cs="Calibri" w:eastAsia="Calibri" w:hAnsi="Calibri"/>
                <w:b/>
                <w:bCs/>
                <w:color w:val="1A5C38"/>
                <w:sz w:val="20"/>
                <w:szCs w:val="20"/>
              </w:rPr>
              <w:t xml:space="preserve">SDG 17</w:t>
            </w:r>
          </w:p>
        </w:tc>
        <w:tc>
          <w:tcPr>
            <w:tcW w:type="dxa" w:w="7026"/>
            <w:tcBorders>
              <w:top w:val="single" w:color="B0B0B0" w:sz="1"/>
              <w:left w:val="single" w:color="B0B0B0" w:sz="1"/>
              <w:bottom w:val="single" w:color="B0B0B0" w:sz="1"/>
              <w:right w:val="single" w:color="B0B0B0" w:sz="1"/>
            </w:tcBorders>
            <w:shd w:fill="F5F5F5" w:val="clear"/>
            <w:tcMar>
              <w:top w:type="dxa" w:w="50"/>
              <w:left w:type="dxa" w:w="100"/>
              <w:bottom w:type="dxa" w:w="50"/>
              <w:right w:type="dxa" w:w="100"/>
            </w:tcMar>
            <w:vAlign w:val="center"/>
          </w:tcPr>
          <w:p>
            <w:pPr>
              <w:spacing w:after="0" w:before="0"/>
            </w:pPr>
            <w:r>
              <w:rPr>
                <w:rFonts w:ascii="Calibri" w:cs="Calibri" w:eastAsia="Calibri" w:hAnsi="Calibri"/>
                <w:b w:val="false"/>
                <w:bCs w:val="false"/>
                <w:color w:val="1A1A1A"/>
                <w:sz w:val="20"/>
                <w:szCs w:val="20"/>
              </w:rPr>
              <w:t xml:space="preserve">Partnerships — Future Leap, WECA, NHS, and local authority collaboration</w:t>
            </w:r>
          </w:p>
        </w:tc>
      </w:tr>
    </w:tbl>
    <w:p>
      <w:r>
        <w:br w:type="page"/>
      </w:r>
    </w:p>
    <w:p>
      <w:pPr>
        <w:pStyle w:val="Heading1"/>
        <w:spacing w:after="180" w:before="360"/>
      </w:pPr>
      <w:r>
        <w:rPr>
          <w:rFonts w:ascii="Calibri" w:cs="Calibri" w:eastAsia="Calibri" w:hAnsi="Calibri"/>
          <w:b/>
          <w:bCs/>
          <w:color w:val="1A5C38"/>
          <w:sz w:val="32"/>
          <w:szCs w:val="32"/>
        </w:rPr>
        <w:t xml:space="preserve">12. Risk Register</w:t>
      </w:r>
    </w:p>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4626"/>
      </w:tblGrid>
      <w:tr>
        <w:tc>
          <w:tcPr>
            <w:tcW w:type="dxa" w:w="2200"/>
            <w:tcBorders>
              <w:top w:val="single" w:color="B0B0B0" w:sz="1"/>
              <w:left w:val="single" w:color="B0B0B0" w:sz="1"/>
              <w:bottom w:val="single" w:color="B0B0B0" w:sz="1"/>
              <w:right w:val="single" w:color="B0B0B0" w:sz="1"/>
            </w:tcBorders>
            <w:shd w:fill="1A5C38" w:val="clear"/>
            <w:tcMar>
              <w:top w:type="dxa" w:w="60"/>
              <w:left w:type="dxa" w:w="100"/>
              <w:bottom w:type="dxa" w:w="60"/>
              <w:right w:type="dxa" w:w="100"/>
            </w:tcMar>
            <w:vAlign w:val="center"/>
          </w:tcPr>
          <w:p>
            <w:pPr>
              <w:spacing w:after="0" w:before="0"/>
            </w:pPr>
            <w:r>
              <w:rPr>
                <w:rFonts w:ascii="Calibri" w:cs="Calibri" w:eastAsia="Calibri" w:hAnsi="Calibri"/>
                <w:b/>
                <w:bCs/>
                <w:color w:val="FFFFFF"/>
                <w:sz w:val="20"/>
                <w:szCs w:val="20"/>
              </w:rPr>
              <w:t xml:space="preserve">Risk</w:t>
            </w:r>
          </w:p>
        </w:tc>
        <w:tc>
          <w:tcPr>
            <w:tcW w:type="dxa" w:w="1100"/>
            <w:tcBorders>
              <w:top w:val="single" w:color="B0B0B0" w:sz="1"/>
              <w:left w:val="single" w:color="B0B0B0" w:sz="1"/>
              <w:bottom w:val="single" w:color="B0B0B0" w:sz="1"/>
              <w:right w:val="single" w:color="B0B0B0" w:sz="1"/>
            </w:tcBorders>
            <w:shd w:fill="1A5C38" w:val="clear"/>
            <w:tcMar>
              <w:top w:type="dxa" w:w="60"/>
              <w:left w:type="dxa" w:w="100"/>
              <w:bottom w:type="dxa" w:w="60"/>
              <w:right w:type="dxa" w:w="100"/>
            </w:tcMar>
            <w:vAlign w:val="center"/>
          </w:tcPr>
          <w:p>
            <w:pPr>
              <w:spacing w:after="0" w:before="0"/>
            </w:pPr>
            <w:r>
              <w:rPr>
                <w:rFonts w:ascii="Calibri" w:cs="Calibri" w:eastAsia="Calibri" w:hAnsi="Calibri"/>
                <w:b/>
                <w:bCs/>
                <w:color w:val="FFFFFF"/>
                <w:sz w:val="20"/>
                <w:szCs w:val="20"/>
              </w:rPr>
              <w:t xml:space="preserve">Likelihood</w:t>
            </w:r>
          </w:p>
        </w:tc>
        <w:tc>
          <w:tcPr>
            <w:tcW w:type="dxa" w:w="1100"/>
            <w:tcBorders>
              <w:top w:val="single" w:color="B0B0B0" w:sz="1"/>
              <w:left w:val="single" w:color="B0B0B0" w:sz="1"/>
              <w:bottom w:val="single" w:color="B0B0B0" w:sz="1"/>
              <w:right w:val="single" w:color="B0B0B0" w:sz="1"/>
            </w:tcBorders>
            <w:shd w:fill="1A5C38" w:val="clear"/>
            <w:tcMar>
              <w:top w:type="dxa" w:w="60"/>
              <w:left w:type="dxa" w:w="100"/>
              <w:bottom w:type="dxa" w:w="60"/>
              <w:right w:type="dxa" w:w="100"/>
            </w:tcMar>
            <w:vAlign w:val="center"/>
          </w:tcPr>
          <w:p>
            <w:pPr>
              <w:spacing w:after="0" w:before="0"/>
            </w:pPr>
            <w:r>
              <w:rPr>
                <w:rFonts w:ascii="Calibri" w:cs="Calibri" w:eastAsia="Calibri" w:hAnsi="Calibri"/>
                <w:b/>
                <w:bCs/>
                <w:color w:val="FFFFFF"/>
                <w:sz w:val="20"/>
                <w:szCs w:val="20"/>
              </w:rPr>
              <w:t xml:space="preserve">Impact</w:t>
            </w:r>
          </w:p>
        </w:tc>
        <w:tc>
          <w:tcPr>
            <w:tcW w:type="dxa" w:w="4626"/>
            <w:tcBorders>
              <w:top w:val="single" w:color="B0B0B0" w:sz="1"/>
              <w:left w:val="single" w:color="B0B0B0" w:sz="1"/>
              <w:bottom w:val="single" w:color="B0B0B0" w:sz="1"/>
              <w:right w:val="single" w:color="B0B0B0" w:sz="1"/>
            </w:tcBorders>
            <w:shd w:fill="1A5C38" w:val="clear"/>
            <w:tcMar>
              <w:top w:type="dxa" w:w="60"/>
              <w:left w:type="dxa" w:w="100"/>
              <w:bottom w:type="dxa" w:w="60"/>
              <w:right w:type="dxa" w:w="100"/>
            </w:tcMar>
            <w:vAlign w:val="center"/>
          </w:tcPr>
          <w:p>
            <w:pPr>
              <w:spacing w:after="0" w:before="0"/>
            </w:pPr>
            <w:r>
              <w:rPr>
                <w:rFonts w:ascii="Calibri" w:cs="Calibri" w:eastAsia="Calibri" w:hAnsi="Calibri"/>
                <w:b/>
                <w:bCs/>
                <w:color w:val="FFFFFF"/>
                <w:sz w:val="20"/>
                <w:szCs w:val="20"/>
              </w:rPr>
              <w:t xml:space="preserve">Mitigation</w:t>
            </w:r>
          </w:p>
        </w:tc>
      </w:tr>
      <w:tr>
        <w:tc>
          <w:tcPr>
            <w:tcW w:type="dxa" w:w="22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before="0"/>
            </w:pPr>
            <w:r>
              <w:rPr>
                <w:rFonts w:ascii="Calibri" w:cs="Calibri" w:eastAsia="Calibri" w:hAnsi="Calibri"/>
                <w:b w:val="false"/>
                <w:bCs w:val="false"/>
                <w:color w:val="1A1A1A"/>
                <w:sz w:val="20"/>
                <w:szCs w:val="20"/>
              </w:rPr>
              <w:t xml:space="preserve">Low pilot attendance</w:t>
            </w:r>
          </w:p>
        </w:tc>
        <w:tc>
          <w:tcPr>
            <w:tcW w:type="dxa" w:w="11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before="0"/>
            </w:pPr>
            <w:r>
              <w:rPr>
                <w:rFonts w:ascii="Calibri" w:cs="Calibri" w:eastAsia="Calibri" w:hAnsi="Calibri"/>
                <w:b w:val="false"/>
                <w:bCs w:val="false"/>
                <w:color w:val="1A1A1A"/>
                <w:sz w:val="20"/>
                <w:szCs w:val="20"/>
              </w:rPr>
              <w:t xml:space="preserve">Medium</w:t>
            </w:r>
          </w:p>
        </w:tc>
        <w:tc>
          <w:tcPr>
            <w:tcW w:type="dxa" w:w="11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before="0"/>
            </w:pPr>
            <w:r>
              <w:rPr>
                <w:rFonts w:ascii="Calibri" w:cs="Calibri" w:eastAsia="Calibri" w:hAnsi="Calibri"/>
                <w:b w:val="false"/>
                <w:bCs w:val="false"/>
                <w:color w:val="1A1A1A"/>
                <w:sz w:val="20"/>
                <w:szCs w:val="20"/>
              </w:rPr>
              <w:t xml:space="preserve">High</w:t>
            </w:r>
          </w:p>
        </w:tc>
        <w:tc>
          <w:tcPr>
            <w:tcW w:type="dxa" w:w="4626"/>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before="0"/>
            </w:pPr>
            <w:r>
              <w:rPr>
                <w:rFonts w:ascii="Calibri" w:cs="Calibri" w:eastAsia="Calibri" w:hAnsi="Calibri"/>
                <w:b w:val="false"/>
                <w:bCs w:val="false"/>
                <w:color w:val="1A1A1A"/>
                <w:sz w:val="20"/>
                <w:szCs w:val="20"/>
              </w:rPr>
              <w:t xml:space="preserve">Target existing Future Leap and community networks; sessions free in pilot phase</w:t>
            </w:r>
          </w:p>
        </w:tc>
      </w:tr>
      <w:tr>
        <w:tc>
          <w:tcPr>
            <w:tcW w:type="dxa" w:w="2200"/>
            <w:tcBorders>
              <w:top w:val="single" w:color="B0B0B0" w:sz="1"/>
              <w:left w:val="single" w:color="B0B0B0" w:sz="1"/>
              <w:bottom w:val="single" w:color="B0B0B0" w:sz="1"/>
              <w:right w:val="single" w:color="B0B0B0" w:sz="1"/>
            </w:tcBorders>
            <w:shd w:fill="F5F5F5" w:val="clear"/>
            <w:tcMar>
              <w:top w:type="dxa" w:w="50"/>
              <w:left w:type="dxa" w:w="100"/>
              <w:bottom w:type="dxa" w:w="50"/>
              <w:right w:type="dxa" w:w="100"/>
            </w:tcMar>
            <w:vAlign w:val="center"/>
          </w:tcPr>
          <w:p>
            <w:pPr>
              <w:spacing w:after="0" w:before="0"/>
            </w:pPr>
            <w:r>
              <w:rPr>
                <w:rFonts w:ascii="Calibri" w:cs="Calibri" w:eastAsia="Calibri" w:hAnsi="Calibri"/>
                <w:b w:val="false"/>
                <w:bCs w:val="false"/>
                <w:color w:val="1A1A1A"/>
                <w:sz w:val="20"/>
                <w:szCs w:val="20"/>
              </w:rPr>
              <w:t xml:space="preserve">Grant applications unsuccessful</w:t>
            </w:r>
          </w:p>
        </w:tc>
        <w:tc>
          <w:tcPr>
            <w:tcW w:type="dxa" w:w="1100"/>
            <w:tcBorders>
              <w:top w:val="single" w:color="B0B0B0" w:sz="1"/>
              <w:left w:val="single" w:color="B0B0B0" w:sz="1"/>
              <w:bottom w:val="single" w:color="B0B0B0" w:sz="1"/>
              <w:right w:val="single" w:color="B0B0B0" w:sz="1"/>
            </w:tcBorders>
            <w:shd w:fill="F5F5F5" w:val="clear"/>
            <w:tcMar>
              <w:top w:type="dxa" w:w="50"/>
              <w:left w:type="dxa" w:w="100"/>
              <w:bottom w:type="dxa" w:w="50"/>
              <w:right w:type="dxa" w:w="100"/>
            </w:tcMar>
            <w:vAlign w:val="center"/>
          </w:tcPr>
          <w:p>
            <w:pPr>
              <w:spacing w:after="0" w:before="0"/>
            </w:pPr>
            <w:r>
              <w:rPr>
                <w:rFonts w:ascii="Calibri" w:cs="Calibri" w:eastAsia="Calibri" w:hAnsi="Calibri"/>
                <w:b w:val="false"/>
                <w:bCs w:val="false"/>
                <w:color w:val="1A1A1A"/>
                <w:sz w:val="20"/>
                <w:szCs w:val="20"/>
              </w:rPr>
              <w:t xml:space="preserve">Medium</w:t>
            </w:r>
          </w:p>
        </w:tc>
        <w:tc>
          <w:tcPr>
            <w:tcW w:type="dxa" w:w="1100"/>
            <w:tcBorders>
              <w:top w:val="single" w:color="B0B0B0" w:sz="1"/>
              <w:left w:val="single" w:color="B0B0B0" w:sz="1"/>
              <w:bottom w:val="single" w:color="B0B0B0" w:sz="1"/>
              <w:right w:val="single" w:color="B0B0B0" w:sz="1"/>
            </w:tcBorders>
            <w:shd w:fill="F5F5F5" w:val="clear"/>
            <w:tcMar>
              <w:top w:type="dxa" w:w="50"/>
              <w:left w:type="dxa" w:w="100"/>
              <w:bottom w:type="dxa" w:w="50"/>
              <w:right w:type="dxa" w:w="100"/>
            </w:tcMar>
            <w:vAlign w:val="center"/>
          </w:tcPr>
          <w:p>
            <w:pPr>
              <w:spacing w:after="0" w:before="0"/>
            </w:pPr>
            <w:r>
              <w:rPr>
                <w:rFonts w:ascii="Calibri" w:cs="Calibri" w:eastAsia="Calibri" w:hAnsi="Calibri"/>
                <w:b w:val="false"/>
                <w:bCs w:val="false"/>
                <w:color w:val="1A1A1A"/>
                <w:sz w:val="20"/>
                <w:szCs w:val="20"/>
              </w:rPr>
              <w:t xml:space="preserve">Medium</w:t>
            </w:r>
          </w:p>
        </w:tc>
        <w:tc>
          <w:tcPr>
            <w:tcW w:type="dxa" w:w="4626"/>
            <w:tcBorders>
              <w:top w:val="single" w:color="B0B0B0" w:sz="1"/>
              <w:left w:val="single" w:color="B0B0B0" w:sz="1"/>
              <w:bottom w:val="single" w:color="B0B0B0" w:sz="1"/>
              <w:right w:val="single" w:color="B0B0B0" w:sz="1"/>
            </w:tcBorders>
            <w:shd w:fill="F5F5F5" w:val="clear"/>
            <w:tcMar>
              <w:top w:type="dxa" w:w="50"/>
              <w:left w:type="dxa" w:w="100"/>
              <w:bottom w:type="dxa" w:w="50"/>
              <w:right w:type="dxa" w:w="100"/>
            </w:tcMar>
            <w:vAlign w:val="center"/>
          </w:tcPr>
          <w:p>
            <w:pPr>
              <w:spacing w:after="0" w:before="0"/>
            </w:pPr>
            <w:r>
              <w:rPr>
                <w:rFonts w:ascii="Calibri" w:cs="Calibri" w:eastAsia="Calibri" w:hAnsi="Calibri"/>
                <w:b w:val="false"/>
                <w:bCs w:val="false"/>
                <w:color w:val="1A1A1A"/>
                <w:sz w:val="20"/>
                <w:szCs w:val="20"/>
              </w:rPr>
              <w:t xml:space="preserve">Diversified 5-stream revenue; bootstrapped model reduces grant dependency</w:t>
            </w:r>
          </w:p>
        </w:tc>
      </w:tr>
      <w:tr>
        <w:tc>
          <w:tcPr>
            <w:tcW w:type="dxa" w:w="22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before="0"/>
            </w:pPr>
            <w:r>
              <w:rPr>
                <w:rFonts w:ascii="Calibri" w:cs="Calibri" w:eastAsia="Calibri" w:hAnsi="Calibri"/>
                <w:b w:val="false"/>
                <w:bCs w:val="false"/>
                <w:color w:val="1A1A1A"/>
                <w:sz w:val="20"/>
                <w:szCs w:val="20"/>
              </w:rPr>
              <w:t xml:space="preserve">Kitchen space costs overrun</w:t>
            </w:r>
          </w:p>
        </w:tc>
        <w:tc>
          <w:tcPr>
            <w:tcW w:type="dxa" w:w="11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before="0"/>
            </w:pPr>
            <w:r>
              <w:rPr>
                <w:rFonts w:ascii="Calibri" w:cs="Calibri" w:eastAsia="Calibri" w:hAnsi="Calibri"/>
                <w:b w:val="false"/>
                <w:bCs w:val="false"/>
                <w:color w:val="1A1A1A"/>
                <w:sz w:val="20"/>
                <w:szCs w:val="20"/>
              </w:rPr>
              <w:t xml:space="preserve">Low</w:t>
            </w:r>
          </w:p>
        </w:tc>
        <w:tc>
          <w:tcPr>
            <w:tcW w:type="dxa" w:w="11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before="0"/>
            </w:pPr>
            <w:r>
              <w:rPr>
                <w:rFonts w:ascii="Calibri" w:cs="Calibri" w:eastAsia="Calibri" w:hAnsi="Calibri"/>
                <w:b w:val="false"/>
                <w:bCs w:val="false"/>
                <w:color w:val="1A1A1A"/>
                <w:sz w:val="20"/>
                <w:szCs w:val="20"/>
              </w:rPr>
              <w:t xml:space="preserve">High</w:t>
            </w:r>
          </w:p>
        </w:tc>
        <w:tc>
          <w:tcPr>
            <w:tcW w:type="dxa" w:w="4626"/>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before="0"/>
            </w:pPr>
            <w:r>
              <w:rPr>
                <w:rFonts w:ascii="Calibri" w:cs="Calibri" w:eastAsia="Calibri" w:hAnsi="Calibri"/>
                <w:b w:val="false"/>
                <w:bCs w:val="false"/>
                <w:color w:val="1A1A1A"/>
                <w:sz w:val="20"/>
                <w:szCs w:val="20"/>
              </w:rPr>
              <w:t xml:space="preserve">Future Leap partnership reduces Year 1 space costs; pilot uses borrowed venues</w:t>
            </w:r>
          </w:p>
        </w:tc>
      </w:tr>
      <w:tr>
        <w:tc>
          <w:tcPr>
            <w:tcW w:type="dxa" w:w="2200"/>
            <w:tcBorders>
              <w:top w:val="single" w:color="B0B0B0" w:sz="1"/>
              <w:left w:val="single" w:color="B0B0B0" w:sz="1"/>
              <w:bottom w:val="single" w:color="B0B0B0" w:sz="1"/>
              <w:right w:val="single" w:color="B0B0B0" w:sz="1"/>
            </w:tcBorders>
            <w:shd w:fill="F5F5F5" w:val="clear"/>
            <w:tcMar>
              <w:top w:type="dxa" w:w="50"/>
              <w:left w:type="dxa" w:w="100"/>
              <w:bottom w:type="dxa" w:w="50"/>
              <w:right w:type="dxa" w:w="100"/>
            </w:tcMar>
            <w:vAlign w:val="center"/>
          </w:tcPr>
          <w:p>
            <w:pPr>
              <w:spacing w:after="0" w:before="0"/>
            </w:pPr>
            <w:r>
              <w:rPr>
                <w:rFonts w:ascii="Calibri" w:cs="Calibri" w:eastAsia="Calibri" w:hAnsi="Calibri"/>
                <w:b w:val="false"/>
                <w:bCs w:val="false"/>
                <w:color w:val="1A1A1A"/>
                <w:sz w:val="20"/>
                <w:szCs w:val="20"/>
              </w:rPr>
              <w:t xml:space="preserve">Digital platform delayed</w:t>
            </w:r>
          </w:p>
        </w:tc>
        <w:tc>
          <w:tcPr>
            <w:tcW w:type="dxa" w:w="1100"/>
            <w:tcBorders>
              <w:top w:val="single" w:color="B0B0B0" w:sz="1"/>
              <w:left w:val="single" w:color="B0B0B0" w:sz="1"/>
              <w:bottom w:val="single" w:color="B0B0B0" w:sz="1"/>
              <w:right w:val="single" w:color="B0B0B0" w:sz="1"/>
            </w:tcBorders>
            <w:shd w:fill="F5F5F5" w:val="clear"/>
            <w:tcMar>
              <w:top w:type="dxa" w:w="50"/>
              <w:left w:type="dxa" w:w="100"/>
              <w:bottom w:type="dxa" w:w="50"/>
              <w:right w:type="dxa" w:w="100"/>
            </w:tcMar>
            <w:vAlign w:val="center"/>
          </w:tcPr>
          <w:p>
            <w:pPr>
              <w:spacing w:after="0" w:before="0"/>
            </w:pPr>
            <w:r>
              <w:rPr>
                <w:rFonts w:ascii="Calibri" w:cs="Calibri" w:eastAsia="Calibri" w:hAnsi="Calibri"/>
                <w:b w:val="false"/>
                <w:bCs w:val="false"/>
                <w:color w:val="1A1A1A"/>
                <w:sz w:val="20"/>
                <w:szCs w:val="20"/>
              </w:rPr>
              <w:t xml:space="preserve">Low</w:t>
            </w:r>
          </w:p>
        </w:tc>
        <w:tc>
          <w:tcPr>
            <w:tcW w:type="dxa" w:w="1100"/>
            <w:tcBorders>
              <w:top w:val="single" w:color="B0B0B0" w:sz="1"/>
              <w:left w:val="single" w:color="B0B0B0" w:sz="1"/>
              <w:bottom w:val="single" w:color="B0B0B0" w:sz="1"/>
              <w:right w:val="single" w:color="B0B0B0" w:sz="1"/>
            </w:tcBorders>
            <w:shd w:fill="F5F5F5" w:val="clear"/>
            <w:tcMar>
              <w:top w:type="dxa" w:w="50"/>
              <w:left w:type="dxa" w:w="100"/>
              <w:bottom w:type="dxa" w:w="50"/>
              <w:right w:type="dxa" w:w="100"/>
            </w:tcMar>
            <w:vAlign w:val="center"/>
          </w:tcPr>
          <w:p>
            <w:pPr>
              <w:spacing w:after="0" w:before="0"/>
            </w:pPr>
            <w:r>
              <w:rPr>
                <w:rFonts w:ascii="Calibri" w:cs="Calibri" w:eastAsia="Calibri" w:hAnsi="Calibri"/>
                <w:b w:val="false"/>
                <w:bCs w:val="false"/>
                <w:color w:val="1A1A1A"/>
                <w:sz w:val="20"/>
                <w:szCs w:val="20"/>
              </w:rPr>
              <w:t xml:space="preserve">Medium</w:t>
            </w:r>
          </w:p>
        </w:tc>
        <w:tc>
          <w:tcPr>
            <w:tcW w:type="dxa" w:w="4626"/>
            <w:tcBorders>
              <w:top w:val="single" w:color="B0B0B0" w:sz="1"/>
              <w:left w:val="single" w:color="B0B0B0" w:sz="1"/>
              <w:bottom w:val="single" w:color="B0B0B0" w:sz="1"/>
              <w:right w:val="single" w:color="B0B0B0" w:sz="1"/>
            </w:tcBorders>
            <w:shd w:fill="F5F5F5" w:val="clear"/>
            <w:tcMar>
              <w:top w:type="dxa" w:w="50"/>
              <w:left w:type="dxa" w:w="100"/>
              <w:bottom w:type="dxa" w:w="50"/>
              <w:right w:type="dxa" w:w="100"/>
            </w:tcMar>
            <w:vAlign w:val="center"/>
          </w:tcPr>
          <w:p>
            <w:pPr>
              <w:spacing w:after="0" w:before="0"/>
            </w:pPr>
            <w:r>
              <w:rPr>
                <w:rFonts w:ascii="Calibri" w:cs="Calibri" w:eastAsia="Calibri" w:hAnsi="Calibri"/>
                <w:b w:val="false"/>
                <w:bCs w:val="false"/>
                <w:color w:val="1A1A1A"/>
                <w:sz w:val="20"/>
                <w:szCs w:val="20"/>
              </w:rPr>
              <w:t xml:space="preserve">MVP subscription launched on existing platform before custom build</w:t>
            </w:r>
          </w:p>
        </w:tc>
      </w:tr>
      <w:tr>
        <w:tc>
          <w:tcPr>
            <w:tcW w:type="dxa" w:w="22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before="0"/>
            </w:pPr>
            <w:r>
              <w:rPr>
                <w:rFonts w:ascii="Calibri" w:cs="Calibri" w:eastAsia="Calibri" w:hAnsi="Calibri"/>
                <w:b w:val="false"/>
                <w:bCs w:val="false"/>
                <w:color w:val="1A1A1A"/>
                <w:sz w:val="20"/>
                <w:szCs w:val="20"/>
              </w:rPr>
              <w:t xml:space="preserve">Founder capacity</w:t>
            </w:r>
          </w:p>
        </w:tc>
        <w:tc>
          <w:tcPr>
            <w:tcW w:type="dxa" w:w="11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before="0"/>
            </w:pPr>
            <w:r>
              <w:rPr>
                <w:rFonts w:ascii="Calibri" w:cs="Calibri" w:eastAsia="Calibri" w:hAnsi="Calibri"/>
                <w:b w:val="false"/>
                <w:bCs w:val="false"/>
                <w:color w:val="1A1A1A"/>
                <w:sz w:val="20"/>
                <w:szCs w:val="20"/>
              </w:rPr>
              <w:t xml:space="preserve">Medium</w:t>
            </w:r>
          </w:p>
        </w:tc>
        <w:tc>
          <w:tcPr>
            <w:tcW w:type="dxa" w:w="11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before="0"/>
            </w:pPr>
            <w:r>
              <w:rPr>
                <w:rFonts w:ascii="Calibri" w:cs="Calibri" w:eastAsia="Calibri" w:hAnsi="Calibri"/>
                <w:b w:val="false"/>
                <w:bCs w:val="false"/>
                <w:color w:val="1A1A1A"/>
                <w:sz w:val="20"/>
                <w:szCs w:val="20"/>
              </w:rPr>
              <w:t xml:space="preserve">High</w:t>
            </w:r>
          </w:p>
        </w:tc>
        <w:tc>
          <w:tcPr>
            <w:tcW w:type="dxa" w:w="4626"/>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spacing w:after="0" w:before="0"/>
            </w:pPr>
            <w:r>
              <w:rPr>
                <w:rFonts w:ascii="Calibri" w:cs="Calibri" w:eastAsia="Calibri" w:hAnsi="Calibri"/>
                <w:b w:val="false"/>
                <w:bCs w:val="false"/>
                <w:color w:val="1A1A1A"/>
                <w:sz w:val="20"/>
                <w:szCs w:val="20"/>
              </w:rPr>
              <w:t xml:space="preserve">Phased hiring: admin support in Month 6, facilitator in Month 9</w:t>
            </w:r>
          </w:p>
        </w:tc>
      </w:tr>
    </w:tbl>
    <w:p>
      <w:r>
        <w:br w:type="page"/>
      </w:r>
    </w:p>
    <w:p>
      <w:pPr>
        <w:pStyle w:val="Heading1"/>
        <w:spacing w:after="180" w:before="360"/>
      </w:pPr>
      <w:r>
        <w:rPr>
          <w:rFonts w:ascii="Calibri" w:cs="Calibri" w:eastAsia="Calibri" w:hAnsi="Calibri"/>
          <w:b/>
          <w:bCs/>
          <w:color w:val="1A5C38"/>
          <w:sz w:val="32"/>
          <w:szCs w:val="32"/>
        </w:rPr>
        <w:t xml:space="preserve">13. Conclusion</w:t>
      </w:r>
    </w:p>
    <w:p>
      <w:pPr>
        <w:spacing w:after="80" w:before="80"/>
        <w:jc w:val="both"/>
      </w:pPr>
      <w:r>
        <w:rPr>
          <w:rFonts w:ascii="Calibri" w:cs="Calibri" w:eastAsia="Calibri" w:hAnsi="Calibri"/>
          <w:color w:val="1A1A1A"/>
          <w:sz w:val="22"/>
          <w:szCs w:val="22"/>
        </w:rPr>
        <w:t xml:space="preserve">Green Africa Hub is a well-timed, evidence-based social enterprise with a clear market gap, a technically credible founder, and a lean, scalable model. The next immediate step — running three community pilot sessions between April and June 2026 — will generate the real-world demand evidence that transforms this business plan from a strong proposal into a fundable, proven proposition.</w:t>
      </w:r>
    </w:p>
    <w:p>
      <w:pPr>
        <w:spacing w:after="0" w:before="120"/>
      </w:pPr>
    </w:p>
    <w:p>
      <w:pPr>
        <w:spacing w:after="200" w:before="200"/>
        <w:jc w:val="center"/>
      </w:pPr>
      <w:r>
        <w:rPr>
          <w:rFonts w:ascii="Calibri" w:cs="Calibri" w:eastAsia="Calibri" w:hAnsi="Calibri"/>
          <w:b/>
          <w:bCs/>
          <w:i/>
          <w:iCs/>
          <w:color w:val="1A5C38"/>
          <w:sz w:val="26"/>
          <w:szCs w:val="26"/>
        </w:rPr>
        <w:t xml:space="preserve">The concept is right. The timing is right. The founder is right. The pilot is the next right step.</w:t>
      </w:r>
    </w:p>
    <w:p>
      <w:pPr>
        <w:spacing w:after="0" w:before="200"/>
      </w:pPr>
    </w:p>
    <w:p>
      <w:pPr>
        <w:pBdr>
          <w:bottom w:val="single" w:color="1A5C38" w:sz="4" w:space="1"/>
        </w:pBdr>
        <w:spacing w:after="0" w:before="0"/>
      </w:pPr>
    </w:p>
    <w:p>
      <w:pPr>
        <w:spacing w:after="0" w:before="100"/>
      </w:pPr>
    </w:p>
    <w:p>
      <w:pPr>
        <w:spacing w:after="40" w:before="80"/>
        <w:jc w:val="center"/>
      </w:pPr>
      <w:r>
        <w:rPr>
          <w:rFonts w:ascii="Calibri" w:cs="Calibri" w:eastAsia="Calibri" w:hAnsi="Calibri"/>
          <w:color w:val="555555"/>
          <w:sz w:val="22"/>
          <w:szCs w:val="22"/>
        </w:rPr>
        <w:t xml:space="preserve">For enquiries:</w:t>
      </w:r>
    </w:p>
    <w:p>
      <w:pPr>
        <w:spacing w:after="40" w:before="40"/>
        <w:jc w:val="center"/>
      </w:pPr>
      <w:r>
        <w:rPr>
          <w:rFonts w:ascii="Calibri" w:cs="Calibri" w:eastAsia="Calibri" w:hAnsi="Calibri"/>
          <w:b/>
          <w:bCs/>
          <w:color w:val="1A5C38"/>
          <w:sz w:val="22"/>
          <w:szCs w:val="22"/>
        </w:rPr>
        <w:t xml:space="preserve">Grace Omotuase  |  gracetuase@gmail.com  |  07776 643169</w:t>
      </w:r>
    </w:p>
    <w:p>
      <w:pPr>
        <w:spacing w:after="200" w:before="40"/>
        <w:jc w:val="center"/>
      </w:pPr>
      <w:hyperlink w:history="1" r:id="rId58p8o8qgsvgn5gxi0ym8l">
        <w:r>
          <w:rPr>
            <w:rStyle w:val="Hyperlink"/>
            <w:rFonts w:ascii="Calibri" w:cs="Calibri" w:eastAsia="Calibri" w:hAnsi="Calibri"/>
            <w:color w:val="1A5C38"/>
            <w:sz w:val="22"/>
            <w:szCs w:val="22"/>
          </w:rPr>
          <w:t xml:space="preserve">www.greenafricahub.org.uk</w:t>
        </w:r>
      </w:hyperlink>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0B0" w:sz="1" w:space="4"/>
      </w:pBdr>
      <w:spacing w:after="0" w:before="0"/>
      <w:jc w:val="center"/>
    </w:pPr>
    <w:r>
      <w:rPr>
        <w:rFonts w:ascii="Calibri" w:cs="Calibri" w:eastAsia="Calibri" w:hAnsi="Calibri"/>
        <w:color w:val="888888"/>
        <w:sz w:val="14"/>
        <w:szCs w:val="14"/>
      </w:rPr>
      <w:t xml:space="preserve">Green Africa Hub Ltd  |  Company No. 17107299  |  www.greenafricahub.org.uk  |  Version 2.0 — March 2026  |  Business Confidential</w:t>
    </w:r>
  </w:p>
  <w:p>
    <w:pPr>
      <w:spacing w:after="0" w:before="40"/>
      <w:jc w:val="center"/>
    </w:pPr>
    <w:r>
      <w:rPr>
        <w:rFonts w:ascii="Calibri" w:cs="Calibri" w:eastAsia="Calibri" w:hAnsi="Calibri"/>
        <w:color w:val="888888"/>
        <w:sz w:val="14"/>
        <w:szCs w:val="14"/>
      </w:rPr>
      <w:t xml:space="preserve">Page </w:t>
    </w:r>
    <w:r>
      <w:rPr>
        <w:rFonts w:ascii="Calibri" w:cs="Calibri" w:eastAsia="Calibri" w:hAnsi="Calibri"/>
        <w:color w:val="888888"/>
        <w:sz w:val="14"/>
        <w:szCs w:val="14"/>
      </w:rPr>
      <w:fldChar w:fldCharType="begin"/>
      <w:instrText xml:space="preserve">PAGE</w:instrText>
      <w:fldChar w:fldCharType="separate"/>
      <w:fldChar w:fldCharType="end"/>
    </w:r>
    <w:r>
      <w:rPr>
        <w:rFonts w:ascii="Calibri" w:cs="Calibri" w:eastAsia="Calibri" w:hAnsi="Calibri"/>
        <w:color w:val="888888"/>
        <w:sz w:val="14"/>
        <w:szCs w:val="14"/>
      </w:rPr>
      <w:t xml:space="preserve"> of </w:t>
    </w:r>
    <w:r>
      <w:rPr>
        <w:rFonts w:ascii="Calibri" w:cs="Calibri" w:eastAsia="Calibri" w:hAnsi="Calibri"/>
        <w:color w:val="888888"/>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C38" w:sz="2" w:space="4"/>
      </w:pBdr>
      <w:spacing w:after="0" w:before="0"/>
      <w:jc w:val="left"/>
    </w:pPr>
    <w:r>
      <w:rPr>
        <w:rFonts w:ascii="Calibri" w:cs="Calibri" w:eastAsia="Calibri" w:hAnsi="Calibri"/>
        <w:b/>
        <w:bCs/>
        <w:color w:val="1A5C38"/>
        <w:sz w:val="18"/>
        <w:szCs w:val="18"/>
      </w:rPr>
      <w:t xml:space="preserve">Green Africa Hub Ltd</w:t>
    </w:r>
    <w:r>
      <w:rPr>
        <w:rFonts w:ascii="Calibri" w:cs="Calibri" w:eastAsia="Calibri" w:hAnsi="Calibri"/>
        <w:color w:val="888888"/>
        <w:sz w:val="16"/>
        <w:szCs w:val="16"/>
      </w:rPr>
      <w:t xml:space="preserve">  |  Company No. 17107299  |  Business Plan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A5C38"/>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A5C3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x5u5fn4vygvgt8xdcot7p" Type="http://schemas.openxmlformats.org/officeDocument/2006/relationships/hyperlink" Target="https://www.greenafricahub.org.uk" TargetMode="External"/><Relationship Id="rId58p8o8qgsvgn5gxi0ym8l" Type="http://schemas.openxmlformats.org/officeDocument/2006/relationships/hyperlink" Target="https://www.greenafricahub.org.uk"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2026-03-26T20:22:40.018Z</dcterms:created>
  <dcterms:modified xsi:type="dcterms:W3CDTF">2026-03-26T20:22:40.019Z</dcterms:modified>
</cp:coreProperties>
</file>

<file path=docProps/custom.xml><?xml version="1.0" encoding="utf-8"?>
<Properties xmlns="http://schemas.openxmlformats.org/officeDocument/2006/custom-properties" xmlns:vt="http://schemas.openxmlformats.org/officeDocument/2006/docPropsVTypes"/>
</file>