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3F99C">
      <w:pPr>
        <w:spacing w:before="400" w:after="0"/>
      </w:pPr>
    </w:p>
    <w:p w14:paraId="74E92706">
      <w:pPr>
        <w:spacing w:before="0" w:after="100"/>
        <w:jc w:val="center"/>
      </w:pPr>
      <w:bookmarkStart w:id="0" w:name="_GoBack"/>
      <w:r>
        <w:drawing>
          <wp:inline distT="0" distB="0" distL="0" distR="0">
            <wp:extent cx="15240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1524000" cy="1524000"/>
                    </a:xfrm>
                    <a:prstGeom prst="rect">
                      <a:avLst/>
                    </a:prstGeom>
                  </pic:spPr>
                </pic:pic>
              </a:graphicData>
            </a:graphic>
          </wp:inline>
        </w:drawing>
      </w:r>
    </w:p>
    <w:bookmarkEnd w:id="0"/>
    <w:p w14:paraId="3AC34437">
      <w:pPr>
        <w:spacing w:before="0" w:after="60"/>
        <w:jc w:val="center"/>
      </w:pPr>
      <w:r>
        <w:rPr>
          <w:rFonts w:ascii="Georgia" w:hAnsi="Georgia" w:eastAsia="Georgia" w:cs="Georgia"/>
          <w:b/>
          <w:bCs/>
          <w:color w:val="1A6B3C"/>
          <w:sz w:val="72"/>
          <w:szCs w:val="72"/>
        </w:rPr>
        <w:t>GREEN AFRICA HUB</w:t>
      </w:r>
    </w:p>
    <w:p w14:paraId="6CD45755">
      <w:pPr>
        <w:spacing w:before="0" w:after="240"/>
        <w:jc w:val="center"/>
      </w:pPr>
      <w:r>
        <w:rPr>
          <w:rFonts w:ascii="Georgia" w:hAnsi="Georgia" w:eastAsia="Georgia" w:cs="Georgia"/>
          <w:i/>
          <w:iCs/>
          <w:color w:val="2E7D52"/>
          <w:sz w:val="28"/>
          <w:szCs w:val="28"/>
        </w:rPr>
        <w:t>...Sustaining Heritage, Powering the Future</w:t>
      </w:r>
    </w:p>
    <w:p w14:paraId="3E1DE73E"/>
    <w:p w14:paraId="45E6D83F">
      <w:pPr>
        <w:pStyle w:val="2"/>
        <w:pBdr>
          <w:bottom w:val="single" w:color="1A6B3C" w:sz="8" w:space="1"/>
        </w:pBdr>
        <w:spacing w:before="400" w:after="120"/>
      </w:pPr>
      <w:r>
        <w:rPr>
          <w:rFonts w:ascii="Georgia" w:hAnsi="Georgia" w:eastAsia="Georgia" w:cs="Georgia"/>
          <w:b/>
          <w:bCs/>
          <w:color w:val="0D3D24"/>
          <w:sz w:val="34"/>
          <w:szCs w:val="34"/>
        </w:rPr>
        <w:t>Executive Summary</w:t>
      </w:r>
    </w:p>
    <w:p w14:paraId="3A2EA71D">
      <w:pPr>
        <w:spacing w:before="80" w:after="100"/>
      </w:pPr>
      <w:r>
        <w:rPr>
          <w:rFonts w:ascii="Arial" w:hAnsi="Arial" w:eastAsia="Arial" w:cs="Arial"/>
          <w:color w:val="1A1A1A"/>
          <w:sz w:val="22"/>
          <w:szCs w:val="22"/>
        </w:rPr>
        <w:t>The UK's African and Caribbean food community faces a silent crisis. The caterers who carry centuries of culinary heritage are being priced out by rising gas bills, squeezed by imported ingredient costs, and left behind by a green technology transition that was not designed with them in mind. Green Africa Hub was created to solve that problem — and to prove that cultural tradition and climate ambition are not in conflict.</w:t>
      </w:r>
    </w:p>
    <w:p w14:paraId="642A51D5">
      <w:pPr>
        <w:spacing w:before="60" w:after="0"/>
      </w:pPr>
    </w:p>
    <w:p w14:paraId="035B03D3">
      <w:pPr>
        <w:spacing w:before="80" w:after="100"/>
      </w:pPr>
      <w:r>
        <w:rPr>
          <w:rFonts w:ascii="Arial" w:hAnsi="Arial" w:eastAsia="Arial" w:cs="Arial"/>
          <w:color w:val="1A1A1A"/>
          <w:sz w:val="22"/>
          <w:szCs w:val="22"/>
        </w:rPr>
        <w:t>Green Africa Hub is a Bristol-based sustainable food technology and education business. It operates a Smart Kitchen Hub: a community-facing platform combining shared electric induction cooking facilities, AI-assisted carbon tracking, practical sustainability education, and a scalable digital subscription service — all built around African and Caribbean food culture.</w:t>
      </w:r>
    </w:p>
    <w:p w14:paraId="387EF8D9">
      <w:pPr>
        <w:spacing w:before="60" w:after="0"/>
      </w:pPr>
    </w:p>
    <w:p w14:paraId="37436572">
      <w:pPr>
        <w:spacing w:before="80" w:after="100"/>
      </w:pPr>
      <w:r>
        <w:rPr>
          <w:rFonts w:ascii="Arial" w:hAnsi="Arial" w:eastAsia="Arial" w:cs="Arial"/>
          <w:color w:val="1A1A1A"/>
          <w:sz w:val="22"/>
          <w:szCs w:val="22"/>
        </w:rPr>
        <w:t>The business is led by Grace Omotuase, a Chartered Manager with an MSc in Financial Technology (University of Bradford), a Data Science certificate (University of Texas at Austin), a Professional Cookery qualification, and 12 years of financial leadership at the Central Bank of Nigeria. Grace brings a rare combination of quantitative expertise, community credibility, and personal conviction to this venture.</w:t>
      </w:r>
    </w:p>
    <w:p w14:paraId="7CB17E3D">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3DED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6B3C" w:sz="0" w:space="0"/>
              <w:left w:val="single" w:color="1A6B3C" w:sz="0" w:space="0"/>
              <w:bottom w:val="single" w:color="1A6B3C" w:sz="0" w:space="0"/>
              <w:right w:val="single" w:color="1A6B3C" w:sz="0" w:space="0"/>
            </w:tcBorders>
            <w:shd w:val="clear" w:color="auto" w:fill="E8F5EE"/>
            <w:tcMar>
              <w:top w:w="140" w:type="dxa"/>
              <w:left w:w="220" w:type="dxa"/>
              <w:bottom w:w="140" w:type="dxa"/>
              <w:right w:w="220" w:type="dxa"/>
            </w:tcMar>
          </w:tcPr>
          <w:p w14:paraId="0FCD9160">
            <w:pPr>
              <w:spacing w:before="0" w:after="80"/>
            </w:pPr>
            <w:r>
              <w:rPr>
                <w:rFonts w:ascii="Arial" w:hAnsi="Arial" w:eastAsia="Arial" w:cs="Arial"/>
                <w:b/>
                <w:bCs/>
                <w:color w:val="0D3D24"/>
                <w:sz w:val="22"/>
                <w:szCs w:val="22"/>
              </w:rPr>
              <w:t>At a glance</w:t>
            </w:r>
          </w:p>
          <w:p w14:paraId="658E1E02">
            <w:pPr>
              <w:spacing w:before="40" w:after="40"/>
            </w:pPr>
            <w:r>
              <w:rPr>
                <w:rFonts w:ascii="Arial" w:hAnsi="Arial" w:eastAsia="Arial" w:cs="Arial"/>
                <w:b/>
                <w:bCs/>
                <w:color w:val="0D3D24"/>
                <w:sz w:val="21"/>
                <w:szCs w:val="21"/>
              </w:rPr>
              <w:t xml:space="preserve">Mission:  </w:t>
            </w:r>
            <w:r>
              <w:rPr>
                <w:rFonts w:ascii="Arial" w:hAnsi="Arial" w:eastAsia="Arial" w:cs="Arial"/>
                <w:color w:val="1A1A1A"/>
                <w:sz w:val="21"/>
                <w:szCs w:val="21"/>
              </w:rPr>
              <w:t>To make African and Caribbean cooking affordable, green, and future-proof.</w:t>
            </w:r>
          </w:p>
          <w:p w14:paraId="45F75F19">
            <w:pPr>
              <w:spacing w:before="40" w:after="40"/>
            </w:pPr>
            <w:r>
              <w:rPr>
                <w:rFonts w:ascii="Arial" w:hAnsi="Arial" w:eastAsia="Arial" w:cs="Arial"/>
                <w:b/>
                <w:bCs/>
                <w:color w:val="0D3D24"/>
                <w:sz w:val="21"/>
                <w:szCs w:val="21"/>
              </w:rPr>
              <w:t xml:space="preserve">Innovation:  </w:t>
            </w:r>
            <w:r>
              <w:rPr>
                <w:rFonts w:ascii="Arial" w:hAnsi="Arial" w:eastAsia="Arial" w:cs="Arial"/>
                <w:color w:val="1A1A1A"/>
                <w:sz w:val="21"/>
                <w:szCs w:val="21"/>
              </w:rPr>
              <w:t>First AI-powered carbon tracking Smart Kitchen Hub focused on African/Caribbean food culture in the UK.</w:t>
            </w:r>
          </w:p>
          <w:p w14:paraId="1E63A639">
            <w:pPr>
              <w:spacing w:before="40" w:after="40"/>
            </w:pPr>
            <w:r>
              <w:rPr>
                <w:rFonts w:ascii="Arial" w:hAnsi="Arial" w:eastAsia="Arial" w:cs="Arial"/>
                <w:b/>
                <w:bCs/>
                <w:color w:val="0D3D24"/>
                <w:sz w:val="21"/>
                <w:szCs w:val="21"/>
              </w:rPr>
              <w:t xml:space="preserve">Revenue (Y1 / Y2 / Y3):  </w:t>
            </w:r>
            <w:r>
              <w:rPr>
                <w:rFonts w:ascii="Arial" w:hAnsi="Arial" w:eastAsia="Arial" w:cs="Arial"/>
                <w:color w:val="1A1A1A"/>
                <w:sz w:val="21"/>
                <w:szCs w:val="21"/>
              </w:rPr>
              <w:t>£28,200  /  £87,500  /  £152,000</w:t>
            </w:r>
          </w:p>
          <w:p w14:paraId="30584DA5">
            <w:pPr>
              <w:spacing w:before="40" w:after="40"/>
            </w:pPr>
            <w:r>
              <w:rPr>
                <w:rFonts w:ascii="Arial" w:hAnsi="Arial" w:eastAsia="Arial" w:cs="Arial"/>
                <w:b/>
                <w:bCs/>
                <w:color w:val="0D3D24"/>
                <w:sz w:val="21"/>
                <w:szCs w:val="21"/>
              </w:rPr>
              <w:t xml:space="preserve">Profitability:  </w:t>
            </w:r>
            <w:r>
              <w:rPr>
                <w:rFonts w:ascii="Arial" w:hAnsi="Arial" w:eastAsia="Arial" w:cs="Arial"/>
                <w:color w:val="1A1A1A"/>
                <w:sz w:val="21"/>
                <w:szCs w:val="21"/>
              </w:rPr>
              <w:t>Break-even end of Year 1; profitable from Year 2.</w:t>
            </w:r>
          </w:p>
          <w:p w14:paraId="6927381F">
            <w:pPr>
              <w:spacing w:before="40" w:after="40"/>
            </w:pPr>
            <w:r>
              <w:rPr>
                <w:rFonts w:ascii="Arial" w:hAnsi="Arial" w:eastAsia="Arial" w:cs="Arial"/>
                <w:b/>
                <w:bCs/>
                <w:color w:val="0D3D24"/>
                <w:sz w:val="21"/>
                <w:szCs w:val="21"/>
              </w:rPr>
              <w:t xml:space="preserve">UK Jobs:  </w:t>
            </w:r>
            <w:r>
              <w:rPr>
                <w:rFonts w:ascii="Arial" w:hAnsi="Arial" w:eastAsia="Arial" w:cs="Arial"/>
                <w:color w:val="1A1A1A"/>
                <w:sz w:val="21"/>
                <w:szCs w:val="21"/>
              </w:rPr>
              <w:t>2 (Year 1)  →  5 (Year 2)  →  10+ (Year 3)</w:t>
            </w:r>
          </w:p>
          <w:p w14:paraId="19CBB67A">
            <w:pPr>
              <w:spacing w:before="40" w:after="0"/>
            </w:pPr>
            <w:r>
              <w:rPr>
                <w:rFonts w:ascii="Arial" w:hAnsi="Arial" w:eastAsia="Arial" w:cs="Arial"/>
                <w:b/>
                <w:bCs/>
                <w:color w:val="0D3D24"/>
                <w:sz w:val="21"/>
                <w:szCs w:val="21"/>
              </w:rPr>
              <w:t xml:space="preserve">Partner:  </w:t>
            </w:r>
            <w:r>
              <w:rPr>
                <w:rFonts w:ascii="Arial" w:hAnsi="Arial" w:eastAsia="Arial" w:cs="Arial"/>
                <w:color w:val="1A1A1A"/>
                <w:sz w:val="21"/>
                <w:szCs w:val="21"/>
              </w:rPr>
              <w:t>Future Leap (WECA-funded) — confirmed sustainability and facilities partner.</w:t>
            </w:r>
          </w:p>
        </w:tc>
      </w:tr>
    </w:tbl>
    <w:p w14:paraId="25CC48EC">
      <w:pPr>
        <w:spacing w:before="80" w:after="0"/>
      </w:pPr>
    </w:p>
    <w:p w14:paraId="4E87624A">
      <w:pPr>
        <w:spacing w:before="80" w:after="100"/>
      </w:pPr>
      <w:r>
        <w:rPr>
          <w:rFonts w:ascii="Arial" w:hAnsi="Arial" w:eastAsia="Arial" w:cs="Arial"/>
          <w:color w:val="1A1A1A"/>
          <w:sz w:val="22"/>
          <w:szCs w:val="22"/>
        </w:rPr>
        <w:t>The ask is straightforward: endorsement to establish a business that fills a clear market gap, generates sustainable commercial income, creates skilled UK jobs, and delivers measurable community-level carbon reduction — all while preserving a cultural heritage that deserves to thrive.</w:t>
      </w:r>
    </w:p>
    <w:p w14:paraId="270574FD">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2A6C6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shd w:val="clear" w:color="auto" w:fill="1A6B3C"/>
            <w:tcMar>
              <w:top w:w="160" w:type="dxa"/>
              <w:left w:w="200" w:type="dxa"/>
              <w:bottom w:w="160" w:type="dxa"/>
              <w:right w:w="200" w:type="dxa"/>
            </w:tcMar>
            <w:vAlign w:val="center"/>
          </w:tcPr>
          <w:p w14:paraId="6E7DAEEA">
            <w:pPr>
              <w:jc w:val="center"/>
            </w:pPr>
            <w:r>
              <w:rPr>
                <w:rFonts w:ascii="Georgia" w:hAnsi="Georgia" w:eastAsia="Georgia" w:cs="Georgia"/>
                <w:b/>
                <w:bCs/>
                <w:color w:val="FFFFFF"/>
                <w:sz w:val="36"/>
                <w:szCs w:val="36"/>
              </w:rPr>
              <w:t>01</w:t>
            </w:r>
          </w:p>
        </w:tc>
        <w:tc>
          <w:tcPr>
            <w:tcW w:w="8160" w:type="dxa"/>
            <w:tcBorders>
              <w:top w:val="nil"/>
              <w:left w:val="nil"/>
              <w:bottom w:val="nil"/>
              <w:right w:val="nil"/>
            </w:tcBorders>
            <w:shd w:val="clear" w:color="auto" w:fill="0D3D24"/>
            <w:tcMar>
              <w:top w:w="160" w:type="dxa"/>
              <w:left w:w="240" w:type="dxa"/>
              <w:bottom w:w="160" w:type="dxa"/>
              <w:right w:w="200" w:type="dxa"/>
            </w:tcMar>
            <w:vAlign w:val="center"/>
          </w:tcPr>
          <w:p w14:paraId="157A4C50">
            <w:r>
              <w:rPr>
                <w:rFonts w:ascii="Georgia" w:hAnsi="Georgia" w:eastAsia="Georgia" w:cs="Georgia"/>
                <w:b/>
                <w:bCs/>
                <w:color w:val="FFFFFF"/>
                <w:sz w:val="28"/>
                <w:szCs w:val="28"/>
              </w:rPr>
              <w:t>Market Assessment</w:t>
            </w:r>
          </w:p>
        </w:tc>
      </w:tr>
    </w:tbl>
    <w:p w14:paraId="47E3B528">
      <w:pPr>
        <w:spacing w:before="100" w:after="0"/>
      </w:pPr>
    </w:p>
    <w:p w14:paraId="5F63B1DB">
      <w:pPr>
        <w:spacing w:before="80" w:after="100"/>
      </w:pPr>
      <w:r>
        <w:rPr>
          <w:rFonts w:ascii="Arial" w:hAnsi="Arial" w:eastAsia="Arial" w:cs="Arial"/>
          <w:color w:val="1A1A1A"/>
          <w:sz w:val="22"/>
          <w:szCs w:val="22"/>
        </w:rPr>
        <w:t>African and Caribbean food is one of the UK's fastest-growing culinary categories, driven by a large and growing diaspora community, rising mainstream interest in global cuisines, and a vibrant catering and events sector. Yet the businesses and individuals at the heart of this community have been almost entirely overlooked by the green technology transition.</w:t>
      </w:r>
    </w:p>
    <w:p w14:paraId="3C50DA3F">
      <w:pPr>
        <w:spacing w:before="80" w:after="0"/>
      </w:pPr>
    </w:p>
    <w:p w14:paraId="56398D41">
      <w:pPr>
        <w:pStyle w:val="3"/>
        <w:spacing w:before="300" w:after="100"/>
      </w:pPr>
      <w:r>
        <w:rPr>
          <w:rFonts w:ascii="Georgia" w:hAnsi="Georgia" w:eastAsia="Georgia" w:cs="Georgia"/>
          <w:b/>
          <w:bCs/>
          <w:color w:val="2E7D52"/>
          <w:sz w:val="26"/>
          <w:szCs w:val="26"/>
        </w:rPr>
        <w:t>Market Size &amp; Opportunity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0AF4D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42B2E6DD">
            <w:pPr>
              <w:jc w:val="left"/>
            </w:pPr>
            <w:r>
              <w:rPr>
                <w:rFonts w:ascii="Arial" w:hAnsi="Arial" w:eastAsia="Arial" w:cs="Arial"/>
                <w:b/>
                <w:bCs/>
                <w:color w:val="FFFFFF"/>
                <w:sz w:val="21"/>
                <w:szCs w:val="21"/>
              </w:rPr>
              <w:t>Segment</w:t>
            </w:r>
          </w:p>
        </w:tc>
        <w:tc>
          <w:tcPr>
            <w:tcW w:w="59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EDADE05">
            <w:pPr>
              <w:jc w:val="left"/>
            </w:pPr>
            <w:r>
              <w:rPr>
                <w:rFonts w:ascii="Arial" w:hAnsi="Arial" w:eastAsia="Arial" w:cs="Arial"/>
                <w:b/>
                <w:bCs/>
                <w:color w:val="FFFFFF"/>
                <w:sz w:val="21"/>
                <w:szCs w:val="21"/>
              </w:rPr>
              <w:t>Data</w:t>
            </w:r>
          </w:p>
        </w:tc>
      </w:tr>
      <w:tr w14:paraId="5183C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2E9425DC">
            <w:pPr>
              <w:jc w:val="left"/>
            </w:pPr>
            <w:r>
              <w:rPr>
                <w:rFonts w:ascii="Arial" w:hAnsi="Arial" w:eastAsia="Arial" w:cs="Arial"/>
                <w:b/>
                <w:bCs/>
                <w:color w:val="0D3D24"/>
                <w:sz w:val="21"/>
                <w:szCs w:val="21"/>
              </w:rPr>
              <w:t>UK African/Caribbean diaspora</w:t>
            </w:r>
          </w:p>
        </w:tc>
        <w:tc>
          <w:tcPr>
            <w:tcW w:w="59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5C1A0C4">
            <w:pPr>
              <w:jc w:val="left"/>
            </w:pPr>
            <w:r>
              <w:rPr>
                <w:rFonts w:ascii="Arial" w:hAnsi="Arial" w:eastAsia="Arial" w:cs="Arial"/>
                <w:b w:val="0"/>
                <w:bCs w:val="0"/>
                <w:color w:val="1A1A1A"/>
                <w:sz w:val="21"/>
                <w:szCs w:val="21"/>
              </w:rPr>
              <w:t>Approximately 1.5 million people (ONS Census 2021). Concentrated in Bristol, Birmingham, Manchester and London.</w:t>
            </w:r>
          </w:p>
        </w:tc>
      </w:tr>
      <w:tr w14:paraId="3D9CE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42B9D6">
            <w:pPr>
              <w:jc w:val="left"/>
            </w:pPr>
            <w:r>
              <w:rPr>
                <w:rFonts w:ascii="Arial" w:hAnsi="Arial" w:eastAsia="Arial" w:cs="Arial"/>
                <w:b/>
                <w:bCs/>
                <w:color w:val="0D3D24"/>
                <w:sz w:val="21"/>
                <w:szCs w:val="21"/>
              </w:rPr>
              <w:t>Bristol target community</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D3CA99">
            <w:pPr>
              <w:jc w:val="left"/>
            </w:pPr>
            <w:r>
              <w:rPr>
                <w:rFonts w:ascii="Arial" w:hAnsi="Arial" w:eastAsia="Arial" w:cs="Arial"/>
                <w:b w:val="0"/>
                <w:bCs w:val="0"/>
                <w:color w:val="1A1A1A"/>
                <w:sz w:val="21"/>
                <w:szCs w:val="21"/>
              </w:rPr>
              <w:t>Bristol's Black African and Black Caribbean population is approximately 15,000–20,000. The city has an established food culture with regular cultural events, markets, and community catering.</w:t>
            </w:r>
          </w:p>
        </w:tc>
      </w:tr>
      <w:tr w14:paraId="5616C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0B74A164">
            <w:pPr>
              <w:jc w:val="left"/>
            </w:pPr>
            <w:r>
              <w:rPr>
                <w:rFonts w:ascii="Arial" w:hAnsi="Arial" w:eastAsia="Arial" w:cs="Arial"/>
                <w:b/>
                <w:bCs/>
                <w:color w:val="0D3D24"/>
                <w:sz w:val="21"/>
                <w:szCs w:val="21"/>
              </w:rPr>
              <w:t>UK micro-caterers (informal)</w:t>
            </w:r>
          </w:p>
        </w:tc>
        <w:tc>
          <w:tcPr>
            <w:tcW w:w="59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EC97E39">
            <w:pPr>
              <w:jc w:val="left"/>
            </w:pPr>
            <w:r>
              <w:rPr>
                <w:rFonts w:ascii="Arial" w:hAnsi="Arial" w:eastAsia="Arial" w:cs="Arial"/>
                <w:b w:val="0"/>
                <w:bCs w:val="0"/>
                <w:color w:val="1A1A1A"/>
                <w:sz w:val="21"/>
                <w:szCs w:val="21"/>
              </w:rPr>
              <w:t>An estimated 5,000–8,000 informal African/Caribbean food businesses operate across the UK, most with no access to green technology or sustainability education.</w:t>
            </w:r>
          </w:p>
        </w:tc>
      </w:tr>
      <w:tr w14:paraId="565D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26BF38">
            <w:pPr>
              <w:jc w:val="left"/>
            </w:pPr>
            <w:r>
              <w:rPr>
                <w:rFonts w:ascii="Arial" w:hAnsi="Arial" w:eastAsia="Arial" w:cs="Arial"/>
                <w:b/>
                <w:bCs/>
                <w:color w:val="0D3D24"/>
                <w:sz w:val="21"/>
                <w:szCs w:val="21"/>
              </w:rPr>
              <w:t>UK sustainable food market</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F34976">
            <w:pPr>
              <w:jc w:val="left"/>
            </w:pPr>
            <w:r>
              <w:rPr>
                <w:rFonts w:ascii="Arial" w:hAnsi="Arial" w:eastAsia="Arial" w:cs="Arial"/>
                <w:b w:val="0"/>
                <w:bCs w:val="0"/>
                <w:color w:val="1A1A1A"/>
                <w:sz w:val="21"/>
                <w:szCs w:val="21"/>
              </w:rPr>
              <w:t>The UK sustainable food and drink market was valued at over £14 billion in 2024 and continues to grow, driven by consumer demand, regulatory pressure, and institutional procurement requirements.</w:t>
            </w:r>
          </w:p>
        </w:tc>
      </w:tr>
      <w:tr w14:paraId="7D61A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2C52F75">
            <w:pPr>
              <w:jc w:val="left"/>
            </w:pPr>
            <w:r>
              <w:rPr>
                <w:rFonts w:ascii="Arial" w:hAnsi="Arial" w:eastAsia="Arial" w:cs="Arial"/>
                <w:b/>
                <w:bCs/>
                <w:color w:val="0D3D24"/>
                <w:sz w:val="21"/>
                <w:szCs w:val="21"/>
              </w:rPr>
              <w:t>EdTech / online food education</w:t>
            </w:r>
          </w:p>
        </w:tc>
        <w:tc>
          <w:tcPr>
            <w:tcW w:w="59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5290D99A">
            <w:pPr>
              <w:jc w:val="left"/>
            </w:pPr>
            <w:r>
              <w:rPr>
                <w:rFonts w:ascii="Arial" w:hAnsi="Arial" w:eastAsia="Arial" w:cs="Arial"/>
                <w:b w:val="0"/>
                <w:bCs w:val="0"/>
                <w:color w:val="1A1A1A"/>
                <w:sz w:val="21"/>
                <w:szCs w:val="21"/>
              </w:rPr>
              <w:t>The global food and beverage online education market is growing at approximately 12% CAGR. Subscription-based culinary learning platforms (e.g. MasterClass, Sorted Food) demonstrate strong consumer appetite for paid digital food content.</w:t>
            </w:r>
          </w:p>
        </w:tc>
      </w:tr>
    </w:tbl>
    <w:p w14:paraId="75B9B320">
      <w:pPr>
        <w:spacing w:before="80" w:after="0"/>
      </w:pPr>
    </w:p>
    <w:p w14:paraId="0BA86015">
      <w:pPr>
        <w:pStyle w:val="3"/>
        <w:spacing w:before="300" w:after="100"/>
      </w:pPr>
      <w:r>
        <w:rPr>
          <w:rFonts w:ascii="Georgia" w:hAnsi="Georgia" w:eastAsia="Georgia" w:cs="Georgia"/>
          <w:b/>
          <w:bCs/>
          <w:color w:val="2E7D52"/>
          <w:sz w:val="26"/>
          <w:szCs w:val="26"/>
        </w:rPr>
        <w:t>Market Maturity &amp; Gap</w:t>
      </w:r>
    </w:p>
    <w:p w14:paraId="287E12DF">
      <w:pPr>
        <w:spacing w:before="80" w:after="100"/>
      </w:pPr>
      <w:r>
        <w:rPr>
          <w:rFonts w:ascii="Arial" w:hAnsi="Arial" w:eastAsia="Arial" w:cs="Arial"/>
          <w:color w:val="1A1A1A"/>
          <w:sz w:val="22"/>
          <w:szCs w:val="22"/>
        </w:rPr>
        <w:t>The UK sustainable food technology sector is maturing rapidly — but almost entirely within mainstream culinary traditions. African and Caribbean food businesses represent a clear and unserved segment. The market is ripe for a first-mover who understands both the cultural context and the technical requirements.</w:t>
      </w:r>
    </w:p>
    <w:p w14:paraId="0E85FEC7">
      <w:pPr>
        <w:spacing w:before="60" w:after="0"/>
      </w:pPr>
    </w:p>
    <w:p w14:paraId="40DD5FD3">
      <w:pPr>
        <w:spacing w:before="80" w:after="100"/>
      </w:pPr>
      <w:r>
        <w:rPr>
          <w:rFonts w:ascii="Arial" w:hAnsi="Arial" w:eastAsia="Arial" w:cs="Arial"/>
          <w:color w:val="1A1A1A"/>
          <w:sz w:val="22"/>
          <w:szCs w:val="22"/>
        </w:rPr>
        <w:t>Community engagement during the WECA Sustainability in Business Bootcamp (March 2026) and through Bristol's African and Caribbean community networks confirmed three things: the problem is real and widely felt; no existing solution addresses it; and there is genuine appetite for both the physical Hub and the digital subscription model.</w:t>
      </w:r>
    </w:p>
    <w:p w14:paraId="0673A569">
      <w:pPr>
        <w:spacing w:before="80" w:after="0"/>
      </w:pPr>
    </w:p>
    <w:p w14:paraId="0B48283F">
      <w:pPr>
        <w:pStyle w:val="3"/>
        <w:spacing w:before="300" w:after="100"/>
      </w:pPr>
      <w:r>
        <w:rPr>
          <w:rFonts w:ascii="Georgia" w:hAnsi="Georgia" w:eastAsia="Georgia" w:cs="Georgia"/>
          <w:b/>
          <w:bCs/>
          <w:color w:val="2E7D52"/>
          <w:sz w:val="26"/>
          <w:szCs w:val="26"/>
        </w:rPr>
        <w:t>Competition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2200"/>
        <w:gridCol w:w="2160"/>
      </w:tblGrid>
      <w:tr w14:paraId="2A91C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59A27B2">
            <w:pPr>
              <w:jc w:val="left"/>
            </w:pPr>
            <w:r>
              <w:rPr>
                <w:rFonts w:ascii="Arial" w:hAnsi="Arial" w:eastAsia="Arial" w:cs="Arial"/>
                <w:b/>
                <w:bCs/>
                <w:color w:val="FFFFFF"/>
                <w:sz w:val="21"/>
                <w:szCs w:val="21"/>
              </w:rPr>
              <w:t>Competitor Type</w:t>
            </w:r>
          </w:p>
        </w:tc>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65863797">
            <w:pPr>
              <w:jc w:val="left"/>
            </w:pPr>
            <w:r>
              <w:rPr>
                <w:rFonts w:ascii="Arial" w:hAnsi="Arial" w:eastAsia="Arial" w:cs="Arial"/>
                <w:b/>
                <w:bCs/>
                <w:color w:val="FFFFFF"/>
                <w:sz w:val="21"/>
                <w:szCs w:val="21"/>
              </w:rPr>
              <w:t>Example</w:t>
            </w:r>
          </w:p>
        </w:tc>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E3444FF">
            <w:pPr>
              <w:jc w:val="left"/>
            </w:pPr>
            <w:r>
              <w:rPr>
                <w:rFonts w:ascii="Arial" w:hAnsi="Arial" w:eastAsia="Arial" w:cs="Arial"/>
                <w:b/>
                <w:bCs/>
                <w:color w:val="FFFFFF"/>
                <w:sz w:val="21"/>
                <w:szCs w:val="21"/>
              </w:rPr>
              <w:t>Strength</w:t>
            </w:r>
          </w:p>
        </w:tc>
        <w:tc>
          <w:tcPr>
            <w:tcW w:w="21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26644EED">
            <w:pPr>
              <w:jc w:val="left"/>
            </w:pPr>
            <w:r>
              <w:rPr>
                <w:rFonts w:ascii="Arial" w:hAnsi="Arial" w:eastAsia="Arial" w:cs="Arial"/>
                <w:b/>
                <w:bCs/>
                <w:color w:val="FFFFFF"/>
                <w:sz w:val="21"/>
                <w:szCs w:val="21"/>
              </w:rPr>
              <w:t>Gap vs. GAH</w:t>
            </w:r>
          </w:p>
        </w:tc>
      </w:tr>
      <w:tr w14:paraId="530F2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229E70A1">
            <w:pPr>
              <w:jc w:val="left"/>
            </w:pPr>
            <w:r>
              <w:rPr>
                <w:rFonts w:ascii="Arial" w:hAnsi="Arial" w:eastAsia="Arial" w:cs="Arial"/>
                <w:b w:val="0"/>
                <w:bCs w:val="0"/>
                <w:color w:val="1A1A1A"/>
                <w:sz w:val="21"/>
                <w:szCs w:val="21"/>
              </w:rPr>
              <w:t>Community kitchens</w:t>
            </w:r>
          </w:p>
        </w:tc>
        <w:tc>
          <w:tcPr>
            <w:tcW w:w="22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259AC758">
            <w:pPr>
              <w:jc w:val="left"/>
            </w:pPr>
            <w:r>
              <w:rPr>
                <w:rFonts w:ascii="Arial" w:hAnsi="Arial" w:eastAsia="Arial" w:cs="Arial"/>
                <w:b w:val="0"/>
                <w:bCs w:val="0"/>
                <w:color w:val="1A1A1A"/>
                <w:sz w:val="21"/>
                <w:szCs w:val="21"/>
              </w:rPr>
              <w:t>Bristol Food Network spaces</w:t>
            </w:r>
          </w:p>
        </w:tc>
        <w:tc>
          <w:tcPr>
            <w:tcW w:w="22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A0B3C81">
            <w:pPr>
              <w:jc w:val="left"/>
            </w:pPr>
            <w:r>
              <w:rPr>
                <w:rFonts w:ascii="Arial" w:hAnsi="Arial" w:eastAsia="Arial" w:cs="Arial"/>
                <w:b w:val="0"/>
                <w:bCs w:val="0"/>
                <w:color w:val="1A1A1A"/>
                <w:sz w:val="21"/>
                <w:szCs w:val="21"/>
              </w:rPr>
              <w:t>Physical access, affordable</w:t>
            </w:r>
          </w:p>
        </w:tc>
        <w:tc>
          <w:tcPr>
            <w:tcW w:w="21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DEB466B">
            <w:pPr>
              <w:jc w:val="left"/>
            </w:pPr>
            <w:r>
              <w:rPr>
                <w:rFonts w:ascii="Arial" w:hAnsi="Arial" w:eastAsia="Arial" w:cs="Arial"/>
                <w:b w:val="0"/>
                <w:bCs w:val="0"/>
                <w:color w:val="1A1A1A"/>
                <w:sz w:val="21"/>
                <w:szCs w:val="21"/>
              </w:rPr>
              <w:t>No sustainability education, no digital layer, no cultural focus</w:t>
            </w:r>
          </w:p>
        </w:tc>
      </w:tr>
      <w:tr w14:paraId="56737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067CF6">
            <w:pPr>
              <w:jc w:val="left"/>
            </w:pPr>
            <w:r>
              <w:rPr>
                <w:rFonts w:ascii="Arial" w:hAnsi="Arial" w:eastAsia="Arial" w:cs="Arial"/>
                <w:b w:val="0"/>
                <w:bCs w:val="0"/>
                <w:color w:val="1A1A1A"/>
                <w:sz w:val="21"/>
                <w:szCs w:val="21"/>
              </w:rPr>
              <w:t>Mainstream food EdTech</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527362">
            <w:pPr>
              <w:jc w:val="left"/>
            </w:pPr>
            <w:r>
              <w:rPr>
                <w:rFonts w:ascii="Arial" w:hAnsi="Arial" w:eastAsia="Arial" w:cs="Arial"/>
                <w:b w:val="0"/>
                <w:bCs w:val="0"/>
                <w:color w:val="1A1A1A"/>
                <w:sz w:val="21"/>
                <w:szCs w:val="21"/>
              </w:rPr>
              <w:t>MasterClass, Sorted Food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49CDFA">
            <w:pPr>
              <w:jc w:val="left"/>
            </w:pPr>
            <w:r>
              <w:rPr>
                <w:rFonts w:ascii="Arial" w:hAnsi="Arial" w:eastAsia="Arial" w:cs="Arial"/>
                <w:b w:val="0"/>
                <w:bCs w:val="0"/>
                <w:color w:val="1A1A1A"/>
                <w:sz w:val="21"/>
                <w:szCs w:val="21"/>
              </w:rPr>
              <w:t>Strong digital subscription model</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3D2CDB">
            <w:pPr>
              <w:jc w:val="left"/>
            </w:pPr>
            <w:r>
              <w:rPr>
                <w:rFonts w:ascii="Arial" w:hAnsi="Arial" w:eastAsia="Arial" w:cs="Arial"/>
                <w:b w:val="0"/>
                <w:bCs w:val="0"/>
                <w:color w:val="1A1A1A"/>
                <w:sz w:val="21"/>
                <w:szCs w:val="21"/>
              </w:rPr>
              <w:t>No diaspora community focus; no sustainability mission; no physical hub</w:t>
            </w:r>
          </w:p>
        </w:tc>
      </w:tr>
      <w:tr w14:paraId="30362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29067AC7">
            <w:pPr>
              <w:jc w:val="left"/>
            </w:pPr>
            <w:r>
              <w:rPr>
                <w:rFonts w:ascii="Arial" w:hAnsi="Arial" w:eastAsia="Arial" w:cs="Arial"/>
                <w:b w:val="0"/>
                <w:bCs w:val="0"/>
                <w:color w:val="1A1A1A"/>
                <w:sz w:val="21"/>
                <w:szCs w:val="21"/>
              </w:rPr>
              <w:t>African/Caribbean food businesses</w:t>
            </w:r>
          </w:p>
        </w:tc>
        <w:tc>
          <w:tcPr>
            <w:tcW w:w="22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0770B41">
            <w:pPr>
              <w:jc w:val="left"/>
            </w:pPr>
            <w:r>
              <w:rPr>
                <w:rFonts w:ascii="Arial" w:hAnsi="Arial" w:eastAsia="Arial" w:cs="Arial"/>
                <w:b w:val="0"/>
                <w:bCs w:val="0"/>
                <w:color w:val="1A1A1A"/>
                <w:sz w:val="21"/>
                <w:szCs w:val="21"/>
              </w:rPr>
              <w:t>Local catering, pop-ups</w:t>
            </w:r>
          </w:p>
        </w:tc>
        <w:tc>
          <w:tcPr>
            <w:tcW w:w="22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77371D75">
            <w:pPr>
              <w:jc w:val="left"/>
            </w:pPr>
            <w:r>
              <w:rPr>
                <w:rFonts w:ascii="Arial" w:hAnsi="Arial" w:eastAsia="Arial" w:cs="Arial"/>
                <w:b w:val="0"/>
                <w:bCs w:val="0"/>
                <w:color w:val="1A1A1A"/>
                <w:sz w:val="21"/>
                <w:szCs w:val="21"/>
              </w:rPr>
              <w:t>Cultural authenticity</w:t>
            </w:r>
          </w:p>
        </w:tc>
        <w:tc>
          <w:tcPr>
            <w:tcW w:w="21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404DD7CB">
            <w:pPr>
              <w:jc w:val="left"/>
            </w:pPr>
            <w:r>
              <w:rPr>
                <w:rFonts w:ascii="Arial" w:hAnsi="Arial" w:eastAsia="Arial" w:cs="Arial"/>
                <w:b w:val="0"/>
                <w:bCs w:val="0"/>
                <w:color w:val="1A1A1A"/>
                <w:sz w:val="21"/>
                <w:szCs w:val="21"/>
              </w:rPr>
              <w:t>No green technology, no carbon tracking, no digital revenue</w:t>
            </w:r>
          </w:p>
        </w:tc>
      </w:tr>
      <w:tr w14:paraId="689DD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AF3B1B">
            <w:pPr>
              <w:jc w:val="left"/>
            </w:pPr>
            <w:r>
              <w:rPr>
                <w:rFonts w:ascii="Arial" w:hAnsi="Arial" w:eastAsia="Arial" w:cs="Arial"/>
                <w:b w:val="0"/>
                <w:bCs w:val="0"/>
                <w:color w:val="1A1A1A"/>
                <w:sz w:val="21"/>
                <w:szCs w:val="21"/>
              </w:rPr>
              <w:t>Sustainability consultancies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4D28C3">
            <w:pPr>
              <w:jc w:val="left"/>
            </w:pPr>
            <w:r>
              <w:rPr>
                <w:rFonts w:ascii="Arial" w:hAnsi="Arial" w:eastAsia="Arial" w:cs="Arial"/>
                <w:b w:val="0"/>
                <w:bCs w:val="0"/>
                <w:color w:val="1A1A1A"/>
                <w:sz w:val="21"/>
                <w:szCs w:val="21"/>
              </w:rPr>
              <w:t>Future Leap, Green Bristol</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B0D622">
            <w:pPr>
              <w:jc w:val="left"/>
            </w:pPr>
            <w:r>
              <w:rPr>
                <w:rFonts w:ascii="Arial" w:hAnsi="Arial" w:eastAsia="Arial" w:cs="Arial"/>
                <w:b w:val="0"/>
                <w:bCs w:val="0"/>
                <w:color w:val="1A1A1A"/>
                <w:sz w:val="21"/>
                <w:szCs w:val="21"/>
              </w:rPr>
              <w:t>Strong sustainability expertise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DC3E2B">
            <w:pPr>
              <w:jc w:val="left"/>
            </w:pPr>
            <w:r>
              <w:rPr>
                <w:rFonts w:ascii="Arial" w:hAnsi="Arial" w:eastAsia="Arial" w:cs="Arial"/>
                <w:b w:val="0"/>
                <w:bCs w:val="0"/>
                <w:color w:val="1A1A1A"/>
                <w:sz w:val="21"/>
                <w:szCs w:val="21"/>
              </w:rPr>
              <w:t>No food/cultural community focus; no practical kitchen offer</w:t>
            </w:r>
          </w:p>
        </w:tc>
      </w:tr>
    </w:tbl>
    <w:p w14:paraId="429A1596">
      <w:pPr>
        <w:spacing w:before="60" w:after="0"/>
      </w:pPr>
    </w:p>
    <w:p w14:paraId="1BAA5FAE">
      <w:pPr>
        <w:spacing w:before="80" w:after="100"/>
      </w:pPr>
      <w:r>
        <w:rPr>
          <w:rFonts w:ascii="Arial" w:hAnsi="Arial" w:eastAsia="Arial" w:cs="Arial"/>
          <w:color w:val="1A1A1A"/>
          <w:sz w:val="22"/>
          <w:szCs w:val="22"/>
        </w:rPr>
        <w:t>Green Africa Hub occupies the intersection of all four categories — and competes directly with none of them. Our confirmed partnership with Future Leap reinforces rather than conflicts with this positioning.</w:t>
      </w:r>
    </w:p>
    <w:p w14:paraId="7BB7F260">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26549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shd w:val="clear" w:color="auto" w:fill="1A6B3C"/>
            <w:tcMar>
              <w:top w:w="160" w:type="dxa"/>
              <w:left w:w="200" w:type="dxa"/>
              <w:bottom w:w="160" w:type="dxa"/>
              <w:right w:w="200" w:type="dxa"/>
            </w:tcMar>
            <w:vAlign w:val="center"/>
          </w:tcPr>
          <w:p w14:paraId="55CE5CA9">
            <w:pPr>
              <w:jc w:val="center"/>
            </w:pPr>
            <w:r>
              <w:rPr>
                <w:rFonts w:ascii="Georgia" w:hAnsi="Georgia" w:eastAsia="Georgia" w:cs="Georgia"/>
                <w:b/>
                <w:bCs/>
                <w:color w:val="FFFFFF"/>
                <w:sz w:val="36"/>
                <w:szCs w:val="36"/>
              </w:rPr>
              <w:t>02</w:t>
            </w:r>
          </w:p>
        </w:tc>
        <w:tc>
          <w:tcPr>
            <w:tcW w:w="8160" w:type="dxa"/>
            <w:tcBorders>
              <w:top w:val="nil"/>
              <w:left w:val="nil"/>
              <w:bottom w:val="nil"/>
              <w:right w:val="nil"/>
            </w:tcBorders>
            <w:shd w:val="clear" w:color="auto" w:fill="0D3D24"/>
            <w:tcMar>
              <w:top w:w="160" w:type="dxa"/>
              <w:left w:w="240" w:type="dxa"/>
              <w:bottom w:w="160" w:type="dxa"/>
              <w:right w:w="200" w:type="dxa"/>
            </w:tcMar>
            <w:vAlign w:val="center"/>
          </w:tcPr>
          <w:p w14:paraId="047B5FE6">
            <w:r>
              <w:rPr>
                <w:rFonts w:ascii="Georgia" w:hAnsi="Georgia" w:eastAsia="Georgia" w:cs="Georgia"/>
                <w:b/>
                <w:bCs/>
                <w:color w:val="FFFFFF"/>
                <w:sz w:val="28"/>
                <w:szCs w:val="28"/>
              </w:rPr>
              <w:t>Marketing Strategy</w:t>
            </w:r>
          </w:p>
        </w:tc>
      </w:tr>
    </w:tbl>
    <w:p w14:paraId="78002BAB">
      <w:pPr>
        <w:spacing w:before="100" w:after="0"/>
      </w:pPr>
    </w:p>
    <w:p w14:paraId="394468FB">
      <w:pPr>
        <w:spacing w:before="80" w:after="100"/>
      </w:pPr>
      <w:r>
        <w:rPr>
          <w:rFonts w:ascii="Arial" w:hAnsi="Arial" w:eastAsia="Arial" w:cs="Arial"/>
          <w:color w:val="1A1A1A"/>
          <w:sz w:val="22"/>
          <w:szCs w:val="22"/>
        </w:rPr>
        <w:t>Our marketing strategy is built around a simple truth: the African and Caribbean community in Bristol is tight-knit, trust-driven, and word-of-mouth led. No amount of digital advertising will substitute for showing up, demonstrating value, and earning credibility within the community. We therefore lead with community presence and partnership, and amplify digitally.</w:t>
      </w:r>
    </w:p>
    <w:p w14:paraId="57F9835B">
      <w:pPr>
        <w:spacing w:before="80" w:after="0"/>
      </w:pPr>
    </w:p>
    <w:p w14:paraId="59C0A7EB">
      <w:pPr>
        <w:pStyle w:val="3"/>
        <w:spacing w:before="300" w:after="100"/>
      </w:pPr>
      <w:r>
        <w:rPr>
          <w:rFonts w:ascii="Georgia" w:hAnsi="Georgia" w:eastAsia="Georgia" w:cs="Georgia"/>
          <w:b/>
          <w:bCs/>
          <w:color w:val="2E7D52"/>
          <w:sz w:val="26"/>
          <w:szCs w:val="26"/>
        </w:rPr>
        <w:t>The Zero Moment of Truth (ZMOT)</w:t>
      </w:r>
    </w:p>
    <w:p w14:paraId="131C33FF">
      <w:pPr>
        <w:spacing w:before="80" w:after="100"/>
      </w:pPr>
      <w:r>
        <w:rPr>
          <w:rFonts w:ascii="Arial" w:hAnsi="Arial" w:eastAsia="Arial" w:cs="Arial"/>
          <w:color w:val="1A1A1A"/>
          <w:sz w:val="22"/>
          <w:szCs w:val="22"/>
        </w:rPr>
        <w:t>A potential customer decides to engage with Green Africa Hub at the moment they encounter us in multiple places and feel that this is something they can trust and benefit from. We engineer that moment through four channels:</w:t>
      </w:r>
    </w:p>
    <w:p w14:paraId="2B455699">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400"/>
        <w:gridCol w:w="6360"/>
      </w:tblGrid>
      <w:tr w14:paraId="0D5D8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BEA1D76">
            <w:pPr>
              <w:jc w:val="left"/>
            </w:pPr>
            <w:r>
              <w:rPr>
                <w:rFonts w:ascii="Arial" w:hAnsi="Arial" w:eastAsia="Arial" w:cs="Arial"/>
                <w:b/>
                <w:bCs/>
                <w:color w:val="FFFFFF"/>
                <w:sz w:val="21"/>
                <w:szCs w:val="21"/>
              </w:rPr>
              <w:t>#</w:t>
            </w:r>
          </w:p>
        </w:tc>
        <w:tc>
          <w:tcPr>
            <w:tcW w:w="24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77E1EB7A">
            <w:pPr>
              <w:jc w:val="left"/>
            </w:pPr>
            <w:r>
              <w:rPr>
                <w:rFonts w:ascii="Arial" w:hAnsi="Arial" w:eastAsia="Arial" w:cs="Arial"/>
                <w:b/>
                <w:bCs/>
                <w:color w:val="FFFFFF"/>
                <w:sz w:val="21"/>
                <w:szCs w:val="21"/>
              </w:rPr>
              <w:t>Channel</w:t>
            </w:r>
          </w:p>
        </w:tc>
        <w:tc>
          <w:tcPr>
            <w:tcW w:w="6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FD9DB77">
            <w:pPr>
              <w:jc w:val="left"/>
            </w:pPr>
            <w:r>
              <w:rPr>
                <w:rFonts w:ascii="Arial" w:hAnsi="Arial" w:eastAsia="Arial" w:cs="Arial"/>
                <w:b/>
                <w:bCs/>
                <w:color w:val="FFFFFF"/>
                <w:sz w:val="21"/>
                <w:szCs w:val="21"/>
              </w:rPr>
              <w:t>How We Use It</w:t>
            </w:r>
          </w:p>
        </w:tc>
      </w:tr>
      <w:tr w14:paraId="07D0E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52131C23">
            <w:pPr>
              <w:jc w:val="center"/>
            </w:pPr>
            <w:r>
              <w:rPr>
                <w:rFonts w:ascii="Arial" w:hAnsi="Arial" w:eastAsia="Arial" w:cs="Arial"/>
                <w:b/>
                <w:bCs/>
                <w:color w:val="2E7D52"/>
                <w:sz w:val="21"/>
                <w:szCs w:val="21"/>
              </w:rPr>
              <w:t>1</w:t>
            </w:r>
          </w:p>
        </w:tc>
        <w:tc>
          <w:tcPr>
            <w:tcW w:w="24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9274262">
            <w:pPr>
              <w:jc w:val="left"/>
            </w:pPr>
            <w:r>
              <w:rPr>
                <w:rFonts w:ascii="Arial" w:hAnsi="Arial" w:eastAsia="Arial" w:cs="Arial"/>
                <w:b/>
                <w:bCs/>
                <w:color w:val="0D3D24"/>
                <w:sz w:val="21"/>
                <w:szCs w:val="21"/>
              </w:rPr>
              <w:t>Community Events</w:t>
            </w:r>
          </w:p>
        </w:tc>
        <w:tc>
          <w:tcPr>
            <w:tcW w:w="63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7926D526">
            <w:pPr>
              <w:jc w:val="left"/>
            </w:pPr>
            <w:r>
              <w:rPr>
                <w:rFonts w:ascii="Arial" w:hAnsi="Arial" w:eastAsia="Arial" w:cs="Arial"/>
                <w:b w:val="0"/>
                <w:bCs w:val="0"/>
                <w:color w:val="1A1A1A"/>
                <w:sz w:val="21"/>
                <w:szCs w:val="21"/>
              </w:rPr>
              <w:t>Free sustainability cooking demonstrations at Bristol community events, cultural festivals (e.g. St Pauls Carnival circuit), mosques, churches, and community centres. This is our most powerful ZMOT trigger — people taste the food, meet Grace, and see the technology working in real time.</w:t>
            </w:r>
          </w:p>
        </w:tc>
      </w:tr>
      <w:tr w14:paraId="1AC19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91DFC8">
            <w:pPr>
              <w:jc w:val="center"/>
            </w:pPr>
            <w:r>
              <w:rPr>
                <w:rFonts w:ascii="Arial" w:hAnsi="Arial" w:eastAsia="Arial" w:cs="Arial"/>
                <w:b/>
                <w:bCs/>
                <w:color w:val="2E7D52"/>
                <w:sz w:val="21"/>
                <w:szCs w:val="21"/>
              </w:rPr>
              <w:t>2</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6B9025">
            <w:pPr>
              <w:jc w:val="left"/>
            </w:pPr>
            <w:r>
              <w:rPr>
                <w:rFonts w:ascii="Arial" w:hAnsi="Arial" w:eastAsia="Arial" w:cs="Arial"/>
                <w:b/>
                <w:bCs/>
                <w:color w:val="0D3D24"/>
                <w:sz w:val="21"/>
                <w:szCs w:val="21"/>
              </w:rPr>
              <w:t>Future Leap Network</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28F7EF">
            <w:pPr>
              <w:jc w:val="left"/>
            </w:pPr>
            <w:r>
              <w:rPr>
                <w:rFonts w:ascii="Arial" w:hAnsi="Arial" w:eastAsia="Arial" w:cs="Arial"/>
                <w:b w:val="0"/>
                <w:bCs w:val="0"/>
                <w:color w:val="1A1A1A"/>
                <w:sz w:val="21"/>
                <w:szCs w:val="21"/>
              </w:rPr>
              <w:t>Our confirmed partner Future Leap has an established Bristol business and sustainability network. Co-hosting events and cross-promotion within their ecosystem gives us immediate credibility with both community and institutional audiences.</w:t>
            </w:r>
          </w:p>
        </w:tc>
      </w:tr>
      <w:tr w14:paraId="23D5E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47C4A0F6">
            <w:pPr>
              <w:jc w:val="center"/>
            </w:pPr>
            <w:r>
              <w:rPr>
                <w:rFonts w:ascii="Arial" w:hAnsi="Arial" w:eastAsia="Arial" w:cs="Arial"/>
                <w:b/>
                <w:bCs/>
                <w:color w:val="2E7D52"/>
                <w:sz w:val="21"/>
                <w:szCs w:val="21"/>
              </w:rPr>
              <w:t>3</w:t>
            </w:r>
          </w:p>
        </w:tc>
        <w:tc>
          <w:tcPr>
            <w:tcW w:w="24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6B1B0807">
            <w:pPr>
              <w:jc w:val="left"/>
            </w:pPr>
            <w:r>
              <w:rPr>
                <w:rFonts w:ascii="Arial" w:hAnsi="Arial" w:eastAsia="Arial" w:cs="Arial"/>
                <w:b/>
                <w:bCs/>
                <w:color w:val="0D3D24"/>
                <w:sz w:val="21"/>
                <w:szCs w:val="21"/>
              </w:rPr>
              <w:t>Social Media (Video-led)</w:t>
            </w:r>
          </w:p>
        </w:tc>
        <w:tc>
          <w:tcPr>
            <w:tcW w:w="63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7910AC23">
            <w:pPr>
              <w:jc w:val="left"/>
            </w:pPr>
            <w:r>
              <w:rPr>
                <w:rFonts w:ascii="Arial" w:hAnsi="Arial" w:eastAsia="Arial" w:cs="Arial"/>
                <w:b w:val="0"/>
                <w:bCs w:val="0"/>
                <w:color w:val="1A1A1A"/>
                <w:sz w:val="21"/>
                <w:szCs w:val="21"/>
              </w:rPr>
              <w:t>Short-form cooking and sustainability videos on Instagram Reels and YouTube Shorts. Content focuses on Smart-Prep recipes, energy savings demonstrations, and founder story. Video drives subscription sign-ups and session bookings. Targeted to Bristol first, then national African/Caribbean communities.</w:t>
            </w:r>
          </w:p>
        </w:tc>
      </w:tr>
      <w:tr w14:paraId="630B5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6E8D4E">
            <w:pPr>
              <w:jc w:val="center"/>
            </w:pPr>
            <w:r>
              <w:rPr>
                <w:rFonts w:ascii="Arial" w:hAnsi="Arial" w:eastAsia="Arial" w:cs="Arial"/>
                <w:b/>
                <w:bCs/>
                <w:color w:val="2E7D52"/>
                <w:sz w:val="21"/>
                <w:szCs w:val="21"/>
              </w:rPr>
              <w:t>4</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86531B">
            <w:pPr>
              <w:jc w:val="left"/>
            </w:pPr>
            <w:r>
              <w:rPr>
                <w:rFonts w:ascii="Arial" w:hAnsi="Arial" w:eastAsia="Arial" w:cs="Arial"/>
                <w:b/>
                <w:bCs/>
                <w:color w:val="0D3D24"/>
                <w:sz w:val="21"/>
                <w:szCs w:val="21"/>
              </w:rPr>
              <w:t>PR &amp; Local Media</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2DFBBB">
            <w:pPr>
              <w:jc w:val="left"/>
            </w:pPr>
            <w:r>
              <w:rPr>
                <w:rFonts w:ascii="Arial" w:hAnsi="Arial" w:eastAsia="Arial" w:cs="Arial"/>
                <w:b w:val="0"/>
                <w:bCs w:val="0"/>
                <w:color w:val="1A1A1A"/>
                <w:sz w:val="21"/>
                <w:szCs w:val="21"/>
              </w:rPr>
              <w:t>Bristol Post, African/Caribbean UK media outlets (New African Magazine, The Voice), and local BBC Bristol coverage. Grace's founder story — Central Bank of Nigeria to Bristol Smart Kitchen — is an inherently compelling media narrative. Stories to be pitched at launch and at key milestones.</w:t>
            </w:r>
          </w:p>
        </w:tc>
      </w:tr>
    </w:tbl>
    <w:p w14:paraId="538E7CE7">
      <w:pPr>
        <w:spacing w:before="80" w:after="0"/>
      </w:pPr>
    </w:p>
    <w:p w14:paraId="3CB46C72">
      <w:pPr>
        <w:pStyle w:val="3"/>
        <w:spacing w:before="300" w:after="100"/>
      </w:pPr>
      <w:r>
        <w:rPr>
          <w:rFonts w:ascii="Georgia" w:hAnsi="Georgia" w:eastAsia="Georgia" w:cs="Georgia"/>
          <w:b/>
          <w:bCs/>
          <w:color w:val="2E7D52"/>
          <w:sz w:val="26"/>
          <w:szCs w:val="26"/>
        </w:rPr>
        <w:t>Digital Presence</w:t>
      </w:r>
    </w:p>
    <w:p w14:paraId="3B6D5B05">
      <w:pPr>
        <w:spacing w:before="80" w:after="100"/>
      </w:pPr>
      <w:r>
        <w:rPr>
          <w:rFonts w:ascii="Arial" w:hAnsi="Arial" w:eastAsia="Arial" w:cs="Arial"/>
          <w:color w:val="1A1A1A"/>
          <w:sz w:val="22"/>
          <w:szCs w:val="22"/>
        </w:rPr>
        <w:t>A professional website with online booking (for in-person sessions), subscription sign-up, and a free carbon-saving resources section. The free content serves as a lead magnet — potential subscribers can access introductory material before committing to a paid plan. Email newsletter (monthly) to nurture the subscriber pipeline. Social media: Instagram, Facebook (strong in African/Caribbean community), YouTube.</w:t>
      </w:r>
    </w:p>
    <w:p w14:paraId="18A68C29">
      <w:pPr>
        <w:spacing w:before="80" w:after="0"/>
      </w:pPr>
    </w:p>
    <w:p w14:paraId="781AFF30">
      <w:pPr>
        <w:pStyle w:val="3"/>
        <w:spacing w:before="300" w:after="100"/>
      </w:pPr>
      <w:r>
        <w:rPr>
          <w:rFonts w:ascii="Georgia" w:hAnsi="Georgia" w:eastAsia="Georgia" w:cs="Georgia"/>
          <w:b/>
          <w:bCs/>
          <w:color w:val="2E7D52"/>
          <w:sz w:val="26"/>
          <w:szCs w:val="26"/>
        </w:rPr>
        <w:t>Institutional Marketing</w:t>
      </w:r>
    </w:p>
    <w:p w14:paraId="03244F8E">
      <w:pPr>
        <w:spacing w:before="80" w:after="100"/>
      </w:pPr>
      <w:r>
        <w:rPr>
          <w:rFonts w:ascii="Arial" w:hAnsi="Arial" w:eastAsia="Arial" w:cs="Arial"/>
          <w:color w:val="1A1A1A"/>
          <w:sz w:val="22"/>
          <w:szCs w:val="22"/>
        </w:rPr>
        <w:t>Sustainability consulting and B2B session packages will be marketed directly to Bristol City Council departments, the NHS (Bristol, North Somerset and South Gloucestershire ICB), schools and colleges, and local authority procurement. Future Leap's existing institutional relationships provide warm introductions to these channels from Month 7 onwards.</w:t>
      </w:r>
    </w:p>
    <w:p w14:paraId="5001D5B8">
      <w:pPr>
        <w:spacing w:before="80" w:after="0"/>
      </w:pPr>
    </w:p>
    <w:p w14:paraId="03298044">
      <w:pPr>
        <w:pStyle w:val="3"/>
        <w:spacing w:before="300" w:after="100"/>
      </w:pPr>
      <w:r>
        <w:rPr>
          <w:rFonts w:ascii="Georgia" w:hAnsi="Georgia" w:eastAsia="Georgia" w:cs="Georgia"/>
          <w:b/>
          <w:bCs/>
          <w:color w:val="2E7D52"/>
          <w:sz w:val="26"/>
          <w:szCs w:val="26"/>
        </w:rPr>
        <w:t>Marketing Budget &amp; Timeline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4360"/>
      </w:tblGrid>
      <w:tr w14:paraId="5CE62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E0A9657">
            <w:pPr>
              <w:jc w:val="left"/>
            </w:pPr>
            <w:r>
              <w:rPr>
                <w:rFonts w:ascii="Arial" w:hAnsi="Arial" w:eastAsia="Arial" w:cs="Arial"/>
                <w:b/>
                <w:bCs/>
                <w:color w:val="FFFFFF"/>
                <w:sz w:val="21"/>
                <w:szCs w:val="21"/>
              </w:rPr>
              <w:t>Activity</w:t>
            </w:r>
          </w:p>
        </w:tc>
        <w:tc>
          <w:tcPr>
            <w:tcW w:w="20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272B90EC">
            <w:pPr>
              <w:jc w:val="left"/>
            </w:pPr>
            <w:r>
              <w:rPr>
                <w:rFonts w:ascii="Arial" w:hAnsi="Arial" w:eastAsia="Arial" w:cs="Arial"/>
                <w:b/>
                <w:bCs/>
                <w:color w:val="FFFFFF"/>
                <w:sz w:val="21"/>
                <w:szCs w:val="21"/>
              </w:rPr>
              <w:t>Budget (Y1)</w:t>
            </w:r>
          </w:p>
        </w:tc>
        <w:tc>
          <w:tcPr>
            <w:tcW w:w="4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3F846ED">
            <w:pPr>
              <w:jc w:val="left"/>
            </w:pPr>
            <w:r>
              <w:rPr>
                <w:rFonts w:ascii="Arial" w:hAnsi="Arial" w:eastAsia="Arial" w:cs="Arial"/>
                <w:b/>
                <w:bCs/>
                <w:color w:val="FFFFFF"/>
                <w:sz w:val="21"/>
                <w:szCs w:val="21"/>
              </w:rPr>
              <w:t>Expected Outcome</w:t>
            </w:r>
          </w:p>
        </w:tc>
      </w:tr>
      <w:tr w14:paraId="6B6FC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654BEEED">
            <w:pPr>
              <w:jc w:val="left"/>
            </w:pPr>
            <w:r>
              <w:rPr>
                <w:rFonts w:ascii="Arial" w:hAnsi="Arial" w:eastAsia="Arial" w:cs="Arial"/>
                <w:b w:val="0"/>
                <w:bCs w:val="0"/>
                <w:color w:val="1A1A1A"/>
                <w:sz w:val="21"/>
                <w:szCs w:val="21"/>
              </w:rPr>
              <w:t>Community events / demos</w:t>
            </w:r>
          </w:p>
        </w:tc>
        <w:tc>
          <w:tcPr>
            <w:tcW w:w="20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85DA546">
            <w:pPr>
              <w:jc w:val="right"/>
            </w:pPr>
            <w:r>
              <w:rPr>
                <w:rFonts w:ascii="Arial" w:hAnsi="Arial" w:eastAsia="Arial" w:cs="Arial"/>
                <w:b w:val="0"/>
                <w:bCs w:val="0"/>
                <w:color w:val="1A1A1A"/>
                <w:sz w:val="21"/>
                <w:szCs w:val="21"/>
              </w:rPr>
              <w:t>£400</w:t>
            </w:r>
          </w:p>
        </w:tc>
        <w:tc>
          <w:tcPr>
            <w:tcW w:w="43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CD5340D">
            <w:pPr>
              <w:jc w:val="left"/>
            </w:pPr>
            <w:r>
              <w:rPr>
                <w:rFonts w:ascii="Arial" w:hAnsi="Arial" w:eastAsia="Arial" w:cs="Arial"/>
                <w:b w:val="0"/>
                <w:bCs w:val="0"/>
                <w:color w:val="1A1A1A"/>
                <w:sz w:val="21"/>
                <w:szCs w:val="21"/>
              </w:rPr>
              <w:t>50+ direct community contacts per event; 10–20 session bookings per event</w:t>
            </w:r>
          </w:p>
        </w:tc>
      </w:tr>
      <w:tr w14:paraId="4AC83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BC1351">
            <w:pPr>
              <w:jc w:val="left"/>
            </w:pPr>
            <w:r>
              <w:rPr>
                <w:rFonts w:ascii="Arial" w:hAnsi="Arial" w:eastAsia="Arial" w:cs="Arial"/>
                <w:b w:val="0"/>
                <w:bCs w:val="0"/>
                <w:color w:val="1A1A1A"/>
                <w:sz w:val="21"/>
                <w:szCs w:val="21"/>
              </w:rPr>
              <w:t>Social media content creation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BCF699">
            <w:pPr>
              <w:jc w:val="right"/>
            </w:pPr>
            <w:r>
              <w:rPr>
                <w:rFonts w:ascii="Arial" w:hAnsi="Arial" w:eastAsia="Arial" w:cs="Arial"/>
                <w:b w:val="0"/>
                <w:bCs w:val="0"/>
                <w:color w:val="1A1A1A"/>
                <w:sz w:val="21"/>
                <w:szCs w:val="21"/>
              </w:rPr>
              <w:t>£300</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87C6AD">
            <w:pPr>
              <w:jc w:val="left"/>
            </w:pPr>
            <w:r>
              <w:rPr>
                <w:rFonts w:ascii="Arial" w:hAnsi="Arial" w:eastAsia="Arial" w:cs="Arial"/>
                <w:b w:val="0"/>
                <w:bCs w:val="0"/>
                <w:color w:val="1A1A1A"/>
                <w:sz w:val="21"/>
                <w:szCs w:val="21"/>
              </w:rPr>
              <w:t>500+ followers within 3 months; 10–15% conversion to digital subscriber</w:t>
            </w:r>
          </w:p>
        </w:tc>
      </w:tr>
      <w:tr w14:paraId="4F155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254408E">
            <w:pPr>
              <w:jc w:val="left"/>
            </w:pPr>
            <w:r>
              <w:rPr>
                <w:rFonts w:ascii="Arial" w:hAnsi="Arial" w:eastAsia="Arial" w:cs="Arial"/>
                <w:b w:val="0"/>
                <w:bCs w:val="0"/>
                <w:color w:val="1A1A1A"/>
                <w:sz w:val="21"/>
                <w:szCs w:val="21"/>
              </w:rPr>
              <w:t>PR / media outreach</w:t>
            </w:r>
          </w:p>
        </w:tc>
        <w:tc>
          <w:tcPr>
            <w:tcW w:w="20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1D72F48">
            <w:pPr>
              <w:jc w:val="right"/>
            </w:pPr>
            <w:r>
              <w:rPr>
                <w:rFonts w:ascii="Arial" w:hAnsi="Arial" w:eastAsia="Arial" w:cs="Arial"/>
                <w:b w:val="0"/>
                <w:bCs w:val="0"/>
                <w:color w:val="1A1A1A"/>
                <w:sz w:val="21"/>
                <w:szCs w:val="21"/>
              </w:rPr>
              <w:t>£200</w:t>
            </w:r>
          </w:p>
        </w:tc>
        <w:tc>
          <w:tcPr>
            <w:tcW w:w="43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6EAF1BA">
            <w:pPr>
              <w:jc w:val="left"/>
            </w:pPr>
            <w:r>
              <w:rPr>
                <w:rFonts w:ascii="Arial" w:hAnsi="Arial" w:eastAsia="Arial" w:cs="Arial"/>
                <w:b w:val="0"/>
                <w:bCs w:val="0"/>
                <w:color w:val="1A1A1A"/>
                <w:sz w:val="21"/>
                <w:szCs w:val="21"/>
              </w:rPr>
              <w:t>3+ media placements in Y1; brand credibility and SEO benefit</w:t>
            </w:r>
          </w:p>
        </w:tc>
      </w:tr>
      <w:tr w14:paraId="453F6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5FFCB3">
            <w:pPr>
              <w:jc w:val="left"/>
            </w:pPr>
            <w:r>
              <w:rPr>
                <w:rFonts w:ascii="Arial" w:hAnsi="Arial" w:eastAsia="Arial" w:cs="Arial"/>
                <w:b w:val="0"/>
                <w:bCs w:val="0"/>
                <w:color w:val="1A1A1A"/>
                <w:sz w:val="21"/>
                <w:szCs w:val="21"/>
              </w:rPr>
              <w:t>Website &amp; branding</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43D8A3">
            <w:pPr>
              <w:jc w:val="right"/>
            </w:pPr>
            <w:r>
              <w:rPr>
                <w:rFonts w:ascii="Arial" w:hAnsi="Arial" w:eastAsia="Arial" w:cs="Arial"/>
                <w:b w:val="0"/>
                <w:bCs w:val="0"/>
                <w:color w:val="1A1A1A"/>
                <w:sz w:val="21"/>
                <w:szCs w:val="21"/>
              </w:rPr>
              <w:t>£300</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F0F3C4">
            <w:pPr>
              <w:jc w:val="left"/>
            </w:pPr>
            <w:r>
              <w:rPr>
                <w:rFonts w:ascii="Arial" w:hAnsi="Arial" w:eastAsia="Arial" w:cs="Arial"/>
                <w:b w:val="0"/>
                <w:bCs w:val="0"/>
                <w:color w:val="1A1A1A"/>
                <w:sz w:val="21"/>
                <w:szCs w:val="21"/>
              </w:rPr>
              <w:t>Professional online presence with booking and subscription capability</w:t>
            </w:r>
          </w:p>
        </w:tc>
      </w:tr>
      <w:tr w14:paraId="46333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0242256D">
            <w:pPr>
              <w:jc w:val="left"/>
            </w:pPr>
            <w:r>
              <w:rPr>
                <w:rFonts w:ascii="Arial" w:hAnsi="Arial" w:eastAsia="Arial" w:cs="Arial"/>
                <w:b/>
                <w:bCs/>
                <w:color w:val="0D3D24"/>
                <w:sz w:val="21"/>
                <w:szCs w:val="21"/>
              </w:rPr>
              <w:t>Total</w:t>
            </w:r>
          </w:p>
        </w:tc>
        <w:tc>
          <w:tcPr>
            <w:tcW w:w="20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2EA334E1">
            <w:pPr>
              <w:jc w:val="right"/>
            </w:pPr>
            <w:r>
              <w:rPr>
                <w:rFonts w:ascii="Arial" w:hAnsi="Arial" w:eastAsia="Arial" w:cs="Arial"/>
                <w:b/>
                <w:bCs/>
                <w:color w:val="0D3D24"/>
                <w:sz w:val="21"/>
                <w:szCs w:val="21"/>
              </w:rPr>
              <w:t>£1,200</w:t>
            </w:r>
          </w:p>
        </w:tc>
        <w:tc>
          <w:tcPr>
            <w:tcW w:w="436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04B139BE">
            <w:pPr>
              <w:jc w:val="left"/>
            </w:pPr>
          </w:p>
        </w:tc>
      </w:tr>
    </w:tbl>
    <w:p w14:paraId="462FDF8D">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2877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shd w:val="clear" w:color="auto" w:fill="1A6B3C"/>
            <w:tcMar>
              <w:top w:w="160" w:type="dxa"/>
              <w:left w:w="200" w:type="dxa"/>
              <w:bottom w:w="160" w:type="dxa"/>
              <w:right w:w="200" w:type="dxa"/>
            </w:tcMar>
            <w:vAlign w:val="center"/>
          </w:tcPr>
          <w:p w14:paraId="086C4D19">
            <w:pPr>
              <w:jc w:val="center"/>
            </w:pPr>
            <w:r>
              <w:rPr>
                <w:rFonts w:ascii="Georgia" w:hAnsi="Georgia" w:eastAsia="Georgia" w:cs="Georgia"/>
                <w:b/>
                <w:bCs/>
                <w:color w:val="FFFFFF"/>
                <w:sz w:val="36"/>
                <w:szCs w:val="36"/>
              </w:rPr>
              <w:t>03</w:t>
            </w:r>
          </w:p>
        </w:tc>
        <w:tc>
          <w:tcPr>
            <w:tcW w:w="8160" w:type="dxa"/>
            <w:tcBorders>
              <w:top w:val="nil"/>
              <w:left w:val="nil"/>
              <w:bottom w:val="nil"/>
              <w:right w:val="nil"/>
            </w:tcBorders>
            <w:shd w:val="clear" w:color="auto" w:fill="0D3D24"/>
            <w:tcMar>
              <w:top w:w="160" w:type="dxa"/>
              <w:left w:w="240" w:type="dxa"/>
              <w:bottom w:w="160" w:type="dxa"/>
              <w:right w:w="200" w:type="dxa"/>
            </w:tcMar>
            <w:vAlign w:val="center"/>
          </w:tcPr>
          <w:p w14:paraId="70790050">
            <w:r>
              <w:rPr>
                <w:rFonts w:ascii="Georgia" w:hAnsi="Georgia" w:eastAsia="Georgia" w:cs="Georgia"/>
                <w:b/>
                <w:bCs/>
                <w:color w:val="FFFFFF"/>
                <w:sz w:val="28"/>
                <w:szCs w:val="28"/>
              </w:rPr>
              <w:t>Sales Strategy</w:t>
            </w:r>
          </w:p>
        </w:tc>
      </w:tr>
    </w:tbl>
    <w:p w14:paraId="6211735D">
      <w:pPr>
        <w:spacing w:before="100" w:after="0"/>
      </w:pPr>
    </w:p>
    <w:p w14:paraId="3E34D477">
      <w:pPr>
        <w:spacing w:before="80" w:after="100"/>
      </w:pPr>
      <w:r>
        <w:rPr>
          <w:rFonts w:ascii="Arial" w:hAnsi="Arial" w:eastAsia="Arial" w:cs="Arial"/>
          <w:color w:val="1A1A1A"/>
          <w:sz w:val="22"/>
          <w:szCs w:val="22"/>
        </w:rPr>
        <w:t>The most important principle in our sales approach is that we do not wait until the Hub is built to sell. We are already selling — in every community conversation, every cooking demonstration, every sustainability lecture Grace delivers. The goal is to arrive at launch day with a waiting list, not an empty room.</w:t>
      </w:r>
    </w:p>
    <w:p w14:paraId="3538D3B1">
      <w:pPr>
        <w:spacing w:before="80" w:after="0"/>
      </w:pPr>
    </w:p>
    <w:p w14:paraId="78075429">
      <w:pPr>
        <w:pStyle w:val="3"/>
        <w:spacing w:before="300" w:after="100"/>
      </w:pPr>
      <w:r>
        <w:rPr>
          <w:rFonts w:ascii="Georgia" w:hAnsi="Georgia" w:eastAsia="Georgia" w:cs="Georgia"/>
          <w:b/>
          <w:bCs/>
          <w:color w:val="2E7D52"/>
          <w:sz w:val="26"/>
          <w:szCs w:val="26"/>
        </w:rPr>
        <w:t>Pre-Launch Sales (Months 1–3)</w:t>
      </w:r>
    </w:p>
    <w:p w14:paraId="4E70AE9C">
      <w:pPr>
        <w:pStyle w:val="14"/>
        <w:numPr>
          <w:ilvl w:val="0"/>
          <w:numId w:val="1"/>
        </w:numPr>
        <w:spacing w:before="50" w:after="50"/>
      </w:pPr>
      <w:r>
        <w:rPr>
          <w:rFonts w:ascii="Arial" w:hAnsi="Arial" w:eastAsia="Arial" w:cs="Arial"/>
          <w:b w:val="0"/>
          <w:bCs w:val="0"/>
          <w:color w:val="1A1A1A"/>
          <w:sz w:val="22"/>
          <w:szCs w:val="22"/>
        </w:rPr>
        <w:t>Run two free community taster sessions at Future Leap facilities, capturing email sign-ups and pre-bookings for paid sessions.</w:t>
      </w:r>
    </w:p>
    <w:p w14:paraId="43A985C7">
      <w:pPr>
        <w:pStyle w:val="14"/>
        <w:numPr>
          <w:ilvl w:val="0"/>
          <w:numId w:val="1"/>
        </w:numPr>
        <w:spacing w:before="50" w:after="50"/>
      </w:pPr>
      <w:r>
        <w:rPr>
          <w:rFonts w:ascii="Arial" w:hAnsi="Arial" w:eastAsia="Arial" w:cs="Arial"/>
          <w:b w:val="0"/>
          <w:bCs w:val="0"/>
          <w:color w:val="1A1A1A"/>
          <w:sz w:val="22"/>
          <w:szCs w:val="22"/>
        </w:rPr>
        <w:t>Launch a founding member offer: first 20 kitchen members receive 20% discount on membership in exchange for upfront commitment and testimonials.</w:t>
      </w:r>
    </w:p>
    <w:p w14:paraId="10EB27DA">
      <w:pPr>
        <w:pStyle w:val="14"/>
        <w:numPr>
          <w:ilvl w:val="0"/>
          <w:numId w:val="1"/>
        </w:numPr>
        <w:spacing w:before="50" w:after="50"/>
      </w:pPr>
      <w:r>
        <w:rPr>
          <w:rFonts w:ascii="Arial" w:hAnsi="Arial" w:eastAsia="Arial" w:cs="Arial"/>
          <w:b w:val="0"/>
          <w:bCs w:val="0"/>
          <w:color w:val="1A1A1A"/>
          <w:sz w:val="22"/>
          <w:szCs w:val="22"/>
        </w:rPr>
        <w:t>Begin social media content in Month 1 — do not wait for the website to be complete.</w:t>
      </w:r>
    </w:p>
    <w:p w14:paraId="41959F1C">
      <w:pPr>
        <w:pStyle w:val="14"/>
        <w:numPr>
          <w:ilvl w:val="0"/>
          <w:numId w:val="1"/>
        </w:numPr>
        <w:spacing w:before="50" w:after="50"/>
      </w:pPr>
      <w:r>
        <w:rPr>
          <w:rFonts w:ascii="Arial" w:hAnsi="Arial" w:eastAsia="Arial" w:cs="Arial"/>
          <w:b w:val="0"/>
          <w:bCs w:val="0"/>
          <w:color w:val="1A1A1A"/>
          <w:sz w:val="22"/>
          <w:szCs w:val="22"/>
        </w:rPr>
        <w:t>Soft-launch the digital subscription to 50 personal/community contacts at a founding rate of £8/month.</w:t>
      </w:r>
    </w:p>
    <w:p w14:paraId="406FD82D">
      <w:pPr>
        <w:spacing w:before="80" w:after="0"/>
      </w:pPr>
    </w:p>
    <w:p w14:paraId="49BEF118">
      <w:pPr>
        <w:pStyle w:val="3"/>
        <w:spacing w:before="300" w:after="100"/>
      </w:pPr>
      <w:r>
        <w:rPr>
          <w:rFonts w:ascii="Georgia" w:hAnsi="Georgia" w:eastAsia="Georgia" w:cs="Georgia"/>
          <w:b/>
          <w:bCs/>
          <w:color w:val="2E7D52"/>
          <w:sz w:val="26"/>
          <w:szCs w:val="26"/>
        </w:rPr>
        <w:t>Sales Process by Revenue Stream</w:t>
      </w:r>
    </w:p>
    <w:p w14:paraId="561483E4">
      <w:pPr>
        <w:pStyle w:val="4"/>
        <w:spacing w:before="200" w:after="60"/>
      </w:pPr>
      <w:r>
        <w:rPr>
          <w:rFonts w:ascii="Arial" w:hAnsi="Arial" w:eastAsia="Arial" w:cs="Arial"/>
          <w:b/>
          <w:bCs/>
          <w:color w:val="1A6B3C"/>
          <w:sz w:val="22"/>
          <w:szCs w:val="22"/>
        </w:rPr>
        <w:t>In-Person Cooking Sessions</w:t>
      </w:r>
    </w:p>
    <w:p w14:paraId="7E251DFA">
      <w:pPr>
        <w:spacing w:before="80" w:after="100"/>
      </w:pPr>
      <w:r>
        <w:rPr>
          <w:rFonts w:ascii="Arial" w:hAnsi="Arial" w:eastAsia="Arial" w:cs="Arial"/>
          <w:color w:val="1A1A1A"/>
          <w:sz w:val="22"/>
          <w:szCs w:val="22"/>
        </w:rPr>
        <w:t>Direct sales via website booking system and community WhatsApp groups. Each session is capped at 12 participants to maintain quality. Upsell path: basic session (£10) → premium session (£30–50) → kitchen membership (£50–100/month). Sessions are filmed for the digital content library, creating dual value from each event.</w:t>
      </w:r>
    </w:p>
    <w:p w14:paraId="220AEFA3">
      <w:pPr>
        <w:spacing w:before="60" w:after="0"/>
      </w:pPr>
    </w:p>
    <w:p w14:paraId="7DE3EB6C">
      <w:pPr>
        <w:pStyle w:val="4"/>
        <w:spacing w:before="200" w:after="60"/>
      </w:pPr>
      <w:r>
        <w:rPr>
          <w:rFonts w:ascii="Arial" w:hAnsi="Arial" w:eastAsia="Arial" w:cs="Arial"/>
          <w:b/>
          <w:bCs/>
          <w:color w:val="1A6B3C"/>
          <w:sz w:val="22"/>
          <w:szCs w:val="22"/>
        </w:rPr>
        <w:t>Digital Subscriptions</w:t>
      </w:r>
    </w:p>
    <w:p w14:paraId="42401BDA">
      <w:pPr>
        <w:spacing w:before="80" w:after="100"/>
      </w:pPr>
      <w:r>
        <w:rPr>
          <w:rFonts w:ascii="Arial" w:hAnsi="Arial" w:eastAsia="Arial" w:cs="Arial"/>
          <w:color w:val="1A1A1A"/>
          <w:sz w:val="22"/>
          <w:szCs w:val="22"/>
        </w:rPr>
        <w:t>Free 7-day trial to lower the sign-up barrier. Monthly plan (£10) and annual plan (£99, saving 18%) to encourage commitment. Subscriber retention through a monthly live Q&amp;A with Grace, new recipe drops, and a private community group. Churn target: below 15% per month.</w:t>
      </w:r>
    </w:p>
    <w:p w14:paraId="3EA06D3A">
      <w:pPr>
        <w:spacing w:before="60" w:after="0"/>
      </w:pPr>
    </w:p>
    <w:p w14:paraId="6E57B161">
      <w:pPr>
        <w:pStyle w:val="4"/>
        <w:spacing w:before="200" w:after="60"/>
      </w:pPr>
      <w:r>
        <w:rPr>
          <w:rFonts w:ascii="Arial" w:hAnsi="Arial" w:eastAsia="Arial" w:cs="Arial"/>
          <w:b/>
          <w:bCs/>
          <w:color w:val="1A6B3C"/>
          <w:sz w:val="22"/>
          <w:szCs w:val="22"/>
        </w:rPr>
        <w:t>Kitchen Memberships</w:t>
      </w:r>
    </w:p>
    <w:p w14:paraId="209883CB">
      <w:pPr>
        <w:spacing w:before="80" w:after="100"/>
      </w:pPr>
      <w:r>
        <w:rPr>
          <w:rFonts w:ascii="Arial" w:hAnsi="Arial" w:eastAsia="Arial" w:cs="Arial"/>
          <w:color w:val="1A1A1A"/>
          <w:sz w:val="22"/>
          <w:szCs w:val="22"/>
        </w:rPr>
        <w:t>Members are recruited through in-person sessions. A 'member gets member' referral scheme (one free session per successful referral) drives organic growth. Membership includes equipment use, storage locker, and access to the carbon dashboard.</w:t>
      </w:r>
    </w:p>
    <w:p w14:paraId="007EE010">
      <w:pPr>
        <w:spacing w:before="60" w:after="0"/>
      </w:pPr>
    </w:p>
    <w:p w14:paraId="66B28191">
      <w:pPr>
        <w:pStyle w:val="4"/>
        <w:spacing w:before="200" w:after="60"/>
      </w:pPr>
      <w:r>
        <w:rPr>
          <w:rFonts w:ascii="Arial" w:hAnsi="Arial" w:eastAsia="Arial" w:cs="Arial"/>
          <w:b/>
          <w:bCs/>
          <w:color w:val="1A6B3C"/>
          <w:sz w:val="22"/>
          <w:szCs w:val="22"/>
        </w:rPr>
        <w:t>B2B Consulting &amp; Events (from Month 7)</w:t>
      </w:r>
    </w:p>
    <w:p w14:paraId="2C11EBFB">
      <w:pPr>
        <w:spacing w:before="80" w:after="100"/>
      </w:pPr>
      <w:r>
        <w:rPr>
          <w:rFonts w:ascii="Arial" w:hAnsi="Arial" w:eastAsia="Arial" w:cs="Arial"/>
          <w:color w:val="1A1A1A"/>
          <w:sz w:val="22"/>
          <w:szCs w:val="22"/>
        </w:rPr>
        <w:t>Grace will personally lead all B2B sales in Year 1. Target organisations include Bristol City Council sustainability team, NHS procurement, local schools, and food businesses seeking Net Zero support. Proposals will be data-led, using the Hub's carbon tracking evidence to demonstrate measurable ROI for clients. Future Leap provides warm introductions to institutional prospects.</w:t>
      </w:r>
    </w:p>
    <w:p w14:paraId="78C3BCE2">
      <w:pPr>
        <w:spacing w:before="80" w:after="0"/>
      </w:pPr>
    </w:p>
    <w:p w14:paraId="5977AC82">
      <w:pPr>
        <w:pStyle w:val="3"/>
        <w:spacing w:before="300" w:after="100"/>
      </w:pPr>
      <w:r>
        <w:rPr>
          <w:rFonts w:ascii="Georgia" w:hAnsi="Georgia" w:eastAsia="Georgia" w:cs="Georgia"/>
          <w:b/>
          <w:bCs/>
          <w:color w:val="2E7D52"/>
          <w:sz w:val="26"/>
          <w:szCs w:val="26"/>
        </w:rPr>
        <w:t>Sales Targets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5"/>
        <w:gridCol w:w="1623"/>
        <w:gridCol w:w="1623"/>
        <w:gridCol w:w="1624"/>
        <w:gridCol w:w="1985"/>
      </w:tblGrid>
      <w:tr w14:paraId="2EDD6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942FBE2">
            <w:pPr>
              <w:jc w:val="left"/>
            </w:pPr>
            <w:r>
              <w:rPr>
                <w:rFonts w:ascii="Arial" w:hAnsi="Arial" w:eastAsia="Arial" w:cs="Arial"/>
                <w:b/>
                <w:bCs/>
                <w:color w:val="FFFFFF"/>
                <w:sz w:val="21"/>
                <w:szCs w:val="21"/>
              </w:rPr>
              <w:t>Metric</w:t>
            </w:r>
          </w:p>
        </w:tc>
        <w:tc>
          <w:tcPr>
            <w:tcW w:w="162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4868A66">
            <w:pPr>
              <w:jc w:val="left"/>
            </w:pPr>
            <w:r>
              <w:rPr>
                <w:rFonts w:ascii="Arial" w:hAnsi="Arial" w:eastAsia="Arial" w:cs="Arial"/>
                <w:b/>
                <w:bCs/>
                <w:color w:val="FFFFFF"/>
                <w:sz w:val="21"/>
                <w:szCs w:val="21"/>
              </w:rPr>
              <w:t>Q1</w:t>
            </w:r>
          </w:p>
        </w:tc>
        <w:tc>
          <w:tcPr>
            <w:tcW w:w="162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7B17FB8B">
            <w:pPr>
              <w:jc w:val="left"/>
            </w:pPr>
            <w:r>
              <w:rPr>
                <w:rFonts w:ascii="Arial" w:hAnsi="Arial" w:eastAsia="Arial" w:cs="Arial"/>
                <w:b/>
                <w:bCs/>
                <w:color w:val="FFFFFF"/>
                <w:sz w:val="21"/>
                <w:szCs w:val="21"/>
              </w:rPr>
              <w:t>Q2</w:t>
            </w:r>
          </w:p>
        </w:tc>
        <w:tc>
          <w:tcPr>
            <w:tcW w:w="162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743EE787">
            <w:pPr>
              <w:jc w:val="left"/>
            </w:pPr>
            <w:r>
              <w:rPr>
                <w:rFonts w:ascii="Arial" w:hAnsi="Arial" w:eastAsia="Arial" w:cs="Arial"/>
                <w:b/>
                <w:bCs/>
                <w:color w:val="FFFFFF"/>
                <w:sz w:val="21"/>
                <w:szCs w:val="21"/>
              </w:rPr>
              <w:t>Q3</w:t>
            </w:r>
          </w:p>
        </w:tc>
        <w:tc>
          <w:tcPr>
            <w:tcW w:w="198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BCF60EA">
            <w:pPr>
              <w:jc w:val="left"/>
            </w:pPr>
            <w:r>
              <w:rPr>
                <w:rFonts w:ascii="Arial" w:hAnsi="Arial" w:eastAsia="Arial" w:cs="Arial"/>
                <w:b/>
                <w:bCs/>
                <w:color w:val="FFFFFF"/>
                <w:sz w:val="21"/>
                <w:szCs w:val="21"/>
              </w:rPr>
              <w:t>Q4</w:t>
            </w:r>
          </w:p>
        </w:tc>
      </w:tr>
      <w:tr w14:paraId="730AC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5848A9A4">
            <w:pPr>
              <w:jc w:val="left"/>
            </w:pPr>
            <w:r>
              <w:rPr>
                <w:rFonts w:ascii="Arial" w:hAnsi="Arial" w:eastAsia="Arial" w:cs="Arial"/>
                <w:b w:val="0"/>
                <w:bCs w:val="0"/>
                <w:color w:val="1A1A1A"/>
                <w:sz w:val="21"/>
                <w:szCs w:val="21"/>
              </w:rPr>
              <w:t>Session attendees/week</w:t>
            </w:r>
          </w:p>
        </w:tc>
        <w:tc>
          <w:tcPr>
            <w:tcW w:w="162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3A9BFFD">
            <w:pPr>
              <w:jc w:val="center"/>
            </w:pPr>
            <w:r>
              <w:rPr>
                <w:rFonts w:ascii="Arial" w:hAnsi="Arial" w:eastAsia="Arial" w:cs="Arial"/>
                <w:b w:val="0"/>
                <w:bCs w:val="0"/>
                <w:color w:val="1A1A1A"/>
                <w:sz w:val="21"/>
                <w:szCs w:val="21"/>
              </w:rPr>
              <w:t>8</w:t>
            </w:r>
          </w:p>
        </w:tc>
        <w:tc>
          <w:tcPr>
            <w:tcW w:w="162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31DC5D7">
            <w:pPr>
              <w:jc w:val="center"/>
            </w:pPr>
            <w:r>
              <w:rPr>
                <w:rFonts w:ascii="Arial" w:hAnsi="Arial" w:eastAsia="Arial" w:cs="Arial"/>
                <w:b w:val="0"/>
                <w:bCs w:val="0"/>
                <w:color w:val="1A1A1A"/>
                <w:sz w:val="21"/>
                <w:szCs w:val="21"/>
              </w:rPr>
              <w:t>15</w:t>
            </w:r>
          </w:p>
        </w:tc>
        <w:tc>
          <w:tcPr>
            <w:tcW w:w="162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0132AEB7">
            <w:pPr>
              <w:jc w:val="center"/>
            </w:pPr>
            <w:r>
              <w:rPr>
                <w:rFonts w:ascii="Arial" w:hAnsi="Arial" w:eastAsia="Arial" w:cs="Arial"/>
                <w:b w:val="0"/>
                <w:bCs w:val="0"/>
                <w:color w:val="1A1A1A"/>
                <w:sz w:val="21"/>
                <w:szCs w:val="21"/>
              </w:rPr>
              <w:t>20</w:t>
            </w:r>
          </w:p>
        </w:tc>
        <w:tc>
          <w:tcPr>
            <w:tcW w:w="198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5844A596">
            <w:pPr>
              <w:jc w:val="center"/>
            </w:pPr>
            <w:r>
              <w:rPr>
                <w:rFonts w:ascii="Arial" w:hAnsi="Arial" w:eastAsia="Arial" w:cs="Arial"/>
                <w:b w:val="0"/>
                <w:bCs w:val="0"/>
                <w:color w:val="1A1A1A"/>
                <w:sz w:val="21"/>
                <w:szCs w:val="21"/>
              </w:rPr>
              <w:t>25</w:t>
            </w:r>
          </w:p>
        </w:tc>
      </w:tr>
      <w:tr w14:paraId="185B0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469DB4">
            <w:pPr>
              <w:jc w:val="left"/>
            </w:pPr>
            <w:r>
              <w:rPr>
                <w:rFonts w:ascii="Arial" w:hAnsi="Arial" w:eastAsia="Arial" w:cs="Arial"/>
                <w:b w:val="0"/>
                <w:bCs w:val="0"/>
                <w:color w:val="1A1A1A"/>
                <w:sz w:val="21"/>
                <w:szCs w:val="21"/>
              </w:rPr>
              <w:t>Digital subscribers</w:t>
            </w:r>
          </w:p>
        </w:tc>
        <w:tc>
          <w:tcPr>
            <w:tcW w:w="16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0FF76A">
            <w:pPr>
              <w:jc w:val="center"/>
            </w:pPr>
            <w:r>
              <w:rPr>
                <w:rFonts w:ascii="Arial" w:hAnsi="Arial" w:eastAsia="Arial" w:cs="Arial"/>
                <w:b w:val="0"/>
                <w:bCs w:val="0"/>
                <w:color w:val="1A1A1A"/>
                <w:sz w:val="21"/>
                <w:szCs w:val="21"/>
              </w:rPr>
              <w:t>30</w:t>
            </w:r>
          </w:p>
        </w:tc>
        <w:tc>
          <w:tcPr>
            <w:tcW w:w="16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6D6B8F">
            <w:pPr>
              <w:jc w:val="center"/>
            </w:pPr>
            <w:r>
              <w:rPr>
                <w:rFonts w:ascii="Arial" w:hAnsi="Arial" w:eastAsia="Arial" w:cs="Arial"/>
                <w:b w:val="0"/>
                <w:bCs w:val="0"/>
                <w:color w:val="1A1A1A"/>
                <w:sz w:val="21"/>
                <w:szCs w:val="21"/>
              </w:rPr>
              <w:t>60</w:t>
            </w:r>
          </w:p>
        </w:tc>
        <w:tc>
          <w:tcPr>
            <w:tcW w:w="16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7819E6">
            <w:pPr>
              <w:jc w:val="center"/>
            </w:pPr>
            <w:r>
              <w:rPr>
                <w:rFonts w:ascii="Arial" w:hAnsi="Arial" w:eastAsia="Arial" w:cs="Arial"/>
                <w:b w:val="0"/>
                <w:bCs w:val="0"/>
                <w:color w:val="1A1A1A"/>
                <w:sz w:val="21"/>
                <w:szCs w:val="21"/>
              </w:rPr>
              <w:t>90</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94ABF9">
            <w:pPr>
              <w:jc w:val="center"/>
            </w:pPr>
            <w:r>
              <w:rPr>
                <w:rFonts w:ascii="Arial" w:hAnsi="Arial" w:eastAsia="Arial" w:cs="Arial"/>
                <w:b w:val="0"/>
                <w:bCs w:val="0"/>
                <w:color w:val="1A1A1A"/>
                <w:sz w:val="21"/>
                <w:szCs w:val="21"/>
              </w:rPr>
              <w:t>120</w:t>
            </w:r>
          </w:p>
        </w:tc>
      </w:tr>
      <w:tr w14:paraId="2EB8C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0957AF8C">
            <w:pPr>
              <w:jc w:val="left"/>
            </w:pPr>
            <w:r>
              <w:rPr>
                <w:rFonts w:ascii="Arial" w:hAnsi="Arial" w:eastAsia="Arial" w:cs="Arial"/>
                <w:b w:val="0"/>
                <w:bCs w:val="0"/>
                <w:color w:val="1A1A1A"/>
                <w:sz w:val="21"/>
                <w:szCs w:val="21"/>
              </w:rPr>
              <w:t>Kitchen members</w:t>
            </w:r>
          </w:p>
        </w:tc>
        <w:tc>
          <w:tcPr>
            <w:tcW w:w="162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2E2EE89">
            <w:pPr>
              <w:jc w:val="center"/>
            </w:pPr>
            <w:r>
              <w:rPr>
                <w:rFonts w:ascii="Arial" w:hAnsi="Arial" w:eastAsia="Arial" w:cs="Arial"/>
                <w:b w:val="0"/>
                <w:bCs w:val="0"/>
                <w:color w:val="1A1A1A"/>
                <w:sz w:val="21"/>
                <w:szCs w:val="21"/>
              </w:rPr>
              <w:t>5</w:t>
            </w:r>
          </w:p>
        </w:tc>
        <w:tc>
          <w:tcPr>
            <w:tcW w:w="162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562847B1">
            <w:pPr>
              <w:jc w:val="center"/>
            </w:pPr>
            <w:r>
              <w:rPr>
                <w:rFonts w:ascii="Arial" w:hAnsi="Arial" w:eastAsia="Arial" w:cs="Arial"/>
                <w:b w:val="0"/>
                <w:bCs w:val="0"/>
                <w:color w:val="1A1A1A"/>
                <w:sz w:val="21"/>
                <w:szCs w:val="21"/>
              </w:rPr>
              <w:t>8</w:t>
            </w:r>
          </w:p>
        </w:tc>
        <w:tc>
          <w:tcPr>
            <w:tcW w:w="162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6E4CF51E">
            <w:pPr>
              <w:jc w:val="center"/>
            </w:pPr>
            <w:r>
              <w:rPr>
                <w:rFonts w:ascii="Arial" w:hAnsi="Arial" w:eastAsia="Arial" w:cs="Arial"/>
                <w:b w:val="0"/>
                <w:bCs w:val="0"/>
                <w:color w:val="1A1A1A"/>
                <w:sz w:val="21"/>
                <w:szCs w:val="21"/>
              </w:rPr>
              <w:t>10</w:t>
            </w:r>
          </w:p>
        </w:tc>
        <w:tc>
          <w:tcPr>
            <w:tcW w:w="198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45B2DA5D">
            <w:pPr>
              <w:jc w:val="center"/>
            </w:pPr>
            <w:r>
              <w:rPr>
                <w:rFonts w:ascii="Arial" w:hAnsi="Arial" w:eastAsia="Arial" w:cs="Arial"/>
                <w:b w:val="0"/>
                <w:bCs w:val="0"/>
                <w:color w:val="1A1A1A"/>
                <w:sz w:val="21"/>
                <w:szCs w:val="21"/>
              </w:rPr>
              <w:t>10</w:t>
            </w:r>
          </w:p>
        </w:tc>
      </w:tr>
      <w:tr w14:paraId="7870A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0C29A9">
            <w:pPr>
              <w:jc w:val="left"/>
            </w:pPr>
            <w:r>
              <w:rPr>
                <w:rFonts w:ascii="Arial" w:hAnsi="Arial" w:eastAsia="Arial" w:cs="Arial"/>
                <w:b w:val="0"/>
                <w:bCs w:val="0"/>
                <w:color w:val="1A1A1A"/>
                <w:sz w:val="21"/>
                <w:szCs w:val="21"/>
              </w:rPr>
              <w:t>B2B events/consulting</w:t>
            </w:r>
          </w:p>
        </w:tc>
        <w:tc>
          <w:tcPr>
            <w:tcW w:w="16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2CF47D">
            <w:pPr>
              <w:jc w:val="center"/>
            </w:pPr>
            <w:r>
              <w:rPr>
                <w:rFonts w:ascii="Arial" w:hAnsi="Arial" w:eastAsia="Arial" w:cs="Arial"/>
                <w:b w:val="0"/>
                <w:bCs w:val="0"/>
                <w:color w:val="1A1A1A"/>
                <w:sz w:val="21"/>
                <w:szCs w:val="21"/>
              </w:rPr>
              <w:t>0</w:t>
            </w:r>
          </w:p>
        </w:tc>
        <w:tc>
          <w:tcPr>
            <w:tcW w:w="16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95D275">
            <w:pPr>
              <w:jc w:val="center"/>
            </w:pPr>
            <w:r>
              <w:rPr>
                <w:rFonts w:ascii="Arial" w:hAnsi="Arial" w:eastAsia="Arial" w:cs="Arial"/>
                <w:b w:val="0"/>
                <w:bCs w:val="0"/>
                <w:color w:val="1A1A1A"/>
                <w:sz w:val="21"/>
                <w:szCs w:val="21"/>
              </w:rPr>
              <w:t>0</w:t>
            </w:r>
          </w:p>
        </w:tc>
        <w:tc>
          <w:tcPr>
            <w:tcW w:w="16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59A095">
            <w:pPr>
              <w:jc w:val="center"/>
            </w:pPr>
            <w:r>
              <w:rPr>
                <w:rFonts w:ascii="Arial" w:hAnsi="Arial" w:eastAsia="Arial" w:cs="Arial"/>
                <w:b w:val="0"/>
                <w:bCs w:val="0"/>
                <w:color w:val="1A1A1A"/>
                <w:sz w:val="21"/>
                <w:szCs w:val="21"/>
              </w:rPr>
              <w:t>1</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45F138">
            <w:pPr>
              <w:jc w:val="center"/>
            </w:pPr>
            <w:r>
              <w:rPr>
                <w:rFonts w:ascii="Arial" w:hAnsi="Arial" w:eastAsia="Arial" w:cs="Arial"/>
                <w:b w:val="0"/>
                <w:bCs w:val="0"/>
                <w:color w:val="1A1A1A"/>
                <w:sz w:val="21"/>
                <w:szCs w:val="21"/>
              </w:rPr>
              <w:t>2</w:t>
            </w:r>
          </w:p>
        </w:tc>
      </w:tr>
    </w:tbl>
    <w:p w14:paraId="58DCC89E">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30F49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shd w:val="clear" w:color="auto" w:fill="1A6B3C"/>
            <w:tcMar>
              <w:top w:w="160" w:type="dxa"/>
              <w:left w:w="200" w:type="dxa"/>
              <w:bottom w:w="160" w:type="dxa"/>
              <w:right w:w="200" w:type="dxa"/>
            </w:tcMar>
            <w:vAlign w:val="center"/>
          </w:tcPr>
          <w:p w14:paraId="39B02010">
            <w:pPr>
              <w:jc w:val="center"/>
            </w:pPr>
            <w:r>
              <w:rPr>
                <w:rFonts w:ascii="Georgia" w:hAnsi="Georgia" w:eastAsia="Georgia" w:cs="Georgia"/>
                <w:b/>
                <w:bCs/>
                <w:color w:val="FFFFFF"/>
                <w:sz w:val="36"/>
                <w:szCs w:val="36"/>
              </w:rPr>
              <w:t>04</w:t>
            </w:r>
          </w:p>
        </w:tc>
        <w:tc>
          <w:tcPr>
            <w:tcW w:w="8160" w:type="dxa"/>
            <w:tcBorders>
              <w:top w:val="nil"/>
              <w:left w:val="nil"/>
              <w:bottom w:val="nil"/>
              <w:right w:val="nil"/>
            </w:tcBorders>
            <w:shd w:val="clear" w:color="auto" w:fill="0D3D24"/>
            <w:tcMar>
              <w:top w:w="160" w:type="dxa"/>
              <w:left w:w="240" w:type="dxa"/>
              <w:bottom w:w="160" w:type="dxa"/>
              <w:right w:w="200" w:type="dxa"/>
            </w:tcMar>
            <w:vAlign w:val="center"/>
          </w:tcPr>
          <w:p w14:paraId="025A0DCD">
            <w:r>
              <w:rPr>
                <w:rFonts w:ascii="Georgia" w:hAnsi="Georgia" w:eastAsia="Georgia" w:cs="Georgia"/>
                <w:b/>
                <w:bCs/>
                <w:color w:val="FFFFFF"/>
                <w:sz w:val="28"/>
                <w:szCs w:val="28"/>
              </w:rPr>
              <w:t>Skills Strategy</w:t>
            </w:r>
          </w:p>
        </w:tc>
      </w:tr>
    </w:tbl>
    <w:p w14:paraId="60F70281">
      <w:pPr>
        <w:spacing w:before="100" w:after="0"/>
      </w:pPr>
    </w:p>
    <w:p w14:paraId="4AB063DD">
      <w:pPr>
        <w:spacing w:before="80" w:after="100"/>
      </w:pPr>
      <w:r>
        <w:rPr>
          <w:rFonts w:ascii="Arial" w:hAnsi="Arial" w:eastAsia="Arial" w:cs="Arial"/>
          <w:color w:val="1A1A1A"/>
          <w:sz w:val="22"/>
          <w:szCs w:val="22"/>
        </w:rPr>
        <w:t>The Innovator Founder Visa guide rightly assigns equal weight to vocational skills (delivering the product) and commercial skills (running the business). Grace Omotuase is an unusually strong candidate on both dimensions — a fact that makes this business viable from day one, rather than dependent on future hires.</w:t>
      </w:r>
    </w:p>
    <w:p w14:paraId="04C12A43">
      <w:pPr>
        <w:spacing w:before="80" w:after="0"/>
      </w:pPr>
    </w:p>
    <w:p w14:paraId="5E52DA85">
      <w:pPr>
        <w:pStyle w:val="3"/>
        <w:spacing w:before="300" w:after="100"/>
      </w:pPr>
      <w:r>
        <w:rPr>
          <w:rFonts w:ascii="Georgia" w:hAnsi="Georgia" w:eastAsia="Georgia" w:cs="Georgia"/>
          <w:b/>
          <w:bCs/>
          <w:color w:val="2E7D52"/>
          <w:sz w:val="26"/>
          <w:szCs w:val="26"/>
        </w:rPr>
        <w:t>Vocational Skills (50%) — Delivering the Product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092C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5C6DECBB">
            <w:pPr>
              <w:jc w:val="left"/>
            </w:pPr>
            <w:r>
              <w:rPr>
                <w:rFonts w:ascii="Arial" w:hAnsi="Arial" w:eastAsia="Arial" w:cs="Arial"/>
                <w:b/>
                <w:bCs/>
                <w:color w:val="FFFFFF"/>
                <w:sz w:val="21"/>
                <w:szCs w:val="21"/>
              </w:rPr>
              <w:t>Skill Area</w:t>
            </w:r>
          </w:p>
        </w:tc>
        <w:tc>
          <w:tcPr>
            <w:tcW w:w="6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6498654">
            <w:pPr>
              <w:jc w:val="left"/>
            </w:pPr>
            <w:r>
              <w:rPr>
                <w:rFonts w:ascii="Arial" w:hAnsi="Arial" w:eastAsia="Arial" w:cs="Arial"/>
                <w:b/>
                <w:bCs/>
                <w:color w:val="FFFFFF"/>
                <w:sz w:val="21"/>
                <w:szCs w:val="21"/>
              </w:rPr>
              <w:t>Evidence</w:t>
            </w:r>
          </w:p>
        </w:tc>
      </w:tr>
      <w:tr w14:paraId="4C6ED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1E7D70F">
            <w:pPr>
              <w:jc w:val="left"/>
            </w:pPr>
            <w:r>
              <w:rPr>
                <w:rFonts w:ascii="Arial" w:hAnsi="Arial" w:eastAsia="Arial" w:cs="Arial"/>
                <w:b/>
                <w:bCs/>
                <w:color w:val="0D3D24"/>
                <w:sz w:val="21"/>
                <w:szCs w:val="21"/>
              </w:rPr>
              <w:t>Sustainable Food &amp; Cooking</w:t>
            </w:r>
          </w:p>
        </w:tc>
        <w:tc>
          <w:tcPr>
            <w:tcW w:w="63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5A57F162">
            <w:pPr>
              <w:jc w:val="left"/>
            </w:pPr>
            <w:r>
              <w:rPr>
                <w:rFonts w:ascii="Arial" w:hAnsi="Arial" w:eastAsia="Arial" w:cs="Arial"/>
                <w:b w:val="0"/>
                <w:bCs w:val="0"/>
                <w:color w:val="1A1A1A"/>
                <w:sz w:val="21"/>
                <w:szCs w:val="21"/>
              </w:rPr>
              <w:t>Professional Cookery qualification, Bradford College (2023). Developed the Smart-Prep cookbook during the WECA Sustainability in Business Bootcamp (2026). Deep personal knowledge of African and Caribbean culinary traditions. Community cooking experience in Bristol.</w:t>
            </w:r>
          </w:p>
        </w:tc>
      </w:tr>
      <w:tr w14:paraId="754FB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60EA97">
            <w:pPr>
              <w:jc w:val="left"/>
            </w:pPr>
            <w:r>
              <w:rPr>
                <w:rFonts w:ascii="Arial" w:hAnsi="Arial" w:eastAsia="Arial" w:cs="Arial"/>
                <w:b/>
                <w:bCs/>
                <w:color w:val="0D3D24"/>
                <w:sz w:val="21"/>
                <w:szCs w:val="21"/>
              </w:rPr>
              <w:t>Sustainability &amp; ESG</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213C3E">
            <w:pPr>
              <w:jc w:val="left"/>
            </w:pPr>
            <w:r>
              <w:rPr>
                <w:rFonts w:ascii="Arial" w:hAnsi="Arial" w:eastAsia="Arial" w:cs="Arial"/>
                <w:b w:val="0"/>
                <w:bCs w:val="0"/>
                <w:color w:val="1A1A1A"/>
                <w:sz w:val="21"/>
                <w:szCs w:val="21"/>
              </w:rPr>
              <w:t>WECA Skills Bootcamp: Sustainability in Business (2026). ESG reporting, Scope 1/2/3 emissions tracking, social value measurement, and stakeholder engagement. Volunteer experience in sustainability-aligned governance (Nyeusi Trustee). Future Leap partnership provides ongoing expert support.</w:t>
            </w:r>
          </w:p>
        </w:tc>
      </w:tr>
      <w:tr w14:paraId="69477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9B05FAE">
            <w:pPr>
              <w:jc w:val="left"/>
            </w:pPr>
            <w:r>
              <w:rPr>
                <w:rFonts w:ascii="Arial" w:hAnsi="Arial" w:eastAsia="Arial" w:cs="Arial"/>
                <w:b/>
                <w:bCs/>
                <w:color w:val="0D3D24"/>
                <w:sz w:val="21"/>
                <w:szCs w:val="21"/>
              </w:rPr>
              <w:t>Technology &amp; Data</w:t>
            </w:r>
          </w:p>
        </w:tc>
        <w:tc>
          <w:tcPr>
            <w:tcW w:w="63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AEF03F3">
            <w:pPr>
              <w:jc w:val="left"/>
            </w:pPr>
            <w:r>
              <w:rPr>
                <w:rFonts w:ascii="Arial" w:hAnsi="Arial" w:eastAsia="Arial" w:cs="Arial"/>
                <w:b w:val="0"/>
                <w:bCs w:val="0"/>
                <w:color w:val="1A1A1A"/>
                <w:sz w:val="21"/>
                <w:szCs w:val="21"/>
              </w:rPr>
              <w:t>MSc Financial Technology, University of Bradford (2023). Data Science &amp; Business Analytics, University of Texas at Austin (2021). IBM AI Fundamentals (2025). Proficient in Python, Machine Learning, Power BI, Tableau, SQL. Builds live data dashboards at TechDrive Consulting Ltd. The AI carbon tracking dashboard is not outsourced — Grace builds it.</w:t>
            </w:r>
          </w:p>
        </w:tc>
      </w:tr>
      <w:tr w14:paraId="61C89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61CF07">
            <w:pPr>
              <w:jc w:val="left"/>
            </w:pPr>
            <w:r>
              <w:rPr>
                <w:rFonts w:ascii="Arial" w:hAnsi="Arial" w:eastAsia="Arial" w:cs="Arial"/>
                <w:b/>
                <w:bCs/>
                <w:color w:val="0D3D24"/>
                <w:sz w:val="21"/>
                <w:szCs w:val="21"/>
              </w:rPr>
              <w:t>Education &amp; Training Delivery</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BECD5D">
            <w:pPr>
              <w:jc w:val="left"/>
            </w:pPr>
            <w:r>
              <w:rPr>
                <w:rFonts w:ascii="Arial" w:hAnsi="Arial" w:eastAsia="Arial" w:cs="Arial"/>
                <w:b w:val="0"/>
                <w:bCs w:val="0"/>
                <w:color w:val="1A1A1A"/>
                <w:sz w:val="21"/>
                <w:szCs w:val="21"/>
              </w:rPr>
              <w:t>Finance &amp; Business Tutor across UK schools and colleges (2022–2023), achieving 85% student pass rate. Sustainability lecture delivery during WECA Bootcamp. Community engagement experience in Bristol health and social care sector.</w:t>
            </w:r>
          </w:p>
        </w:tc>
      </w:tr>
    </w:tbl>
    <w:p w14:paraId="4A40AA72">
      <w:pPr>
        <w:spacing w:before="80" w:after="0"/>
      </w:pPr>
    </w:p>
    <w:p w14:paraId="069F5DC0">
      <w:pPr>
        <w:pStyle w:val="3"/>
        <w:spacing w:before="300" w:after="100"/>
      </w:pPr>
      <w:r>
        <w:rPr>
          <w:rFonts w:ascii="Georgia" w:hAnsi="Georgia" w:eastAsia="Georgia" w:cs="Georgia"/>
          <w:b/>
          <w:bCs/>
          <w:color w:val="2E7D52"/>
          <w:sz w:val="26"/>
          <w:szCs w:val="26"/>
        </w:rPr>
        <w:t>Commercial Skills (50%) — Running the Business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92C6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55888205">
            <w:pPr>
              <w:jc w:val="left"/>
            </w:pPr>
            <w:r>
              <w:rPr>
                <w:rFonts w:ascii="Arial" w:hAnsi="Arial" w:eastAsia="Arial" w:cs="Arial"/>
                <w:b/>
                <w:bCs/>
                <w:color w:val="FFFFFF"/>
                <w:sz w:val="21"/>
                <w:szCs w:val="21"/>
              </w:rPr>
              <w:t>Skill Area</w:t>
            </w:r>
          </w:p>
        </w:tc>
        <w:tc>
          <w:tcPr>
            <w:tcW w:w="6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41DCE91">
            <w:pPr>
              <w:jc w:val="left"/>
            </w:pPr>
            <w:r>
              <w:rPr>
                <w:rFonts w:ascii="Arial" w:hAnsi="Arial" w:eastAsia="Arial" w:cs="Arial"/>
                <w:b/>
                <w:bCs/>
                <w:color w:val="FFFFFF"/>
                <w:sz w:val="21"/>
                <w:szCs w:val="21"/>
              </w:rPr>
              <w:t>Evidence</w:t>
            </w:r>
          </w:p>
        </w:tc>
      </w:tr>
      <w:tr w14:paraId="7C02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55E8B31B">
            <w:pPr>
              <w:jc w:val="left"/>
            </w:pPr>
            <w:r>
              <w:rPr>
                <w:rFonts w:ascii="Arial" w:hAnsi="Arial" w:eastAsia="Arial" w:cs="Arial"/>
                <w:b/>
                <w:bCs/>
                <w:color w:val="0D3D24"/>
                <w:sz w:val="21"/>
                <w:szCs w:val="21"/>
              </w:rPr>
              <w:t>Financial Management</w:t>
            </w:r>
          </w:p>
        </w:tc>
        <w:tc>
          <w:tcPr>
            <w:tcW w:w="63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5DB8A1CB">
            <w:pPr>
              <w:jc w:val="left"/>
            </w:pPr>
            <w:r>
              <w:rPr>
                <w:rFonts w:ascii="Arial" w:hAnsi="Arial" w:eastAsia="Arial" w:cs="Arial"/>
                <w:b w:val="0"/>
                <w:bCs w:val="0"/>
                <w:color w:val="1A1A1A"/>
                <w:sz w:val="21"/>
                <w:szCs w:val="21"/>
              </w:rPr>
              <w:t>12 years at the Central Bank of Nigeria as Financial Analyst / Assistant Manager — led 30+ staff, managed £300M+ reconciliation programmes, improved reporting accuracy from 80% to 95%. CIMA Management Level (2026). Financial Modelling &amp; Analysis (CFI I &amp; II). Currently manages £200K+ care budgets with &lt;5% variance.</w:t>
            </w:r>
          </w:p>
        </w:tc>
      </w:tr>
      <w:tr w14:paraId="38703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824C17">
            <w:pPr>
              <w:jc w:val="left"/>
            </w:pPr>
            <w:r>
              <w:rPr>
                <w:rFonts w:ascii="Arial" w:hAnsi="Arial" w:eastAsia="Arial" w:cs="Arial"/>
                <w:b/>
                <w:bCs/>
                <w:color w:val="0D3D24"/>
                <w:sz w:val="21"/>
                <w:szCs w:val="21"/>
              </w:rPr>
              <w:t>Business Leadership</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D696B6">
            <w:pPr>
              <w:jc w:val="left"/>
            </w:pPr>
            <w:r>
              <w:rPr>
                <w:rFonts w:ascii="Arial" w:hAnsi="Arial" w:eastAsia="Arial" w:cs="Arial"/>
                <w:b w:val="0"/>
                <w:bCs w:val="0"/>
                <w:color w:val="1A1A1A"/>
                <w:sz w:val="21"/>
                <w:szCs w:val="21"/>
              </w:rPr>
              <w:t>CMI Level 5 Leadership &amp; Management (2025). Led multi-disciplinary teams in financial services and social care. Delivered large-scale ERP transformation projects (SAP/Oracle) using Agile methodology. Chartered Manager status.</w:t>
            </w:r>
          </w:p>
        </w:tc>
      </w:tr>
      <w:tr w14:paraId="71339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779E8E6F">
            <w:pPr>
              <w:jc w:val="left"/>
            </w:pPr>
            <w:r>
              <w:rPr>
                <w:rFonts w:ascii="Arial" w:hAnsi="Arial" w:eastAsia="Arial" w:cs="Arial"/>
                <w:b/>
                <w:bCs/>
                <w:color w:val="0D3D24"/>
                <w:sz w:val="21"/>
                <w:szCs w:val="21"/>
              </w:rPr>
              <w:t>Fundraising &amp; Grant Writing</w:t>
            </w:r>
          </w:p>
        </w:tc>
        <w:tc>
          <w:tcPr>
            <w:tcW w:w="63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07D77FF4">
            <w:pPr>
              <w:jc w:val="left"/>
            </w:pPr>
            <w:r>
              <w:rPr>
                <w:rFonts w:ascii="Arial" w:hAnsi="Arial" w:eastAsia="Arial" w:cs="Arial"/>
                <w:b w:val="0"/>
                <w:bCs w:val="0"/>
                <w:color w:val="1A1A1A"/>
                <w:sz w:val="21"/>
                <w:szCs w:val="21"/>
              </w:rPr>
              <w:t>Fundraising Manager (Volunteer) at BPUR International — strategic grant applications aligned with sustainability and social impact goals. This directly supports the funding strategy in Section 9.</w:t>
            </w:r>
          </w:p>
        </w:tc>
      </w:tr>
      <w:tr w14:paraId="6171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E0DDBB">
            <w:pPr>
              <w:jc w:val="left"/>
            </w:pPr>
            <w:r>
              <w:rPr>
                <w:rFonts w:ascii="Arial" w:hAnsi="Arial" w:eastAsia="Arial" w:cs="Arial"/>
                <w:b/>
                <w:bCs/>
                <w:color w:val="0D3D24"/>
                <w:sz w:val="21"/>
                <w:szCs w:val="21"/>
              </w:rPr>
              <w:t>Governance &amp; Risk</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59D8FF">
            <w:pPr>
              <w:jc w:val="left"/>
            </w:pPr>
            <w:r>
              <w:rPr>
                <w:rFonts w:ascii="Arial" w:hAnsi="Arial" w:eastAsia="Arial" w:cs="Arial"/>
                <w:b w:val="0"/>
                <w:bCs w:val="0"/>
                <w:color w:val="1A1A1A"/>
                <w:sz w:val="21"/>
                <w:szCs w:val="21"/>
              </w:rPr>
              <w:t>Trustee at Nyeusi — governance, risk management, and financial oversight for equity-focused community organisation. Statutory compliance expertise in regulated health and social care environment.</w:t>
            </w:r>
          </w:p>
        </w:tc>
      </w:tr>
    </w:tbl>
    <w:p w14:paraId="11616F48">
      <w:pPr>
        <w:spacing w:before="80" w:after="0"/>
      </w:pPr>
    </w:p>
    <w:p w14:paraId="08130191">
      <w:pPr>
        <w:pStyle w:val="3"/>
        <w:spacing w:before="300" w:after="100"/>
      </w:pPr>
      <w:r>
        <w:rPr>
          <w:rFonts w:ascii="Georgia" w:hAnsi="Georgia" w:eastAsia="Georgia" w:cs="Georgia"/>
          <w:b/>
          <w:bCs/>
          <w:color w:val="2E7D52"/>
          <w:sz w:val="26"/>
          <w:szCs w:val="26"/>
        </w:rPr>
        <w:t>Skills Gaps &amp; Mitigation</w:t>
      </w:r>
    </w:p>
    <w:p w14:paraId="20D94E2D">
      <w:pPr>
        <w:pStyle w:val="14"/>
        <w:numPr>
          <w:ilvl w:val="0"/>
          <w:numId w:val="1"/>
        </w:numPr>
        <w:spacing w:before="50" w:after="50"/>
      </w:pPr>
      <w:r>
        <w:rPr>
          <w:rFonts w:ascii="Arial" w:hAnsi="Arial" w:eastAsia="Arial" w:cs="Arial"/>
          <w:b w:val="0"/>
          <w:bCs w:val="0"/>
          <w:color w:val="1A1A1A"/>
          <w:sz w:val="22"/>
          <w:szCs w:val="22"/>
        </w:rPr>
        <w:t>Legal / immigration: OISC-regulated immigration solicitor engaged to support visa process.</w:t>
      </w:r>
    </w:p>
    <w:p w14:paraId="76790686">
      <w:pPr>
        <w:pStyle w:val="14"/>
        <w:numPr>
          <w:ilvl w:val="0"/>
          <w:numId w:val="1"/>
        </w:numPr>
        <w:spacing w:before="50" w:after="50"/>
      </w:pPr>
      <w:r>
        <w:rPr>
          <w:rFonts w:ascii="Arial" w:hAnsi="Arial" w:eastAsia="Arial" w:cs="Arial"/>
          <w:b w:val="0"/>
          <w:bCs w:val="0"/>
          <w:color w:val="1A1A1A"/>
          <w:sz w:val="22"/>
          <w:szCs w:val="22"/>
        </w:rPr>
        <w:t>Advanced video production: freelance videographer budgeted from Month 1 (within digital platform costs).</w:t>
      </w:r>
    </w:p>
    <w:p w14:paraId="7B4FA3C3">
      <w:pPr>
        <w:pStyle w:val="14"/>
        <w:numPr>
          <w:ilvl w:val="0"/>
          <w:numId w:val="1"/>
        </w:numPr>
        <w:spacing w:before="50" w:after="50"/>
      </w:pPr>
      <w:r>
        <w:rPr>
          <w:rFonts w:ascii="Arial" w:hAnsi="Arial" w:eastAsia="Arial" w:cs="Arial"/>
          <w:b w:val="0"/>
          <w:bCs w:val="0"/>
          <w:color w:val="1A1A1A"/>
          <w:sz w:val="22"/>
          <w:szCs w:val="22"/>
        </w:rPr>
        <w:t>Equipment supplier negotiation: formal approach to Magimix Cook Expert and sustainable packaging suppliers scheduled for Q2 2026. Grace's procurement experience at CBN provides a strong foundation.</w:t>
      </w:r>
    </w:p>
    <w:p w14:paraId="6BF590BD">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0BABE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shd w:val="clear" w:color="auto" w:fill="1A6B3C"/>
            <w:tcMar>
              <w:top w:w="160" w:type="dxa"/>
              <w:left w:w="200" w:type="dxa"/>
              <w:bottom w:w="160" w:type="dxa"/>
              <w:right w:w="200" w:type="dxa"/>
            </w:tcMar>
            <w:vAlign w:val="center"/>
          </w:tcPr>
          <w:p w14:paraId="28AE40ED">
            <w:pPr>
              <w:jc w:val="center"/>
            </w:pPr>
            <w:r>
              <w:rPr>
                <w:rFonts w:ascii="Georgia" w:hAnsi="Georgia" w:eastAsia="Georgia" w:cs="Georgia"/>
                <w:b/>
                <w:bCs/>
                <w:color w:val="FFFFFF"/>
                <w:sz w:val="36"/>
                <w:szCs w:val="36"/>
              </w:rPr>
              <w:t>05</w:t>
            </w:r>
          </w:p>
        </w:tc>
        <w:tc>
          <w:tcPr>
            <w:tcW w:w="8160" w:type="dxa"/>
            <w:tcBorders>
              <w:top w:val="nil"/>
              <w:left w:val="nil"/>
              <w:bottom w:val="nil"/>
              <w:right w:val="nil"/>
            </w:tcBorders>
            <w:shd w:val="clear" w:color="auto" w:fill="0D3D24"/>
            <w:tcMar>
              <w:top w:w="160" w:type="dxa"/>
              <w:left w:w="240" w:type="dxa"/>
              <w:bottom w:w="160" w:type="dxa"/>
              <w:right w:w="200" w:type="dxa"/>
            </w:tcMar>
            <w:vAlign w:val="center"/>
          </w:tcPr>
          <w:p w14:paraId="396C476E">
            <w:r>
              <w:rPr>
                <w:rFonts w:ascii="Georgia" w:hAnsi="Georgia" w:eastAsia="Georgia" w:cs="Georgia"/>
                <w:b/>
                <w:bCs/>
                <w:color w:val="FFFFFF"/>
                <w:sz w:val="28"/>
                <w:szCs w:val="28"/>
              </w:rPr>
              <w:t>Resource Planning</w:t>
            </w:r>
          </w:p>
        </w:tc>
      </w:tr>
    </w:tbl>
    <w:p w14:paraId="0D1156C1">
      <w:pPr>
        <w:spacing w:before="100" w:after="0"/>
      </w:pPr>
    </w:p>
    <w:p w14:paraId="45C7F0FE">
      <w:pPr>
        <w:spacing w:before="80" w:after="100"/>
      </w:pPr>
      <w:r>
        <w:rPr>
          <w:rFonts w:ascii="Arial" w:hAnsi="Arial" w:eastAsia="Arial" w:cs="Arial"/>
          <w:color w:val="1A1A1A"/>
          <w:sz w:val="22"/>
          <w:szCs w:val="22"/>
        </w:rPr>
        <w:t>A business succeeds when its founder is honest about what they have, what they need, and how they will close the gap. The table below sets out the full resource picture for Green Africa Hub.</w:t>
      </w:r>
    </w:p>
    <w:p w14:paraId="2097345D">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00"/>
        <w:gridCol w:w="2200"/>
        <w:gridCol w:w="2560"/>
      </w:tblGrid>
      <w:tr w14:paraId="2944A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2D9BCEF">
            <w:pPr>
              <w:jc w:val="left"/>
            </w:pPr>
            <w:r>
              <w:rPr>
                <w:rFonts w:ascii="Arial" w:hAnsi="Arial" w:eastAsia="Arial" w:cs="Arial"/>
                <w:b/>
                <w:bCs/>
                <w:color w:val="FFFFFF"/>
                <w:sz w:val="21"/>
                <w:szCs w:val="21"/>
              </w:rPr>
              <w:t>Resource</w:t>
            </w:r>
          </w:p>
        </w:tc>
        <w:tc>
          <w:tcPr>
            <w:tcW w:w="2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5EB201D5">
            <w:pPr>
              <w:jc w:val="left"/>
            </w:pPr>
            <w:r>
              <w:rPr>
                <w:rFonts w:ascii="Arial" w:hAnsi="Arial" w:eastAsia="Arial" w:cs="Arial"/>
                <w:b/>
                <w:bCs/>
                <w:color w:val="FFFFFF"/>
                <w:sz w:val="21"/>
                <w:szCs w:val="21"/>
              </w:rPr>
              <w:t>What We Need</w:t>
            </w:r>
          </w:p>
        </w:tc>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A64F036">
            <w:pPr>
              <w:jc w:val="left"/>
            </w:pPr>
            <w:r>
              <w:rPr>
                <w:rFonts w:ascii="Arial" w:hAnsi="Arial" w:eastAsia="Arial" w:cs="Arial"/>
                <w:b/>
                <w:bCs/>
                <w:color w:val="FFFFFF"/>
                <w:sz w:val="21"/>
                <w:szCs w:val="21"/>
              </w:rPr>
              <w:t>Current Status</w:t>
            </w:r>
          </w:p>
        </w:tc>
        <w:tc>
          <w:tcPr>
            <w:tcW w:w="25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6AB7562">
            <w:pPr>
              <w:jc w:val="left"/>
            </w:pPr>
            <w:r>
              <w:rPr>
                <w:rFonts w:ascii="Arial" w:hAnsi="Arial" w:eastAsia="Arial" w:cs="Arial"/>
                <w:b/>
                <w:bCs/>
                <w:color w:val="FFFFFF"/>
                <w:sz w:val="21"/>
                <w:szCs w:val="21"/>
              </w:rPr>
              <w:t>Plan to Close Gap</w:t>
            </w:r>
          </w:p>
        </w:tc>
      </w:tr>
      <w:tr w14:paraId="2286F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0300B342">
            <w:pPr>
              <w:jc w:val="left"/>
            </w:pPr>
            <w:r>
              <w:rPr>
                <w:rFonts w:ascii="Arial" w:hAnsi="Arial" w:eastAsia="Arial" w:cs="Arial"/>
                <w:b/>
                <w:bCs/>
                <w:color w:val="0D3D24"/>
                <w:sz w:val="21"/>
                <w:szCs w:val="21"/>
              </w:rPr>
              <w:t>Knowledge</w:t>
            </w:r>
          </w:p>
        </w:tc>
        <w:tc>
          <w:tcPr>
            <w:tcW w:w="28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3568891">
            <w:pPr>
              <w:jc w:val="left"/>
            </w:pPr>
            <w:r>
              <w:rPr>
                <w:rFonts w:ascii="Arial" w:hAnsi="Arial" w:eastAsia="Arial" w:cs="Arial"/>
                <w:b w:val="0"/>
                <w:bCs w:val="0"/>
                <w:color w:val="1A1A1A"/>
                <w:sz w:val="21"/>
                <w:szCs w:val="21"/>
              </w:rPr>
              <w:t>Sustainability expertise, carbon accounting methodology, food safety, equipment knowledge</w:t>
            </w:r>
          </w:p>
        </w:tc>
        <w:tc>
          <w:tcPr>
            <w:tcW w:w="22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CCEA115">
            <w:pPr>
              <w:jc w:val="left"/>
            </w:pPr>
            <w:r>
              <w:rPr>
                <w:rFonts w:ascii="Arial" w:hAnsi="Arial" w:eastAsia="Arial" w:cs="Arial"/>
                <w:b w:val="0"/>
                <w:bCs w:val="0"/>
                <w:color w:val="1A1A1A"/>
                <w:sz w:val="21"/>
                <w:szCs w:val="21"/>
              </w:rPr>
              <w:t>Strong — founder qualifications + Future Leap partnership covers core needs</w:t>
            </w:r>
          </w:p>
        </w:tc>
        <w:tc>
          <w:tcPr>
            <w:tcW w:w="25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4515DA5C">
            <w:pPr>
              <w:jc w:val="left"/>
            </w:pPr>
            <w:r>
              <w:rPr>
                <w:rFonts w:ascii="Arial" w:hAnsi="Arial" w:eastAsia="Arial" w:cs="Arial"/>
                <w:b w:val="0"/>
                <w:bCs w:val="0"/>
                <w:color w:val="1A1A1A"/>
                <w:sz w:val="21"/>
                <w:szCs w:val="21"/>
              </w:rPr>
              <w:t>Ongoing CPD and Future Leap mentoring. Carbon auditor consultant budgeted (£2,500 Y1).</w:t>
            </w:r>
          </w:p>
        </w:tc>
      </w:tr>
      <w:tr w14:paraId="6B35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B6D057">
            <w:pPr>
              <w:jc w:val="left"/>
            </w:pPr>
            <w:r>
              <w:rPr>
                <w:rFonts w:ascii="Arial" w:hAnsi="Arial" w:eastAsia="Arial" w:cs="Arial"/>
                <w:b/>
                <w:bCs/>
                <w:color w:val="0D3D24"/>
                <w:sz w:val="21"/>
                <w:szCs w:val="21"/>
              </w:rPr>
              <w:t>Equipment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00F0AE">
            <w:pPr>
              <w:jc w:val="left"/>
            </w:pPr>
            <w:r>
              <w:rPr>
                <w:rFonts w:ascii="Arial" w:hAnsi="Arial" w:eastAsia="Arial" w:cs="Arial"/>
                <w:b w:val="0"/>
                <w:bCs w:val="0"/>
                <w:color w:val="1A1A1A"/>
                <w:sz w:val="21"/>
                <w:szCs w:val="21"/>
              </w:rPr>
              <w:t>2x Magimix Cook Expert (or equivalent induction blender-cooker), commercial induction hobs, eco-packaging materials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9C7714">
            <w:pPr>
              <w:jc w:val="left"/>
            </w:pPr>
            <w:r>
              <w:rPr>
                <w:rFonts w:ascii="Arial" w:hAnsi="Arial" w:eastAsia="Arial" w:cs="Arial"/>
                <w:b w:val="0"/>
                <w:bCs w:val="0"/>
                <w:color w:val="1A1A1A"/>
                <w:sz w:val="21"/>
                <w:szCs w:val="21"/>
              </w:rPr>
              <w:t>Researched — product demo reviewed. Not yet purchased.</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EB18E3">
            <w:pPr>
              <w:jc w:val="left"/>
            </w:pPr>
            <w:r>
              <w:rPr>
                <w:rFonts w:ascii="Arial" w:hAnsi="Arial" w:eastAsia="Arial" w:cs="Arial"/>
                <w:b w:val="0"/>
                <w:bCs w:val="0"/>
                <w:color w:val="1A1A1A"/>
                <w:sz w:val="21"/>
                <w:szCs w:val="21"/>
              </w:rPr>
              <w:t>Funded from investment capital. Formal supplier approach Q2 2026. Partnership / discount negotiation planned.</w:t>
            </w:r>
          </w:p>
        </w:tc>
      </w:tr>
      <w:tr w14:paraId="5F54D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4085526D">
            <w:pPr>
              <w:jc w:val="left"/>
            </w:pPr>
            <w:r>
              <w:rPr>
                <w:rFonts w:ascii="Arial" w:hAnsi="Arial" w:eastAsia="Arial" w:cs="Arial"/>
                <w:b/>
                <w:bCs/>
                <w:color w:val="0D3D24"/>
                <w:sz w:val="21"/>
                <w:szCs w:val="21"/>
              </w:rPr>
              <w:t>Facilities</w:t>
            </w:r>
          </w:p>
        </w:tc>
        <w:tc>
          <w:tcPr>
            <w:tcW w:w="28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0E71E817">
            <w:pPr>
              <w:jc w:val="left"/>
            </w:pPr>
            <w:r>
              <w:rPr>
                <w:rFonts w:ascii="Arial" w:hAnsi="Arial" w:eastAsia="Arial" w:cs="Arial"/>
                <w:b w:val="0"/>
                <w:bCs w:val="0"/>
                <w:color w:val="1A1A1A"/>
                <w:sz w:val="21"/>
                <w:szCs w:val="21"/>
              </w:rPr>
              <w:t>Commercial kitchen space in Bristol, minimum 4 hours x 3 days/week</w:t>
            </w:r>
          </w:p>
        </w:tc>
        <w:tc>
          <w:tcPr>
            <w:tcW w:w="22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7546C9CE">
            <w:pPr>
              <w:jc w:val="left"/>
            </w:pPr>
            <w:r>
              <w:rPr>
                <w:rFonts w:ascii="Arial" w:hAnsi="Arial" w:eastAsia="Arial" w:cs="Arial"/>
                <w:b w:val="0"/>
                <w:bCs w:val="0"/>
                <w:color w:val="1A1A1A"/>
                <w:sz w:val="21"/>
                <w:szCs w:val="21"/>
              </w:rPr>
              <w:t>In progress — Future Leap actively supporting Bristol space identification</w:t>
            </w:r>
          </w:p>
        </w:tc>
        <w:tc>
          <w:tcPr>
            <w:tcW w:w="25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A1C61C1">
            <w:pPr>
              <w:jc w:val="left"/>
            </w:pPr>
            <w:r>
              <w:rPr>
                <w:rFonts w:ascii="Arial" w:hAnsi="Arial" w:eastAsia="Arial" w:cs="Arial"/>
                <w:b w:val="0"/>
                <w:bCs w:val="0"/>
                <w:color w:val="1A1A1A"/>
                <w:sz w:val="21"/>
                <w:szCs w:val="21"/>
              </w:rPr>
              <w:t>Future Leap network. Bristol Food Network as backup. Budget: £800/week (12 weeks pilot).</w:t>
            </w:r>
          </w:p>
        </w:tc>
      </w:tr>
      <w:tr w14:paraId="30FB3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1DC7AB">
            <w:pPr>
              <w:jc w:val="left"/>
            </w:pPr>
            <w:r>
              <w:rPr>
                <w:rFonts w:ascii="Arial" w:hAnsi="Arial" w:eastAsia="Arial" w:cs="Arial"/>
                <w:b/>
                <w:bCs/>
                <w:color w:val="0D3D24"/>
                <w:sz w:val="21"/>
                <w:szCs w:val="21"/>
              </w:rPr>
              <w:t>Technology</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38E3FA">
            <w:pPr>
              <w:jc w:val="left"/>
            </w:pPr>
            <w:r>
              <w:rPr>
                <w:rFonts w:ascii="Arial" w:hAnsi="Arial" w:eastAsia="Arial" w:cs="Arial"/>
                <w:b w:val="0"/>
                <w:bCs w:val="0"/>
                <w:color w:val="1A1A1A"/>
                <w:sz w:val="21"/>
                <w:szCs w:val="21"/>
              </w:rPr>
              <w:t>Website with booking + subscription portal; carbon tracking dashboard (MVP); video library platform</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78E8C1">
            <w:pPr>
              <w:jc w:val="left"/>
            </w:pPr>
            <w:r>
              <w:rPr>
                <w:rFonts w:ascii="Arial" w:hAnsi="Arial" w:eastAsia="Arial" w:cs="Arial"/>
                <w:b w:val="0"/>
                <w:bCs w:val="0"/>
                <w:color w:val="1A1A1A"/>
                <w:sz w:val="21"/>
                <w:szCs w:val="21"/>
              </w:rPr>
              <w:t>Dashboard being designed by Grace (Python/Power BI). Website platform not yet built.</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37DC9E">
            <w:pPr>
              <w:jc w:val="left"/>
            </w:pPr>
            <w:r>
              <w:rPr>
                <w:rFonts w:ascii="Arial" w:hAnsi="Arial" w:eastAsia="Arial" w:cs="Arial"/>
                <w:b w:val="0"/>
                <w:bCs w:val="0"/>
                <w:color w:val="1A1A1A"/>
                <w:sz w:val="21"/>
                <w:szCs w:val="21"/>
              </w:rPr>
              <w:t>Website: developer commissioned from digital budget (£10,000 Y1). Dashboard: built in-house by Grace.</w:t>
            </w:r>
          </w:p>
        </w:tc>
      </w:tr>
      <w:tr w14:paraId="679EA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8F7D742">
            <w:pPr>
              <w:jc w:val="left"/>
            </w:pPr>
            <w:r>
              <w:rPr>
                <w:rFonts w:ascii="Arial" w:hAnsi="Arial" w:eastAsia="Arial" w:cs="Arial"/>
                <w:b/>
                <w:bCs/>
                <w:color w:val="0D3D24"/>
                <w:sz w:val="21"/>
                <w:szCs w:val="21"/>
              </w:rPr>
              <w:t>Supply Chain</w:t>
            </w:r>
          </w:p>
        </w:tc>
        <w:tc>
          <w:tcPr>
            <w:tcW w:w="28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43FC0D05">
            <w:pPr>
              <w:jc w:val="left"/>
            </w:pPr>
            <w:r>
              <w:rPr>
                <w:rFonts w:ascii="Arial" w:hAnsi="Arial" w:eastAsia="Arial" w:cs="Arial"/>
                <w:b w:val="0"/>
                <w:bCs w:val="0"/>
                <w:color w:val="1A1A1A"/>
                <w:sz w:val="21"/>
                <w:szCs w:val="21"/>
              </w:rPr>
              <w:t>Sustainable packaging supplier, locally-sourced ingredient suppliers, UK-based sustainable kitchen equipment distributor</w:t>
            </w:r>
          </w:p>
        </w:tc>
        <w:tc>
          <w:tcPr>
            <w:tcW w:w="22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4C14A04A">
            <w:pPr>
              <w:jc w:val="left"/>
            </w:pPr>
            <w:r>
              <w:rPr>
                <w:rFonts w:ascii="Arial" w:hAnsi="Arial" w:eastAsia="Arial" w:cs="Arial"/>
                <w:b w:val="0"/>
                <w:bCs w:val="0"/>
                <w:color w:val="1A1A1A"/>
                <w:sz w:val="21"/>
                <w:szCs w:val="21"/>
              </w:rPr>
              <w:t>Future Leap sustainability network provides warm introductions. Suppliers identified but not contracted.</w:t>
            </w:r>
          </w:p>
        </w:tc>
        <w:tc>
          <w:tcPr>
            <w:tcW w:w="25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22D91C1B">
            <w:pPr>
              <w:jc w:val="left"/>
            </w:pPr>
            <w:r>
              <w:rPr>
                <w:rFonts w:ascii="Arial" w:hAnsi="Arial" w:eastAsia="Arial" w:cs="Arial"/>
                <w:b w:val="0"/>
                <w:bCs w:val="0"/>
                <w:color w:val="1A1A1A"/>
                <w:sz w:val="21"/>
                <w:szCs w:val="21"/>
              </w:rPr>
              <w:t>Formal supplier agreements by end of Month 2. Preference for Bristol/South West-based suppliers to reduce Scope 3.</w:t>
            </w:r>
          </w:p>
        </w:tc>
      </w:tr>
      <w:tr w14:paraId="0F3FD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A3EBB7">
            <w:pPr>
              <w:jc w:val="left"/>
            </w:pPr>
            <w:r>
              <w:rPr>
                <w:rFonts w:ascii="Arial" w:hAnsi="Arial" w:eastAsia="Arial" w:cs="Arial"/>
                <w:b/>
                <w:bCs/>
                <w:color w:val="0D3D24"/>
                <w:sz w:val="21"/>
                <w:szCs w:val="21"/>
              </w:rPr>
              <w:t>People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DA487E">
            <w:pPr>
              <w:jc w:val="left"/>
            </w:pPr>
            <w:r>
              <w:rPr>
                <w:rFonts w:ascii="Arial" w:hAnsi="Arial" w:eastAsia="Arial" w:cs="Arial"/>
                <w:b w:val="0"/>
                <w:bCs w:val="0"/>
                <w:color w:val="1A1A1A"/>
                <w:sz w:val="21"/>
                <w:szCs w:val="21"/>
              </w:rPr>
              <w:t>Part-time kitchen coordinator, digital content creator/videographer (Year 1). Sustainability coordinator (Year 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D1DCDE">
            <w:pPr>
              <w:jc w:val="left"/>
            </w:pPr>
            <w:r>
              <w:rPr>
                <w:rFonts w:ascii="Arial" w:hAnsi="Arial" w:eastAsia="Arial" w:cs="Arial"/>
                <w:b w:val="0"/>
                <w:bCs w:val="0"/>
                <w:color w:val="1A1A1A"/>
                <w:sz w:val="21"/>
                <w:szCs w:val="21"/>
              </w:rPr>
              <w:t>Grace delivers all functions in pilot phase. No staff yet.</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A36AFE">
            <w:pPr>
              <w:jc w:val="left"/>
            </w:pPr>
            <w:r>
              <w:rPr>
                <w:rFonts w:ascii="Arial" w:hAnsi="Arial" w:eastAsia="Arial" w:cs="Arial"/>
                <w:b w:val="0"/>
                <w:bCs w:val="0"/>
                <w:color w:val="1A1A1A"/>
                <w:sz w:val="21"/>
                <w:szCs w:val="21"/>
              </w:rPr>
              <w:t>Freelance videographer from Month 1. Part-time kitchen coordinator hired end of Q2 when revenue supports it.</w:t>
            </w:r>
          </w:p>
        </w:tc>
      </w:tr>
      <w:tr w14:paraId="12351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5FBFF00A">
            <w:pPr>
              <w:jc w:val="left"/>
            </w:pPr>
            <w:r>
              <w:rPr>
                <w:rFonts w:ascii="Arial" w:hAnsi="Arial" w:eastAsia="Arial" w:cs="Arial"/>
                <w:b/>
                <w:bCs/>
                <w:color w:val="0D3D24"/>
                <w:sz w:val="21"/>
                <w:szCs w:val="21"/>
              </w:rPr>
              <w:t>Capital</w:t>
            </w:r>
          </w:p>
        </w:tc>
        <w:tc>
          <w:tcPr>
            <w:tcW w:w="28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5C6E5CEF">
            <w:pPr>
              <w:jc w:val="left"/>
            </w:pPr>
            <w:r>
              <w:rPr>
                <w:rFonts w:ascii="Arial" w:hAnsi="Arial" w:eastAsia="Arial" w:cs="Arial"/>
                <w:b w:val="0"/>
                <w:bCs w:val="0"/>
                <w:color w:val="1A1A1A"/>
                <w:sz w:val="21"/>
                <w:szCs w:val="21"/>
              </w:rPr>
              <w:t>£50,000 investment fund (Home Office requirement). £30,800 pilot budget.</w:t>
            </w:r>
          </w:p>
        </w:tc>
        <w:tc>
          <w:tcPr>
            <w:tcW w:w="22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2C05A89">
            <w:pPr>
              <w:jc w:val="left"/>
            </w:pPr>
            <w:r>
              <w:rPr>
                <w:rFonts w:ascii="Arial" w:hAnsi="Arial" w:eastAsia="Arial" w:cs="Arial"/>
                <w:b w:val="0"/>
                <w:bCs w:val="0"/>
                <w:color w:val="1A1A1A"/>
                <w:sz w:val="21"/>
                <w:szCs w:val="21"/>
              </w:rPr>
              <w:t>No single confirmed source yet.</w:t>
            </w:r>
          </w:p>
        </w:tc>
        <w:tc>
          <w:tcPr>
            <w:tcW w:w="25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F76F8CF">
            <w:pPr>
              <w:jc w:val="left"/>
            </w:pPr>
            <w:r>
              <w:rPr>
                <w:rFonts w:ascii="Arial" w:hAnsi="Arial" w:eastAsia="Arial" w:cs="Arial"/>
                <w:b w:val="0"/>
                <w:bCs w:val="0"/>
                <w:color w:val="1A1A1A"/>
                <w:sz w:val="21"/>
                <w:szCs w:val="21"/>
              </w:rPr>
              <w:t>Multi-source grant strategy: Innovate UK, UKSPF, WECA, National Lottery. Full detail in Section 9.</w:t>
            </w:r>
          </w:p>
        </w:tc>
      </w:tr>
    </w:tbl>
    <w:p w14:paraId="4DB48649">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158B5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shd w:val="clear" w:color="auto" w:fill="1A6B3C"/>
            <w:tcMar>
              <w:top w:w="160" w:type="dxa"/>
              <w:left w:w="200" w:type="dxa"/>
              <w:bottom w:w="160" w:type="dxa"/>
              <w:right w:w="200" w:type="dxa"/>
            </w:tcMar>
            <w:vAlign w:val="center"/>
          </w:tcPr>
          <w:p w14:paraId="11C3ECFA">
            <w:pPr>
              <w:jc w:val="center"/>
            </w:pPr>
            <w:r>
              <w:rPr>
                <w:rFonts w:ascii="Georgia" w:hAnsi="Georgia" w:eastAsia="Georgia" w:cs="Georgia"/>
                <w:b/>
                <w:bCs/>
                <w:color w:val="FFFFFF"/>
                <w:sz w:val="36"/>
                <w:szCs w:val="36"/>
              </w:rPr>
              <w:t>06</w:t>
            </w:r>
          </w:p>
        </w:tc>
        <w:tc>
          <w:tcPr>
            <w:tcW w:w="8160" w:type="dxa"/>
            <w:tcBorders>
              <w:top w:val="nil"/>
              <w:left w:val="nil"/>
              <w:bottom w:val="nil"/>
              <w:right w:val="nil"/>
            </w:tcBorders>
            <w:shd w:val="clear" w:color="auto" w:fill="0D3D24"/>
            <w:tcMar>
              <w:top w:w="160" w:type="dxa"/>
              <w:left w:w="240" w:type="dxa"/>
              <w:bottom w:w="160" w:type="dxa"/>
              <w:right w:w="200" w:type="dxa"/>
            </w:tcMar>
            <w:vAlign w:val="center"/>
          </w:tcPr>
          <w:p w14:paraId="35F27F33">
            <w:r>
              <w:rPr>
                <w:rFonts w:ascii="Georgia" w:hAnsi="Georgia" w:eastAsia="Georgia" w:cs="Georgia"/>
                <w:b/>
                <w:bCs/>
                <w:color w:val="FFFFFF"/>
                <w:sz w:val="28"/>
                <w:szCs w:val="28"/>
              </w:rPr>
              <w:t>Project Plan</w:t>
            </w:r>
          </w:p>
        </w:tc>
      </w:tr>
    </w:tbl>
    <w:p w14:paraId="7AAF58B3">
      <w:pPr>
        <w:spacing w:before="100" w:after="0"/>
      </w:pPr>
    </w:p>
    <w:p w14:paraId="31419D1C">
      <w:pPr>
        <w:spacing w:before="80" w:after="100"/>
      </w:pPr>
      <w:r>
        <w:rPr>
          <w:rFonts w:ascii="Arial" w:hAnsi="Arial" w:eastAsia="Arial" w:cs="Arial"/>
          <w:color w:val="1A1A1A"/>
          <w:sz w:val="22"/>
          <w:szCs w:val="22"/>
        </w:rPr>
        <w:t>The plan below covers the first 18 months of operation, from pre-launch through to the end of Phase 2 (West of England expansion). Timelines are deliberately conservative — it is far better to under-promise and over-deliver.</w:t>
      </w:r>
    </w:p>
    <w:p w14:paraId="60CB9A92">
      <w:pPr>
        <w:spacing w:before="80" w:after="0"/>
      </w:pPr>
    </w:p>
    <w:p w14:paraId="14764EC0">
      <w:pPr>
        <w:pStyle w:val="3"/>
        <w:spacing w:before="300" w:after="100"/>
      </w:pPr>
      <w:r>
        <w:rPr>
          <w:rFonts w:ascii="Georgia" w:hAnsi="Georgia" w:eastAsia="Georgia" w:cs="Georgia"/>
          <w:b/>
          <w:bCs/>
          <w:color w:val="2E7D52"/>
          <w:sz w:val="26"/>
          <w:szCs w:val="26"/>
        </w:rPr>
        <w:t>Gantt Chart — Months 1–12 (Year 1)</w:t>
      </w:r>
    </w:p>
    <w:p w14:paraId="3BCF8265">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5"/>
        <w:gridCol w:w="482"/>
        <w:gridCol w:w="501"/>
        <w:gridCol w:w="485"/>
        <w:gridCol w:w="467"/>
        <w:gridCol w:w="495"/>
        <w:gridCol w:w="495"/>
        <w:gridCol w:w="482"/>
        <w:gridCol w:w="495"/>
        <w:gridCol w:w="495"/>
        <w:gridCol w:w="485"/>
        <w:gridCol w:w="492"/>
        <w:gridCol w:w="492"/>
        <w:gridCol w:w="443"/>
        <w:gridCol w:w="443"/>
        <w:gridCol w:w="443"/>
      </w:tblGrid>
      <w:tr w14:paraId="1E2A7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0" w:space="0"/>
              <w:left w:val="single" w:color="999999" w:sz="0" w:space="0"/>
              <w:bottom w:val="single" w:color="999999" w:sz="0" w:space="0"/>
              <w:right w:val="single" w:color="999999" w:sz="0" w:space="0"/>
            </w:tcBorders>
            <w:shd w:val="clear" w:color="auto" w:fill="0D3D24"/>
            <w:tcMar>
              <w:top w:w="80" w:type="dxa"/>
              <w:left w:w="120" w:type="dxa"/>
              <w:bottom w:w="80" w:type="dxa"/>
              <w:right w:w="120" w:type="dxa"/>
            </w:tcMar>
          </w:tcPr>
          <w:p w14:paraId="265ECE5B">
            <w:r>
              <w:rPr>
                <w:rFonts w:ascii="Arial" w:hAnsi="Arial" w:eastAsia="Arial" w:cs="Arial"/>
                <w:b/>
                <w:bCs/>
                <w:color w:val="FFFFFF"/>
                <w:sz w:val="19"/>
                <w:szCs w:val="19"/>
              </w:rPr>
              <w:t>Task / Milestone</w:t>
            </w:r>
          </w:p>
        </w:tc>
        <w:tc>
          <w:tcPr>
            <w:tcW w:w="564" w:type="dxa"/>
            <w:tcBorders>
              <w:top w:val="single" w:color="999999" w:sz="0" w:space="0"/>
              <w:left w:val="single" w:color="999999" w:sz="0" w:space="0"/>
              <w:bottom w:val="single" w:color="999999" w:sz="0" w:space="0"/>
              <w:right w:val="single" w:color="999999" w:sz="0" w:space="0"/>
            </w:tcBorders>
            <w:shd w:val="clear" w:color="auto" w:fill="0D3D24"/>
            <w:tcMar>
              <w:top w:w="80" w:type="dxa"/>
              <w:left w:w="60" w:type="dxa"/>
              <w:bottom w:w="80" w:type="dxa"/>
              <w:right w:w="60" w:type="dxa"/>
            </w:tcMar>
          </w:tcPr>
          <w:p w14:paraId="7952213E">
            <w:pPr>
              <w:jc w:val="center"/>
            </w:pPr>
            <w:r>
              <w:rPr>
                <w:rFonts w:ascii="Arial" w:hAnsi="Arial" w:eastAsia="Arial" w:cs="Arial"/>
                <w:b/>
                <w:bCs/>
                <w:color w:val="FFFFFF"/>
                <w:sz w:val="17"/>
                <w:szCs w:val="17"/>
              </w:rPr>
              <w:t>1</w:t>
            </w:r>
          </w:p>
        </w:tc>
        <w:tc>
          <w:tcPr>
            <w:tcW w:w="564" w:type="dxa"/>
            <w:tcBorders>
              <w:top w:val="single" w:color="999999" w:sz="0" w:space="0"/>
              <w:left w:val="single" w:color="999999" w:sz="0" w:space="0"/>
              <w:bottom w:val="single" w:color="999999" w:sz="0" w:space="0"/>
              <w:right w:val="single" w:color="999999" w:sz="0" w:space="0"/>
            </w:tcBorders>
            <w:shd w:val="clear" w:color="auto" w:fill="0D3D24"/>
            <w:tcMar>
              <w:top w:w="80" w:type="dxa"/>
              <w:left w:w="60" w:type="dxa"/>
              <w:bottom w:w="80" w:type="dxa"/>
              <w:right w:w="60" w:type="dxa"/>
            </w:tcMar>
          </w:tcPr>
          <w:p w14:paraId="4BF03A97">
            <w:pPr>
              <w:jc w:val="center"/>
            </w:pPr>
            <w:r>
              <w:rPr>
                <w:rFonts w:ascii="Arial" w:hAnsi="Arial" w:eastAsia="Arial" w:cs="Arial"/>
                <w:b/>
                <w:bCs/>
                <w:color w:val="FFFFFF"/>
                <w:sz w:val="17"/>
                <w:szCs w:val="17"/>
              </w:rPr>
              <w:t>2</w:t>
            </w:r>
          </w:p>
        </w:tc>
        <w:tc>
          <w:tcPr>
            <w:tcW w:w="564" w:type="dxa"/>
            <w:tcBorders>
              <w:top w:val="single" w:color="999999" w:sz="0" w:space="0"/>
              <w:left w:val="single" w:color="999999" w:sz="0" w:space="0"/>
              <w:bottom w:val="single" w:color="999999" w:sz="0" w:space="0"/>
              <w:right w:val="single" w:color="999999" w:sz="0" w:space="0"/>
            </w:tcBorders>
            <w:shd w:val="clear" w:color="auto" w:fill="0D3D24"/>
            <w:tcMar>
              <w:top w:w="80" w:type="dxa"/>
              <w:left w:w="60" w:type="dxa"/>
              <w:bottom w:w="80" w:type="dxa"/>
              <w:right w:w="60" w:type="dxa"/>
            </w:tcMar>
          </w:tcPr>
          <w:p w14:paraId="3CC02213">
            <w:pPr>
              <w:jc w:val="center"/>
            </w:pPr>
            <w:r>
              <w:rPr>
                <w:rFonts w:ascii="Arial" w:hAnsi="Arial" w:eastAsia="Arial" w:cs="Arial"/>
                <w:b/>
                <w:bCs/>
                <w:color w:val="FFFFFF"/>
                <w:sz w:val="17"/>
                <w:szCs w:val="17"/>
              </w:rPr>
              <w:t>3</w:t>
            </w:r>
          </w:p>
        </w:tc>
        <w:tc>
          <w:tcPr>
            <w:tcW w:w="564" w:type="dxa"/>
            <w:tcBorders>
              <w:top w:val="single" w:color="999999" w:sz="0" w:space="0"/>
              <w:left w:val="single" w:color="999999" w:sz="0" w:space="0"/>
              <w:bottom w:val="single" w:color="999999" w:sz="0" w:space="0"/>
              <w:right w:val="single" w:color="999999" w:sz="0" w:space="0"/>
            </w:tcBorders>
            <w:shd w:val="clear" w:color="auto" w:fill="0D3D24"/>
            <w:tcMar>
              <w:top w:w="80" w:type="dxa"/>
              <w:left w:w="60" w:type="dxa"/>
              <w:bottom w:w="80" w:type="dxa"/>
              <w:right w:w="60" w:type="dxa"/>
            </w:tcMar>
          </w:tcPr>
          <w:p w14:paraId="0085ECE7">
            <w:pPr>
              <w:jc w:val="center"/>
            </w:pPr>
            <w:r>
              <w:rPr>
                <w:rFonts w:ascii="Arial" w:hAnsi="Arial" w:eastAsia="Arial" w:cs="Arial"/>
                <w:b/>
                <w:bCs/>
                <w:color w:val="FFFFFF"/>
                <w:sz w:val="17"/>
                <w:szCs w:val="17"/>
              </w:rPr>
              <w:t>4</w:t>
            </w:r>
          </w:p>
        </w:tc>
        <w:tc>
          <w:tcPr>
            <w:tcW w:w="564" w:type="dxa"/>
            <w:tcBorders>
              <w:top w:val="single" w:color="999999" w:sz="0" w:space="0"/>
              <w:left w:val="single" w:color="999999" w:sz="0" w:space="0"/>
              <w:bottom w:val="single" w:color="999999" w:sz="0" w:space="0"/>
              <w:right w:val="single" w:color="999999" w:sz="0" w:space="0"/>
            </w:tcBorders>
            <w:shd w:val="clear" w:color="auto" w:fill="0D3D24"/>
            <w:tcMar>
              <w:top w:w="80" w:type="dxa"/>
              <w:left w:w="60" w:type="dxa"/>
              <w:bottom w:w="80" w:type="dxa"/>
              <w:right w:w="60" w:type="dxa"/>
            </w:tcMar>
          </w:tcPr>
          <w:p w14:paraId="23B86FBB">
            <w:pPr>
              <w:jc w:val="center"/>
            </w:pPr>
            <w:r>
              <w:rPr>
                <w:rFonts w:ascii="Arial" w:hAnsi="Arial" w:eastAsia="Arial" w:cs="Arial"/>
                <w:b/>
                <w:bCs/>
                <w:color w:val="FFFFFF"/>
                <w:sz w:val="17"/>
                <w:szCs w:val="17"/>
              </w:rPr>
              <w:t>5</w:t>
            </w:r>
          </w:p>
        </w:tc>
        <w:tc>
          <w:tcPr>
            <w:tcW w:w="564" w:type="dxa"/>
            <w:tcBorders>
              <w:top w:val="single" w:color="999999" w:sz="0" w:space="0"/>
              <w:left w:val="single" w:color="999999" w:sz="0" w:space="0"/>
              <w:bottom w:val="single" w:color="999999" w:sz="0" w:space="0"/>
              <w:right w:val="single" w:color="999999" w:sz="0" w:space="0"/>
            </w:tcBorders>
            <w:shd w:val="clear" w:color="auto" w:fill="0D3D24"/>
            <w:tcMar>
              <w:top w:w="80" w:type="dxa"/>
              <w:left w:w="60" w:type="dxa"/>
              <w:bottom w:w="80" w:type="dxa"/>
              <w:right w:w="60" w:type="dxa"/>
            </w:tcMar>
          </w:tcPr>
          <w:p w14:paraId="1720B7FD">
            <w:pPr>
              <w:jc w:val="center"/>
            </w:pPr>
            <w:r>
              <w:rPr>
                <w:rFonts w:ascii="Arial" w:hAnsi="Arial" w:eastAsia="Arial" w:cs="Arial"/>
                <w:b/>
                <w:bCs/>
                <w:color w:val="FFFFFF"/>
                <w:sz w:val="17"/>
                <w:szCs w:val="17"/>
              </w:rPr>
              <w:t>6</w:t>
            </w:r>
          </w:p>
        </w:tc>
        <w:tc>
          <w:tcPr>
            <w:tcW w:w="564" w:type="dxa"/>
            <w:tcBorders>
              <w:top w:val="single" w:color="999999" w:sz="0" w:space="0"/>
              <w:left w:val="single" w:color="999999" w:sz="0" w:space="0"/>
              <w:bottom w:val="single" w:color="999999" w:sz="0" w:space="0"/>
              <w:right w:val="single" w:color="999999" w:sz="0" w:space="0"/>
            </w:tcBorders>
            <w:shd w:val="clear" w:color="auto" w:fill="0D3D24"/>
            <w:tcMar>
              <w:top w:w="80" w:type="dxa"/>
              <w:left w:w="60" w:type="dxa"/>
              <w:bottom w:w="80" w:type="dxa"/>
              <w:right w:w="60" w:type="dxa"/>
            </w:tcMar>
          </w:tcPr>
          <w:p w14:paraId="75CC05A3">
            <w:pPr>
              <w:jc w:val="center"/>
            </w:pPr>
            <w:r>
              <w:rPr>
                <w:rFonts w:ascii="Arial" w:hAnsi="Arial" w:eastAsia="Arial" w:cs="Arial"/>
                <w:b/>
                <w:bCs/>
                <w:color w:val="FFFFFF"/>
                <w:sz w:val="17"/>
                <w:szCs w:val="17"/>
              </w:rPr>
              <w:t>7</w:t>
            </w:r>
          </w:p>
        </w:tc>
        <w:tc>
          <w:tcPr>
            <w:tcW w:w="564" w:type="dxa"/>
            <w:tcBorders>
              <w:top w:val="single" w:color="999999" w:sz="0" w:space="0"/>
              <w:left w:val="single" w:color="999999" w:sz="0" w:space="0"/>
              <w:bottom w:val="single" w:color="999999" w:sz="0" w:space="0"/>
              <w:right w:val="single" w:color="999999" w:sz="0" w:space="0"/>
            </w:tcBorders>
            <w:shd w:val="clear" w:color="auto" w:fill="0D3D24"/>
            <w:tcMar>
              <w:top w:w="80" w:type="dxa"/>
              <w:left w:w="60" w:type="dxa"/>
              <w:bottom w:w="80" w:type="dxa"/>
              <w:right w:w="60" w:type="dxa"/>
            </w:tcMar>
          </w:tcPr>
          <w:p w14:paraId="185AC308">
            <w:pPr>
              <w:jc w:val="center"/>
            </w:pPr>
            <w:r>
              <w:rPr>
                <w:rFonts w:ascii="Arial" w:hAnsi="Arial" w:eastAsia="Arial" w:cs="Arial"/>
                <w:b/>
                <w:bCs/>
                <w:color w:val="FFFFFF"/>
                <w:sz w:val="17"/>
                <w:szCs w:val="17"/>
              </w:rPr>
              <w:t>8</w:t>
            </w:r>
          </w:p>
        </w:tc>
        <w:tc>
          <w:tcPr>
            <w:tcW w:w="564" w:type="dxa"/>
            <w:tcBorders>
              <w:top w:val="single" w:color="999999" w:sz="0" w:space="0"/>
              <w:left w:val="single" w:color="999999" w:sz="0" w:space="0"/>
              <w:bottom w:val="single" w:color="999999" w:sz="0" w:space="0"/>
              <w:right w:val="single" w:color="999999" w:sz="0" w:space="0"/>
            </w:tcBorders>
            <w:shd w:val="clear" w:color="auto" w:fill="0D3D24"/>
            <w:tcMar>
              <w:top w:w="80" w:type="dxa"/>
              <w:left w:w="60" w:type="dxa"/>
              <w:bottom w:w="80" w:type="dxa"/>
              <w:right w:w="60" w:type="dxa"/>
            </w:tcMar>
          </w:tcPr>
          <w:p w14:paraId="6DA84E4A">
            <w:pPr>
              <w:jc w:val="center"/>
            </w:pPr>
            <w:r>
              <w:rPr>
                <w:rFonts w:ascii="Arial" w:hAnsi="Arial" w:eastAsia="Arial" w:cs="Arial"/>
                <w:b/>
                <w:bCs/>
                <w:color w:val="FFFFFF"/>
                <w:sz w:val="17"/>
                <w:szCs w:val="17"/>
              </w:rPr>
              <w:t>9</w:t>
            </w:r>
          </w:p>
        </w:tc>
        <w:tc>
          <w:tcPr>
            <w:tcW w:w="564" w:type="dxa"/>
            <w:tcBorders>
              <w:top w:val="single" w:color="999999" w:sz="0" w:space="0"/>
              <w:left w:val="single" w:color="999999" w:sz="0" w:space="0"/>
              <w:bottom w:val="single" w:color="999999" w:sz="0" w:space="0"/>
              <w:right w:val="single" w:color="999999" w:sz="0" w:space="0"/>
            </w:tcBorders>
            <w:shd w:val="clear" w:color="auto" w:fill="0D3D24"/>
            <w:tcMar>
              <w:top w:w="80" w:type="dxa"/>
              <w:left w:w="60" w:type="dxa"/>
              <w:bottom w:w="80" w:type="dxa"/>
              <w:right w:w="60" w:type="dxa"/>
            </w:tcMar>
          </w:tcPr>
          <w:p w14:paraId="6C49BB51">
            <w:pPr>
              <w:jc w:val="center"/>
            </w:pPr>
            <w:r>
              <w:rPr>
                <w:rFonts w:ascii="Arial" w:hAnsi="Arial" w:eastAsia="Arial" w:cs="Arial"/>
                <w:b/>
                <w:bCs/>
                <w:color w:val="FFFFFF"/>
                <w:sz w:val="17"/>
                <w:szCs w:val="17"/>
              </w:rPr>
              <w:t>1</w:t>
            </w:r>
          </w:p>
        </w:tc>
        <w:tc>
          <w:tcPr>
            <w:tcW w:w="564" w:type="dxa"/>
            <w:tcBorders>
              <w:top w:val="single" w:color="999999" w:sz="0" w:space="0"/>
              <w:left w:val="single" w:color="999999" w:sz="0" w:space="0"/>
              <w:bottom w:val="single" w:color="999999" w:sz="0" w:space="0"/>
              <w:right w:val="single" w:color="999999" w:sz="0" w:space="0"/>
            </w:tcBorders>
            <w:shd w:val="clear" w:color="auto" w:fill="0D3D24"/>
            <w:tcMar>
              <w:top w:w="80" w:type="dxa"/>
              <w:left w:w="60" w:type="dxa"/>
              <w:bottom w:w="80" w:type="dxa"/>
              <w:right w:w="60" w:type="dxa"/>
            </w:tcMar>
          </w:tcPr>
          <w:p w14:paraId="5FE292C9">
            <w:pPr>
              <w:jc w:val="center"/>
            </w:pPr>
            <w:r>
              <w:rPr>
                <w:rFonts w:ascii="Arial" w:hAnsi="Arial" w:eastAsia="Arial" w:cs="Arial"/>
                <w:b/>
                <w:bCs/>
                <w:color w:val="FFFFFF"/>
                <w:sz w:val="17"/>
                <w:szCs w:val="17"/>
              </w:rPr>
              <w:t>0</w:t>
            </w:r>
          </w:p>
        </w:tc>
        <w:tc>
          <w:tcPr>
            <w:tcW w:w="564" w:type="dxa"/>
            <w:tcBorders>
              <w:top w:val="single" w:color="999999" w:sz="0" w:space="0"/>
              <w:left w:val="single" w:color="999999" w:sz="0" w:space="0"/>
              <w:bottom w:val="single" w:color="999999" w:sz="0" w:space="0"/>
              <w:right w:val="single" w:color="999999" w:sz="0" w:space="0"/>
            </w:tcBorders>
            <w:shd w:val="clear" w:color="auto" w:fill="0D3D24"/>
            <w:tcMar>
              <w:top w:w="80" w:type="dxa"/>
              <w:left w:w="60" w:type="dxa"/>
              <w:bottom w:w="80" w:type="dxa"/>
              <w:right w:w="60" w:type="dxa"/>
            </w:tcMar>
          </w:tcPr>
          <w:p w14:paraId="682734A7">
            <w:pPr>
              <w:jc w:val="center"/>
            </w:pPr>
            <w:r>
              <w:rPr>
                <w:rFonts w:ascii="Arial" w:hAnsi="Arial" w:eastAsia="Arial" w:cs="Arial"/>
                <w:b/>
                <w:bCs/>
                <w:color w:val="FFFFFF"/>
                <w:sz w:val="17"/>
                <w:szCs w:val="17"/>
              </w:rPr>
              <w:t>1</w:t>
            </w:r>
          </w:p>
        </w:tc>
        <w:tc>
          <w:tcPr>
            <w:tcW w:w="564" w:type="dxa"/>
            <w:tcBorders>
              <w:top w:val="single" w:color="999999" w:sz="0" w:space="0"/>
              <w:left w:val="single" w:color="999999" w:sz="0" w:space="0"/>
              <w:bottom w:val="single" w:color="999999" w:sz="0" w:space="0"/>
              <w:right w:val="single" w:color="999999" w:sz="0" w:space="0"/>
            </w:tcBorders>
            <w:shd w:val="clear" w:color="auto" w:fill="0D3D24"/>
            <w:tcMar>
              <w:top w:w="80" w:type="dxa"/>
              <w:left w:w="60" w:type="dxa"/>
              <w:bottom w:w="80" w:type="dxa"/>
              <w:right w:w="60" w:type="dxa"/>
            </w:tcMar>
          </w:tcPr>
          <w:p w14:paraId="1627FC81">
            <w:pPr>
              <w:jc w:val="center"/>
            </w:pPr>
            <w:r>
              <w:rPr>
                <w:rFonts w:ascii="Arial" w:hAnsi="Arial" w:eastAsia="Arial" w:cs="Arial"/>
                <w:b/>
                <w:bCs/>
                <w:color w:val="FFFFFF"/>
                <w:sz w:val="17"/>
                <w:szCs w:val="17"/>
              </w:rPr>
              <w:t>1</w:t>
            </w:r>
          </w:p>
        </w:tc>
        <w:tc>
          <w:tcPr>
            <w:tcW w:w="564" w:type="dxa"/>
            <w:tcBorders>
              <w:top w:val="single" w:color="999999" w:sz="0" w:space="0"/>
              <w:left w:val="single" w:color="999999" w:sz="0" w:space="0"/>
              <w:bottom w:val="single" w:color="999999" w:sz="0" w:space="0"/>
              <w:right w:val="single" w:color="999999" w:sz="0" w:space="0"/>
            </w:tcBorders>
            <w:shd w:val="clear" w:color="auto" w:fill="0D3D24"/>
            <w:tcMar>
              <w:top w:w="80" w:type="dxa"/>
              <w:left w:w="60" w:type="dxa"/>
              <w:bottom w:w="80" w:type="dxa"/>
              <w:right w:w="60" w:type="dxa"/>
            </w:tcMar>
          </w:tcPr>
          <w:p w14:paraId="4818E8B6">
            <w:pPr>
              <w:jc w:val="center"/>
            </w:pPr>
            <w:r>
              <w:rPr>
                <w:rFonts w:ascii="Arial" w:hAnsi="Arial" w:eastAsia="Arial" w:cs="Arial"/>
                <w:b/>
                <w:bCs/>
                <w:color w:val="FFFFFF"/>
                <w:sz w:val="17"/>
                <w:szCs w:val="17"/>
              </w:rPr>
              <w:t>1</w:t>
            </w:r>
          </w:p>
        </w:tc>
        <w:tc>
          <w:tcPr>
            <w:tcW w:w="564" w:type="dxa"/>
            <w:tcBorders>
              <w:top w:val="single" w:color="999999" w:sz="0" w:space="0"/>
              <w:left w:val="single" w:color="999999" w:sz="0" w:space="0"/>
              <w:bottom w:val="single" w:color="999999" w:sz="0" w:space="0"/>
              <w:right w:val="single" w:color="999999" w:sz="0" w:space="0"/>
            </w:tcBorders>
            <w:shd w:val="clear" w:color="auto" w:fill="0D3D24"/>
            <w:tcMar>
              <w:top w:w="80" w:type="dxa"/>
              <w:left w:w="60" w:type="dxa"/>
              <w:bottom w:w="80" w:type="dxa"/>
              <w:right w:w="60" w:type="dxa"/>
            </w:tcMar>
          </w:tcPr>
          <w:p w14:paraId="1C032DA8">
            <w:pPr>
              <w:jc w:val="center"/>
            </w:pPr>
            <w:r>
              <w:rPr>
                <w:rFonts w:ascii="Arial" w:hAnsi="Arial" w:eastAsia="Arial" w:cs="Arial"/>
                <w:b/>
                <w:bCs/>
                <w:color w:val="FFFFFF"/>
                <w:sz w:val="17"/>
                <w:szCs w:val="17"/>
              </w:rPr>
              <w:t>2</w:t>
            </w:r>
          </w:p>
        </w:tc>
      </w:tr>
      <w:tr w14:paraId="167BC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3"/>
        </w:trPr>
        <w:tc>
          <w:tcPr>
            <w:tcW w:w="2600" w:type="dxa"/>
            <w:tcBorders>
              <w:top w:val="single" w:color="CCCCCC" w:sz="0" w:space="0"/>
              <w:left w:val="single" w:color="CCCCCC" w:sz="0" w:space="0"/>
              <w:bottom w:val="single" w:color="CCCCCC" w:sz="0" w:space="0"/>
              <w:right w:val="single" w:color="CCCCCC" w:sz="0" w:space="0"/>
            </w:tcBorders>
            <w:shd w:val="clear" w:color="auto" w:fill="1A6B3C"/>
            <w:tcMar>
              <w:top w:w="60" w:type="dxa"/>
              <w:left w:w="120" w:type="dxa"/>
              <w:bottom w:w="60" w:type="dxa"/>
              <w:right w:w="120" w:type="dxa"/>
            </w:tcMar>
          </w:tcPr>
          <w:p w14:paraId="71322BD0">
            <w:r>
              <w:rPr>
                <w:rFonts w:ascii="Arial" w:hAnsi="Arial" w:eastAsia="Arial" w:cs="Arial"/>
                <w:b/>
                <w:bCs/>
                <w:color w:val="FFFFFF"/>
                <w:sz w:val="18"/>
                <w:szCs w:val="18"/>
              </w:rPr>
              <w:t>Month</w:t>
            </w:r>
          </w:p>
        </w:tc>
        <w:tc>
          <w:tcPr>
            <w:tcW w:w="564" w:type="dxa"/>
            <w:tcBorders>
              <w:top w:val="single" w:color="CCCCCC" w:sz="0" w:space="0"/>
              <w:left w:val="single" w:color="CCCCCC" w:sz="0" w:space="0"/>
              <w:bottom w:val="single" w:color="CCCCCC" w:sz="0" w:space="0"/>
              <w:right w:val="single" w:color="CCCCCC" w:sz="0" w:space="0"/>
            </w:tcBorders>
            <w:shd w:val="clear" w:color="auto" w:fill="2E7D52"/>
            <w:tcMar>
              <w:top w:w="60" w:type="dxa"/>
              <w:left w:w="40" w:type="dxa"/>
              <w:bottom w:w="60" w:type="dxa"/>
              <w:right w:w="40" w:type="dxa"/>
            </w:tcMar>
          </w:tcPr>
          <w:p w14:paraId="64A10894">
            <w:pPr>
              <w:jc w:val="center"/>
            </w:pPr>
            <w:r>
              <w:rPr>
                <w:rFonts w:ascii="Arial" w:hAnsi="Arial" w:eastAsia="Arial" w:cs="Arial"/>
                <w:b w:val="0"/>
                <w:bCs w:val="0"/>
                <w:color w:val="FFFFFF"/>
                <w:sz w:val="16"/>
                <w:szCs w:val="16"/>
              </w:rPr>
              <w:t>Apr</w:t>
            </w:r>
          </w:p>
        </w:tc>
        <w:tc>
          <w:tcPr>
            <w:tcW w:w="564" w:type="dxa"/>
            <w:tcBorders>
              <w:top w:val="single" w:color="CCCCCC" w:sz="0" w:space="0"/>
              <w:left w:val="single" w:color="CCCCCC" w:sz="0" w:space="0"/>
              <w:bottom w:val="single" w:color="CCCCCC" w:sz="0" w:space="0"/>
              <w:right w:val="single" w:color="CCCCCC" w:sz="0" w:space="0"/>
            </w:tcBorders>
            <w:shd w:val="clear" w:color="auto" w:fill="2E7D52"/>
            <w:tcMar>
              <w:top w:w="60" w:type="dxa"/>
              <w:left w:w="40" w:type="dxa"/>
              <w:bottom w:w="60" w:type="dxa"/>
              <w:right w:w="40" w:type="dxa"/>
            </w:tcMar>
          </w:tcPr>
          <w:p w14:paraId="4AFCEE6F">
            <w:pPr>
              <w:jc w:val="center"/>
            </w:pPr>
            <w:r>
              <w:rPr>
                <w:rFonts w:ascii="Arial" w:hAnsi="Arial" w:eastAsia="Arial" w:cs="Arial"/>
                <w:b w:val="0"/>
                <w:bCs w:val="0"/>
                <w:color w:val="FFFFFF"/>
                <w:sz w:val="16"/>
                <w:szCs w:val="16"/>
              </w:rPr>
              <w:t>May</w:t>
            </w:r>
          </w:p>
        </w:tc>
        <w:tc>
          <w:tcPr>
            <w:tcW w:w="564" w:type="dxa"/>
            <w:tcBorders>
              <w:top w:val="single" w:color="CCCCCC" w:sz="0" w:space="0"/>
              <w:left w:val="single" w:color="CCCCCC" w:sz="0" w:space="0"/>
              <w:bottom w:val="single" w:color="CCCCCC" w:sz="0" w:space="0"/>
              <w:right w:val="single" w:color="CCCCCC" w:sz="0" w:space="0"/>
            </w:tcBorders>
            <w:shd w:val="clear" w:color="auto" w:fill="2E7D52"/>
            <w:tcMar>
              <w:top w:w="60" w:type="dxa"/>
              <w:left w:w="40" w:type="dxa"/>
              <w:bottom w:w="60" w:type="dxa"/>
              <w:right w:w="40" w:type="dxa"/>
            </w:tcMar>
          </w:tcPr>
          <w:p w14:paraId="22ED1C9F">
            <w:pPr>
              <w:jc w:val="center"/>
            </w:pPr>
            <w:r>
              <w:rPr>
                <w:rFonts w:ascii="Arial" w:hAnsi="Arial" w:eastAsia="Arial" w:cs="Arial"/>
                <w:b w:val="0"/>
                <w:bCs w:val="0"/>
                <w:color w:val="FFFFFF"/>
                <w:sz w:val="16"/>
                <w:szCs w:val="16"/>
              </w:rPr>
              <w:t>Jun</w:t>
            </w:r>
          </w:p>
        </w:tc>
        <w:tc>
          <w:tcPr>
            <w:tcW w:w="564" w:type="dxa"/>
            <w:tcBorders>
              <w:top w:val="single" w:color="CCCCCC" w:sz="0" w:space="0"/>
              <w:left w:val="single" w:color="CCCCCC" w:sz="0" w:space="0"/>
              <w:bottom w:val="single" w:color="CCCCCC" w:sz="0" w:space="0"/>
              <w:right w:val="single" w:color="CCCCCC" w:sz="0" w:space="0"/>
            </w:tcBorders>
            <w:shd w:val="clear" w:color="auto" w:fill="2E7D52"/>
            <w:tcMar>
              <w:top w:w="60" w:type="dxa"/>
              <w:left w:w="40" w:type="dxa"/>
              <w:bottom w:w="60" w:type="dxa"/>
              <w:right w:w="40" w:type="dxa"/>
            </w:tcMar>
          </w:tcPr>
          <w:p w14:paraId="53D59182">
            <w:pPr>
              <w:jc w:val="center"/>
            </w:pPr>
            <w:r>
              <w:rPr>
                <w:rFonts w:ascii="Arial" w:hAnsi="Arial" w:eastAsia="Arial" w:cs="Arial"/>
                <w:b w:val="0"/>
                <w:bCs w:val="0"/>
                <w:color w:val="FFFFFF"/>
                <w:sz w:val="16"/>
                <w:szCs w:val="16"/>
              </w:rPr>
              <w:t>Jul</w:t>
            </w:r>
          </w:p>
        </w:tc>
        <w:tc>
          <w:tcPr>
            <w:tcW w:w="564" w:type="dxa"/>
            <w:tcBorders>
              <w:top w:val="single" w:color="CCCCCC" w:sz="0" w:space="0"/>
              <w:left w:val="single" w:color="CCCCCC" w:sz="0" w:space="0"/>
              <w:bottom w:val="single" w:color="CCCCCC" w:sz="0" w:space="0"/>
              <w:right w:val="single" w:color="CCCCCC" w:sz="0" w:space="0"/>
            </w:tcBorders>
            <w:shd w:val="clear" w:color="auto" w:fill="2E7D52"/>
            <w:tcMar>
              <w:top w:w="60" w:type="dxa"/>
              <w:left w:w="40" w:type="dxa"/>
              <w:bottom w:w="60" w:type="dxa"/>
              <w:right w:w="40" w:type="dxa"/>
            </w:tcMar>
          </w:tcPr>
          <w:p w14:paraId="5CA9AE1E">
            <w:pPr>
              <w:jc w:val="center"/>
            </w:pPr>
            <w:r>
              <w:rPr>
                <w:rFonts w:ascii="Arial" w:hAnsi="Arial" w:eastAsia="Arial" w:cs="Arial"/>
                <w:b w:val="0"/>
                <w:bCs w:val="0"/>
                <w:color w:val="FFFFFF"/>
                <w:sz w:val="16"/>
                <w:szCs w:val="16"/>
              </w:rPr>
              <w:t>Aug</w:t>
            </w:r>
          </w:p>
        </w:tc>
        <w:tc>
          <w:tcPr>
            <w:tcW w:w="564" w:type="dxa"/>
            <w:tcBorders>
              <w:top w:val="single" w:color="CCCCCC" w:sz="0" w:space="0"/>
              <w:left w:val="single" w:color="CCCCCC" w:sz="0" w:space="0"/>
              <w:bottom w:val="single" w:color="CCCCCC" w:sz="0" w:space="0"/>
              <w:right w:val="single" w:color="CCCCCC" w:sz="0" w:space="0"/>
            </w:tcBorders>
            <w:shd w:val="clear" w:color="auto" w:fill="2E7D52"/>
            <w:tcMar>
              <w:top w:w="60" w:type="dxa"/>
              <w:left w:w="40" w:type="dxa"/>
              <w:bottom w:w="60" w:type="dxa"/>
              <w:right w:w="40" w:type="dxa"/>
            </w:tcMar>
          </w:tcPr>
          <w:p w14:paraId="51740A77">
            <w:pPr>
              <w:jc w:val="center"/>
            </w:pPr>
            <w:r>
              <w:rPr>
                <w:rFonts w:ascii="Arial" w:hAnsi="Arial" w:eastAsia="Arial" w:cs="Arial"/>
                <w:b w:val="0"/>
                <w:bCs w:val="0"/>
                <w:color w:val="FFFFFF"/>
                <w:sz w:val="16"/>
                <w:szCs w:val="16"/>
              </w:rPr>
              <w:t>Sep</w:t>
            </w:r>
          </w:p>
        </w:tc>
        <w:tc>
          <w:tcPr>
            <w:tcW w:w="564" w:type="dxa"/>
            <w:tcBorders>
              <w:top w:val="single" w:color="CCCCCC" w:sz="0" w:space="0"/>
              <w:left w:val="single" w:color="CCCCCC" w:sz="0" w:space="0"/>
              <w:bottom w:val="single" w:color="CCCCCC" w:sz="0" w:space="0"/>
              <w:right w:val="single" w:color="CCCCCC" w:sz="0" w:space="0"/>
            </w:tcBorders>
            <w:shd w:val="clear" w:color="auto" w:fill="2E7D52"/>
            <w:tcMar>
              <w:top w:w="60" w:type="dxa"/>
              <w:left w:w="40" w:type="dxa"/>
              <w:bottom w:w="60" w:type="dxa"/>
              <w:right w:w="40" w:type="dxa"/>
            </w:tcMar>
          </w:tcPr>
          <w:p w14:paraId="6FF70686">
            <w:pPr>
              <w:jc w:val="center"/>
            </w:pPr>
            <w:r>
              <w:rPr>
                <w:rFonts w:ascii="Arial" w:hAnsi="Arial" w:eastAsia="Arial" w:cs="Arial"/>
                <w:b w:val="0"/>
                <w:bCs w:val="0"/>
                <w:color w:val="FFFFFF"/>
                <w:sz w:val="16"/>
                <w:szCs w:val="16"/>
              </w:rPr>
              <w:t>Oct</w:t>
            </w:r>
          </w:p>
        </w:tc>
        <w:tc>
          <w:tcPr>
            <w:tcW w:w="564" w:type="dxa"/>
            <w:tcBorders>
              <w:top w:val="single" w:color="CCCCCC" w:sz="0" w:space="0"/>
              <w:left w:val="single" w:color="CCCCCC" w:sz="0" w:space="0"/>
              <w:bottom w:val="single" w:color="CCCCCC" w:sz="0" w:space="0"/>
              <w:right w:val="single" w:color="CCCCCC" w:sz="0" w:space="0"/>
            </w:tcBorders>
            <w:shd w:val="clear" w:color="auto" w:fill="2E7D52"/>
            <w:tcMar>
              <w:top w:w="60" w:type="dxa"/>
              <w:left w:w="40" w:type="dxa"/>
              <w:bottom w:w="60" w:type="dxa"/>
              <w:right w:w="40" w:type="dxa"/>
            </w:tcMar>
          </w:tcPr>
          <w:p w14:paraId="7D15D320">
            <w:pPr>
              <w:jc w:val="center"/>
            </w:pPr>
            <w:r>
              <w:rPr>
                <w:rFonts w:ascii="Arial" w:hAnsi="Arial" w:eastAsia="Arial" w:cs="Arial"/>
                <w:b w:val="0"/>
                <w:bCs w:val="0"/>
                <w:color w:val="FFFFFF"/>
                <w:sz w:val="16"/>
                <w:szCs w:val="16"/>
              </w:rPr>
              <w:t>Nov</w:t>
            </w:r>
          </w:p>
        </w:tc>
        <w:tc>
          <w:tcPr>
            <w:tcW w:w="564" w:type="dxa"/>
            <w:tcBorders>
              <w:top w:val="single" w:color="CCCCCC" w:sz="0" w:space="0"/>
              <w:left w:val="single" w:color="CCCCCC" w:sz="0" w:space="0"/>
              <w:bottom w:val="single" w:color="CCCCCC" w:sz="0" w:space="0"/>
              <w:right w:val="single" w:color="CCCCCC" w:sz="0" w:space="0"/>
            </w:tcBorders>
            <w:shd w:val="clear" w:color="auto" w:fill="2E7D52"/>
            <w:tcMar>
              <w:top w:w="60" w:type="dxa"/>
              <w:left w:w="40" w:type="dxa"/>
              <w:bottom w:w="60" w:type="dxa"/>
              <w:right w:w="40" w:type="dxa"/>
            </w:tcMar>
          </w:tcPr>
          <w:p w14:paraId="20ED80E9">
            <w:pPr>
              <w:jc w:val="center"/>
            </w:pPr>
            <w:r>
              <w:rPr>
                <w:rFonts w:ascii="Arial" w:hAnsi="Arial" w:eastAsia="Arial" w:cs="Arial"/>
                <w:b w:val="0"/>
                <w:bCs w:val="0"/>
                <w:color w:val="FFFFFF"/>
                <w:sz w:val="16"/>
                <w:szCs w:val="16"/>
              </w:rPr>
              <w:t>Dec</w:t>
            </w:r>
          </w:p>
        </w:tc>
        <w:tc>
          <w:tcPr>
            <w:tcW w:w="564" w:type="dxa"/>
            <w:tcBorders>
              <w:top w:val="single" w:color="CCCCCC" w:sz="0" w:space="0"/>
              <w:left w:val="single" w:color="CCCCCC" w:sz="0" w:space="0"/>
              <w:bottom w:val="single" w:color="CCCCCC" w:sz="0" w:space="0"/>
              <w:right w:val="single" w:color="CCCCCC" w:sz="0" w:space="0"/>
            </w:tcBorders>
            <w:shd w:val="clear" w:color="auto" w:fill="2E7D52"/>
            <w:tcMar>
              <w:top w:w="60" w:type="dxa"/>
              <w:left w:w="40" w:type="dxa"/>
              <w:bottom w:w="60" w:type="dxa"/>
              <w:right w:w="40" w:type="dxa"/>
            </w:tcMar>
          </w:tcPr>
          <w:p w14:paraId="44A673F4">
            <w:pPr>
              <w:jc w:val="center"/>
            </w:pPr>
            <w:r>
              <w:rPr>
                <w:rFonts w:ascii="Arial" w:hAnsi="Arial" w:eastAsia="Arial" w:cs="Arial"/>
                <w:b w:val="0"/>
                <w:bCs w:val="0"/>
                <w:color w:val="FFFFFF"/>
                <w:sz w:val="16"/>
                <w:szCs w:val="16"/>
              </w:rPr>
              <w:t>Jan</w:t>
            </w:r>
          </w:p>
        </w:tc>
        <w:tc>
          <w:tcPr>
            <w:tcW w:w="564" w:type="dxa"/>
            <w:tcBorders>
              <w:top w:val="single" w:color="CCCCCC" w:sz="0" w:space="0"/>
              <w:left w:val="single" w:color="CCCCCC" w:sz="0" w:space="0"/>
              <w:bottom w:val="single" w:color="CCCCCC" w:sz="0" w:space="0"/>
              <w:right w:val="single" w:color="CCCCCC" w:sz="0" w:space="0"/>
            </w:tcBorders>
            <w:shd w:val="clear" w:color="auto" w:fill="2E7D52"/>
            <w:tcMar>
              <w:top w:w="60" w:type="dxa"/>
              <w:left w:w="40" w:type="dxa"/>
              <w:bottom w:w="60" w:type="dxa"/>
              <w:right w:w="40" w:type="dxa"/>
            </w:tcMar>
          </w:tcPr>
          <w:p w14:paraId="1172DE4F">
            <w:pPr>
              <w:jc w:val="center"/>
            </w:pPr>
            <w:r>
              <w:rPr>
                <w:rFonts w:ascii="Arial" w:hAnsi="Arial" w:eastAsia="Arial" w:cs="Arial"/>
                <w:b w:val="0"/>
                <w:bCs w:val="0"/>
                <w:color w:val="FFFFFF"/>
                <w:sz w:val="16"/>
                <w:szCs w:val="16"/>
              </w:rPr>
              <w:t>Feb</w:t>
            </w:r>
          </w:p>
        </w:tc>
        <w:tc>
          <w:tcPr>
            <w:tcW w:w="564" w:type="dxa"/>
            <w:tcBorders>
              <w:top w:val="single" w:color="CCCCCC" w:sz="0" w:space="0"/>
              <w:left w:val="single" w:color="CCCCCC" w:sz="0" w:space="0"/>
              <w:bottom w:val="single" w:color="CCCCCC" w:sz="0" w:space="0"/>
              <w:right w:val="single" w:color="CCCCCC" w:sz="0" w:space="0"/>
            </w:tcBorders>
            <w:shd w:val="clear" w:color="auto" w:fill="2E7D52"/>
            <w:tcMar>
              <w:top w:w="60" w:type="dxa"/>
              <w:left w:w="40" w:type="dxa"/>
              <w:bottom w:w="60" w:type="dxa"/>
              <w:right w:w="40" w:type="dxa"/>
            </w:tcMar>
          </w:tcPr>
          <w:p w14:paraId="3EC74C31">
            <w:pPr>
              <w:jc w:val="center"/>
            </w:pPr>
            <w:r>
              <w:rPr>
                <w:rFonts w:ascii="Arial" w:hAnsi="Arial" w:eastAsia="Arial" w:cs="Arial"/>
                <w:b w:val="0"/>
                <w:bCs w:val="0"/>
                <w:color w:val="FFFFFF"/>
                <w:sz w:val="16"/>
                <w:szCs w:val="16"/>
              </w:rPr>
              <w:t>Mar</w:t>
            </w:r>
          </w:p>
        </w:tc>
      </w:tr>
      <w:tr w14:paraId="6E9C5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3"/>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3D9CE27">
            <w:r>
              <w:rPr>
                <w:rFonts w:ascii="Arial" w:hAnsi="Arial" w:eastAsia="Arial" w:cs="Arial"/>
                <w:b w:val="0"/>
                <w:bCs w:val="0"/>
                <w:color w:val="1A1A1A"/>
                <w:sz w:val="18"/>
                <w:szCs w:val="18"/>
              </w:rPr>
              <w:t>Grant applications (Innovate UK, UKSPF, WECA)</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30B8CE0A">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4255EAE4">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771ED523">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37103506">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4F68CEC6">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5366095E">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295EF346">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19636FD5">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4B391091">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3C7E6CA1">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2DD367CA">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3F78785C">
            <w:r>
              <w:rPr>
                <w:rFonts w:ascii="Arial" w:hAnsi="Arial" w:eastAsia="Arial" w:cs="Arial"/>
                <w:sz w:val="18"/>
                <w:szCs w:val="18"/>
              </w:rPr>
              <w:t xml:space="preserve"> </w:t>
            </w:r>
          </w:p>
        </w:tc>
      </w:tr>
      <w:tr w14:paraId="44805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3"/>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7CB4D371">
            <w:r>
              <w:rPr>
                <w:rFonts w:ascii="Arial" w:hAnsi="Arial" w:eastAsia="Arial" w:cs="Arial"/>
                <w:b w:val="0"/>
                <w:bCs w:val="0"/>
                <w:color w:val="1A1A1A"/>
                <w:sz w:val="18"/>
                <w:szCs w:val="18"/>
              </w:rPr>
              <w:t>Kitchen space secured (Future Leap support)</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5D5F7B3F">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03BBF5DF">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7BECCC0B">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16478ED3">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2A7978C1">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29750248">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73450497">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181FFCF1">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7405321B">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41E2A53C">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152237E7">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2290498F">
            <w:r>
              <w:rPr>
                <w:rFonts w:ascii="Arial" w:hAnsi="Arial" w:eastAsia="Arial" w:cs="Arial"/>
                <w:sz w:val="18"/>
                <w:szCs w:val="18"/>
              </w:rPr>
              <w:t xml:space="preserve"> </w:t>
            </w:r>
          </w:p>
        </w:tc>
      </w:tr>
      <w:tr w14:paraId="7BD74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3"/>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0AD91647">
            <w:r>
              <w:rPr>
                <w:rFonts w:ascii="Arial" w:hAnsi="Arial" w:eastAsia="Arial" w:cs="Arial"/>
                <w:b w:val="0"/>
                <w:bCs w:val="0"/>
                <w:color w:val="1A1A1A"/>
                <w:sz w:val="18"/>
                <w:szCs w:val="18"/>
              </w:rPr>
              <w:t>Equipment purchase &amp; setup</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4E9DC826">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4D26F791">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22D346A7">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0B89E9E2">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44C4EE87">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02207D81">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037840C0">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664C0C98">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6EEF04CA">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4DBA886D">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12307FAA">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45A78762">
            <w:r>
              <w:rPr>
                <w:rFonts w:ascii="Arial" w:hAnsi="Arial" w:eastAsia="Arial" w:cs="Arial"/>
                <w:sz w:val="18"/>
                <w:szCs w:val="18"/>
              </w:rPr>
              <w:t xml:space="preserve"> </w:t>
            </w:r>
          </w:p>
        </w:tc>
      </w:tr>
      <w:tr w14:paraId="101A8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3"/>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72D8EC77">
            <w:r>
              <w:rPr>
                <w:rFonts w:ascii="Arial" w:hAnsi="Arial" w:eastAsia="Arial" w:cs="Arial"/>
                <w:b w:val="0"/>
                <w:bCs w:val="0"/>
                <w:color w:val="1A1A1A"/>
                <w:sz w:val="18"/>
                <w:szCs w:val="18"/>
              </w:rPr>
              <w:t>Website &amp; booking system launched</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73266938">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02E3D3D6">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441E97BC">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05A9A2E7">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07A1B8F4">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0C63161F">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07238E38">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10871B04">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3D2158F2">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165976EA">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3A1B0E82">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348450E9">
            <w:r>
              <w:rPr>
                <w:rFonts w:ascii="Arial" w:hAnsi="Arial" w:eastAsia="Arial" w:cs="Arial"/>
                <w:sz w:val="18"/>
                <w:szCs w:val="18"/>
              </w:rPr>
              <w:t xml:space="preserve"> </w:t>
            </w:r>
          </w:p>
        </w:tc>
      </w:tr>
      <w:tr w14:paraId="338BE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3"/>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2E606B1">
            <w:r>
              <w:rPr>
                <w:rFonts w:ascii="Arial" w:hAnsi="Arial" w:eastAsia="Arial" w:cs="Arial"/>
                <w:b w:val="0"/>
                <w:bCs w:val="0"/>
                <w:color w:val="1A1A1A"/>
                <w:sz w:val="18"/>
                <w:szCs w:val="18"/>
              </w:rPr>
              <w:t>Carbon dashboard (MVP) built</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1B2B043A">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5A0840F7">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7AA993AB">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3F9BD135">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71F38955">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46E185D5">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792F6084">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38B2A6B5">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6F0F87A6">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6012FCF0">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7BC21534">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0A3A5D75">
            <w:r>
              <w:rPr>
                <w:rFonts w:ascii="Arial" w:hAnsi="Arial" w:eastAsia="Arial" w:cs="Arial"/>
                <w:sz w:val="18"/>
                <w:szCs w:val="18"/>
              </w:rPr>
              <w:t xml:space="preserve"> </w:t>
            </w:r>
          </w:p>
        </w:tc>
      </w:tr>
      <w:tr w14:paraId="4C7DF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3"/>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47922DC">
            <w:r>
              <w:rPr>
                <w:rFonts w:ascii="Arial" w:hAnsi="Arial" w:eastAsia="Arial" w:cs="Arial"/>
                <w:b w:val="0"/>
                <w:bCs w:val="0"/>
                <w:color w:val="1A1A1A"/>
                <w:sz w:val="18"/>
                <w:szCs w:val="18"/>
              </w:rPr>
              <w:t>Free community taster sessions (pre-launch)</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67B1FDCC">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3A420AB5">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7C59F64B">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79DB36A4">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3D1BF0AA">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0DB7CEF0">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195BBBC3">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00A3EA20">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387718A8">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232D02DA">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7E8C6FB4">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5714E3BF">
            <w:r>
              <w:rPr>
                <w:rFonts w:ascii="Arial" w:hAnsi="Arial" w:eastAsia="Arial" w:cs="Arial"/>
                <w:sz w:val="18"/>
                <w:szCs w:val="18"/>
              </w:rPr>
              <w:t xml:space="preserve"> </w:t>
            </w:r>
          </w:p>
        </w:tc>
      </w:tr>
      <w:tr w14:paraId="78DA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3"/>
        </w:trPr>
        <w:tc>
          <w:tcPr>
            <w:tcW w:w="2600" w:type="dxa"/>
            <w:tcBorders>
              <w:top w:val="single" w:color="CCCCCC" w:sz="0" w:space="0"/>
              <w:left w:val="single" w:color="CCCCCC" w:sz="0" w:space="0"/>
              <w:bottom w:val="single" w:color="CCCCCC" w:sz="0" w:space="0"/>
              <w:right w:val="single" w:color="CCCCCC" w:sz="0" w:space="0"/>
            </w:tcBorders>
            <w:shd w:val="clear" w:color="auto" w:fill="E8F5EE"/>
            <w:tcMar>
              <w:top w:w="70" w:type="dxa"/>
              <w:left w:w="120" w:type="dxa"/>
              <w:bottom w:w="70" w:type="dxa"/>
              <w:right w:w="120" w:type="dxa"/>
            </w:tcMar>
          </w:tcPr>
          <w:p w14:paraId="7FE45E6E">
            <w:r>
              <w:rPr>
                <w:rFonts w:ascii="Arial" w:hAnsi="Arial" w:eastAsia="Arial" w:cs="Arial"/>
                <w:b/>
                <w:bCs/>
                <w:color w:val="2E7D52"/>
                <w:sz w:val="18"/>
                <w:szCs w:val="18"/>
              </w:rPr>
              <w:t>MILESTONE: Hub launch (paid sessions)</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5F5F8E89">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510F1EF8">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156E99D7">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66CBDFED">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09F146F9">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5DC9273D">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2820F4B3">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5595133D">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531B5100">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77E062A5">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542085B1">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69F1BD6E">
            <w:r>
              <w:rPr>
                <w:rFonts w:ascii="Arial" w:hAnsi="Arial" w:eastAsia="Arial" w:cs="Arial"/>
                <w:sz w:val="18"/>
                <w:szCs w:val="18"/>
              </w:rPr>
              <w:t xml:space="preserve"> </w:t>
            </w:r>
          </w:p>
        </w:tc>
      </w:tr>
      <w:tr w14:paraId="2B9BF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3"/>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3EAB72D4">
            <w:r>
              <w:rPr>
                <w:rFonts w:ascii="Arial" w:hAnsi="Arial" w:eastAsia="Arial" w:cs="Arial"/>
                <w:b w:val="0"/>
                <w:bCs w:val="0"/>
                <w:color w:val="1A1A1A"/>
                <w:sz w:val="18"/>
                <w:szCs w:val="18"/>
              </w:rPr>
              <w:t>In-person sessions (2x/week)</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05411EC7">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024B6408">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5A61C7D0">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437D1FC4">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423D5356">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777CFBC8">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53EFE2BF">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5FA7BE8A">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28F4C929">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01BCED8C">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003C01D7">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101515E3">
            <w:r>
              <w:rPr>
                <w:rFonts w:ascii="Arial" w:hAnsi="Arial" w:eastAsia="Arial" w:cs="Arial"/>
                <w:sz w:val="18"/>
                <w:szCs w:val="18"/>
              </w:rPr>
              <w:t xml:space="preserve">  </w:t>
            </w:r>
          </w:p>
        </w:tc>
      </w:tr>
      <w:tr w14:paraId="35CD8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3"/>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CA54075">
            <w:r>
              <w:rPr>
                <w:rFonts w:ascii="Arial" w:hAnsi="Arial" w:eastAsia="Arial" w:cs="Arial"/>
                <w:b w:val="0"/>
                <w:bCs w:val="0"/>
                <w:color w:val="1A1A1A"/>
                <w:sz w:val="18"/>
                <w:szCs w:val="18"/>
              </w:rPr>
              <w:t>Digital subscription portal live</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4BCB08D4">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1BD9014C">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46121505">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6B93AEAD">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212E3DAE">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2260383E">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7FC403CD">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32441397">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76AEA859">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482C2C3A">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176AD325">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352C26FC">
            <w:r>
              <w:rPr>
                <w:rFonts w:ascii="Arial" w:hAnsi="Arial" w:eastAsia="Arial" w:cs="Arial"/>
                <w:sz w:val="18"/>
                <w:szCs w:val="18"/>
              </w:rPr>
              <w:t xml:space="preserve">  </w:t>
            </w:r>
          </w:p>
        </w:tc>
      </w:tr>
      <w:tr w14:paraId="11A4D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3"/>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21B279C">
            <w:r>
              <w:rPr>
                <w:rFonts w:ascii="Arial" w:hAnsi="Arial" w:eastAsia="Arial" w:cs="Arial"/>
                <w:b w:val="0"/>
                <w:bCs w:val="0"/>
                <w:color w:val="1A1A1A"/>
                <w:sz w:val="18"/>
                <w:szCs w:val="18"/>
              </w:rPr>
              <w:t>Smart-Prep cookbook — filming &amp; production</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14D83F6C">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5CA93B45">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3CD1A23D">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40F48AAA">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627CF924">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14B06E8C">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607267EA">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60F83489">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23E8A9C4">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33FE66C8">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1A51ED0B">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281EC427">
            <w:r>
              <w:rPr>
                <w:rFonts w:ascii="Arial" w:hAnsi="Arial" w:eastAsia="Arial" w:cs="Arial"/>
                <w:sz w:val="18"/>
                <w:szCs w:val="18"/>
              </w:rPr>
              <w:t xml:space="preserve"> </w:t>
            </w:r>
          </w:p>
        </w:tc>
      </w:tr>
      <w:tr w14:paraId="3B6B5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3"/>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3617777">
            <w:r>
              <w:rPr>
                <w:rFonts w:ascii="Arial" w:hAnsi="Arial" w:eastAsia="Arial" w:cs="Arial"/>
                <w:b w:val="0"/>
                <w:bCs w:val="0"/>
                <w:color w:val="1A1A1A"/>
                <w:sz w:val="18"/>
                <w:szCs w:val="18"/>
              </w:rPr>
              <w:t>Equipment supplier partnership signed</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5EF91B2F">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227B0C29">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78ABE312">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0A6E9CE5">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369DEDAF">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50A32EDC">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2D72CAEC">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52BF9EEF">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313F98DD">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15519881">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34442014">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0A0F1F3E">
            <w:r>
              <w:rPr>
                <w:rFonts w:ascii="Arial" w:hAnsi="Arial" w:eastAsia="Arial" w:cs="Arial"/>
                <w:sz w:val="18"/>
                <w:szCs w:val="18"/>
              </w:rPr>
              <w:t xml:space="preserve"> </w:t>
            </w:r>
          </w:p>
        </w:tc>
      </w:tr>
      <w:tr w14:paraId="24CB3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3"/>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D090F75">
            <w:r>
              <w:rPr>
                <w:rFonts w:ascii="Arial" w:hAnsi="Arial" w:eastAsia="Arial" w:cs="Arial"/>
                <w:b w:val="0"/>
                <w:bCs w:val="0"/>
                <w:color w:val="1A1A1A"/>
                <w:sz w:val="18"/>
                <w:szCs w:val="18"/>
              </w:rPr>
              <w:t>Part-time kitchen coordinator hired</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49577B4B">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77C73F5A">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07252CC6">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7A0A476E">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2A22E1D4">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029877DC">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6BB74A0B">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7326987A">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17235B50">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53A7ACAE">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5AAF3FE2">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31DCEF5A">
            <w:r>
              <w:rPr>
                <w:rFonts w:ascii="Arial" w:hAnsi="Arial" w:eastAsia="Arial" w:cs="Arial"/>
                <w:sz w:val="18"/>
                <w:szCs w:val="18"/>
              </w:rPr>
              <w:t xml:space="preserve"> </w:t>
            </w:r>
          </w:p>
        </w:tc>
      </w:tr>
      <w:tr w14:paraId="1CEA6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3"/>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3FCB446">
            <w:r>
              <w:rPr>
                <w:rFonts w:ascii="Arial" w:hAnsi="Arial" w:eastAsia="Arial" w:cs="Arial"/>
                <w:b w:val="0"/>
                <w:bCs w:val="0"/>
                <w:color w:val="1A1A1A"/>
                <w:sz w:val="18"/>
                <w:szCs w:val="18"/>
              </w:rPr>
              <w:t>B2B consulting offer launched</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3A624090">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0DB002F4">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2D474710">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1E2F44FD">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4B163328">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1A84C5F7">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16CE9934">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0A45EAC0">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04933CD9">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2B333C20">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3D672B40">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606C9C5C">
            <w:r>
              <w:rPr>
                <w:rFonts w:ascii="Arial" w:hAnsi="Arial" w:eastAsia="Arial" w:cs="Arial"/>
                <w:sz w:val="18"/>
                <w:szCs w:val="18"/>
              </w:rPr>
              <w:t xml:space="preserve">  </w:t>
            </w:r>
          </w:p>
        </w:tc>
      </w:tr>
      <w:tr w14:paraId="1BAED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3"/>
        </w:trPr>
        <w:tc>
          <w:tcPr>
            <w:tcW w:w="2600" w:type="dxa"/>
            <w:tcBorders>
              <w:top w:val="single" w:color="CCCCCC" w:sz="0" w:space="0"/>
              <w:left w:val="single" w:color="CCCCCC" w:sz="0" w:space="0"/>
              <w:bottom w:val="single" w:color="CCCCCC" w:sz="0" w:space="0"/>
              <w:right w:val="single" w:color="CCCCCC" w:sz="0" w:space="0"/>
            </w:tcBorders>
            <w:shd w:val="clear" w:color="auto" w:fill="E8F5EE"/>
            <w:tcMar>
              <w:top w:w="70" w:type="dxa"/>
              <w:left w:w="120" w:type="dxa"/>
              <w:bottom w:w="70" w:type="dxa"/>
              <w:right w:w="120" w:type="dxa"/>
            </w:tcMar>
          </w:tcPr>
          <w:p w14:paraId="09DBE82D">
            <w:r>
              <w:rPr>
                <w:rFonts w:ascii="Arial" w:hAnsi="Arial" w:eastAsia="Arial" w:cs="Arial"/>
                <w:b/>
                <w:bCs/>
                <w:color w:val="2E7D52"/>
                <w:sz w:val="18"/>
                <w:szCs w:val="18"/>
              </w:rPr>
              <w:t>MILESTONE: 100 digital subscribers</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29BD3213">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573089C1">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0E9BBA16">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15746A53">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3CE1DD83">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26BE1187">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0DA50438">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357E2FCE">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146E7A66">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1B8BCD01">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3C97B1BB">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53032220">
            <w:r>
              <w:rPr>
                <w:rFonts w:ascii="Arial" w:hAnsi="Arial" w:eastAsia="Arial" w:cs="Arial"/>
                <w:sz w:val="18"/>
                <w:szCs w:val="18"/>
              </w:rPr>
              <w:t xml:space="preserve"> </w:t>
            </w:r>
          </w:p>
        </w:tc>
      </w:tr>
      <w:tr w14:paraId="7A643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3"/>
        </w:trPr>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BA2B197">
            <w:r>
              <w:rPr>
                <w:rFonts w:ascii="Arial" w:hAnsi="Arial" w:eastAsia="Arial" w:cs="Arial"/>
                <w:b w:val="0"/>
                <w:bCs w:val="0"/>
                <w:color w:val="1A1A1A"/>
                <w:sz w:val="18"/>
                <w:szCs w:val="18"/>
              </w:rPr>
              <w:t>Phase 2 planning (2nd location)</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640C190E">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3DFBB393">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54661B11">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76C37113">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2EEE485A">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58FCBADC">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796CAE02">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0D4C46F2">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FFFFFF"/>
            <w:tcMar>
              <w:top w:w="60" w:type="dxa"/>
              <w:left w:w="0" w:type="dxa"/>
              <w:bottom w:w="60" w:type="dxa"/>
              <w:right w:w="0" w:type="dxa"/>
            </w:tcMar>
          </w:tcPr>
          <w:p w14:paraId="760B81EB">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2AF2626B">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3B53622C">
            <w:r>
              <w:rPr>
                <w:rFonts w:ascii="Arial" w:hAnsi="Arial" w:eastAsia="Arial" w:cs="Arial"/>
                <w:sz w:val="18"/>
                <w:szCs w:val="18"/>
              </w:rPr>
              <w:t xml:space="preserve">  </w:t>
            </w:r>
          </w:p>
        </w:tc>
        <w:tc>
          <w:tcPr>
            <w:tcW w:w="564" w:type="dxa"/>
            <w:tcBorders>
              <w:top w:val="single" w:color="DDDDDD" w:sz="0" w:space="0"/>
              <w:left w:val="single" w:color="DDDDDD" w:sz="0" w:space="0"/>
              <w:bottom w:val="single" w:color="DDDDDD" w:sz="0" w:space="0"/>
              <w:right w:val="single" w:color="DDDDDD" w:sz="0" w:space="0"/>
            </w:tcBorders>
            <w:shd w:val="clear" w:color="auto" w:fill="1A6B3C"/>
            <w:tcMar>
              <w:top w:w="60" w:type="dxa"/>
              <w:left w:w="0" w:type="dxa"/>
              <w:bottom w:w="60" w:type="dxa"/>
              <w:right w:w="0" w:type="dxa"/>
            </w:tcMar>
          </w:tcPr>
          <w:p w14:paraId="775A1068">
            <w:r>
              <w:rPr>
                <w:rFonts w:ascii="Arial" w:hAnsi="Arial" w:eastAsia="Arial" w:cs="Arial"/>
                <w:sz w:val="18"/>
                <w:szCs w:val="18"/>
              </w:rPr>
              <w:t xml:space="preserve">  </w:t>
            </w:r>
          </w:p>
        </w:tc>
      </w:tr>
    </w:tbl>
    <w:p w14:paraId="66EFFC87">
      <w:pPr>
        <w:spacing w:before="80" w:after="0"/>
      </w:pPr>
    </w:p>
    <w:p w14:paraId="1BF1880A">
      <w:pPr>
        <w:pStyle w:val="3"/>
        <w:spacing w:before="300" w:after="100"/>
      </w:pPr>
      <w:r>
        <w:rPr>
          <w:rFonts w:ascii="Georgia" w:hAnsi="Georgia" w:eastAsia="Georgia" w:cs="Georgia"/>
          <w:b/>
          <w:bCs/>
          <w:color w:val="2E7D52"/>
          <w:sz w:val="26"/>
          <w:szCs w:val="26"/>
        </w:rPr>
        <w:t>Phase 2 — West of England Expansion (Months 13–24)</w:t>
      </w:r>
    </w:p>
    <w:p w14:paraId="43E07A28">
      <w:pPr>
        <w:pStyle w:val="14"/>
        <w:numPr>
          <w:ilvl w:val="0"/>
          <w:numId w:val="1"/>
        </w:numPr>
        <w:spacing w:before="50" w:after="50"/>
      </w:pPr>
      <w:r>
        <w:rPr>
          <w:rFonts w:ascii="Arial" w:hAnsi="Arial" w:eastAsia="Arial" w:cs="Arial"/>
          <w:b w:val="0"/>
          <w:bCs w:val="0"/>
          <w:color w:val="1A1A1A"/>
          <w:sz w:val="22"/>
          <w:szCs w:val="22"/>
        </w:rPr>
        <w:t>Open second Hub location in Bristol or Bath, using confirmed Hub &amp; Spoke methodology.</w:t>
      </w:r>
    </w:p>
    <w:p w14:paraId="1196E36C">
      <w:pPr>
        <w:pStyle w:val="14"/>
        <w:numPr>
          <w:ilvl w:val="0"/>
          <w:numId w:val="1"/>
        </w:numPr>
        <w:spacing w:before="50" w:after="50"/>
      </w:pPr>
      <w:r>
        <w:rPr>
          <w:rFonts w:ascii="Arial" w:hAnsi="Arial" w:eastAsia="Arial" w:cs="Arial"/>
          <w:b w:val="0"/>
          <w:bCs w:val="0"/>
          <w:color w:val="1A1A1A"/>
          <w:sz w:val="22"/>
          <w:szCs w:val="22"/>
        </w:rPr>
        <w:t>Scale digital subscription nationally — targeted marketing to African/Caribbean communities in Birmingham, Manchester, London.</w:t>
      </w:r>
    </w:p>
    <w:p w14:paraId="0CB0F192">
      <w:pPr>
        <w:pStyle w:val="14"/>
        <w:numPr>
          <w:ilvl w:val="0"/>
          <w:numId w:val="1"/>
        </w:numPr>
        <w:spacing w:before="50" w:after="50"/>
      </w:pPr>
      <w:r>
        <w:rPr>
          <w:rFonts w:ascii="Arial" w:hAnsi="Arial" w:eastAsia="Arial" w:cs="Arial"/>
          <w:b w:val="0"/>
          <w:bCs w:val="0"/>
          <w:color w:val="1A1A1A"/>
          <w:sz w:val="22"/>
          <w:szCs w:val="22"/>
        </w:rPr>
        <w:t>Formalise Magimix or equivalent equipment partnership and begin referral commission income scaling.</w:t>
      </w:r>
    </w:p>
    <w:p w14:paraId="7992E97F">
      <w:pPr>
        <w:pStyle w:val="14"/>
        <w:numPr>
          <w:ilvl w:val="0"/>
          <w:numId w:val="1"/>
        </w:numPr>
        <w:spacing w:before="50" w:after="50"/>
      </w:pPr>
      <w:r>
        <w:rPr>
          <w:rFonts w:ascii="Arial" w:hAnsi="Arial" w:eastAsia="Arial" w:cs="Arial"/>
          <w:b w:val="0"/>
          <w:bCs w:val="0"/>
          <w:color w:val="1A1A1A"/>
          <w:sz w:val="22"/>
          <w:szCs w:val="22"/>
        </w:rPr>
        <w:t>Grow team to 5 employees. Introduce full-time Sustainability Coordinator role.</w:t>
      </w:r>
    </w:p>
    <w:p w14:paraId="7FDE5622">
      <w:pPr>
        <w:pStyle w:val="14"/>
        <w:numPr>
          <w:ilvl w:val="0"/>
          <w:numId w:val="1"/>
        </w:numPr>
        <w:spacing w:before="50" w:after="50"/>
      </w:pPr>
      <w:r>
        <w:rPr>
          <w:rFonts w:ascii="Arial" w:hAnsi="Arial" w:eastAsia="Arial" w:cs="Arial"/>
          <w:b w:val="0"/>
          <w:bCs w:val="0"/>
          <w:color w:val="1A1A1A"/>
          <w:sz w:val="22"/>
          <w:szCs w:val="22"/>
        </w:rPr>
        <w:t>Target: £87,500 annual revenue, break-even in operational costs, 5 UK settled worker jobs created.</w:t>
      </w:r>
    </w:p>
    <w:p w14:paraId="44297CA1">
      <w:pPr>
        <w:spacing w:before="80" w:after="0"/>
      </w:pPr>
    </w:p>
    <w:p w14:paraId="75630D61">
      <w:pPr>
        <w:pStyle w:val="3"/>
        <w:spacing w:before="300" w:after="100"/>
      </w:pPr>
      <w:r>
        <w:rPr>
          <w:rFonts w:ascii="Georgia" w:hAnsi="Georgia" w:eastAsia="Georgia" w:cs="Georgia"/>
          <w:b/>
          <w:bCs/>
          <w:color w:val="2E7D52"/>
          <w:sz w:val="26"/>
          <w:szCs w:val="26"/>
        </w:rPr>
        <w:t>Phase 3 — National Platform (Year 3)</w:t>
      </w:r>
    </w:p>
    <w:p w14:paraId="41C1B145">
      <w:pPr>
        <w:pStyle w:val="14"/>
        <w:numPr>
          <w:ilvl w:val="0"/>
          <w:numId w:val="1"/>
        </w:numPr>
        <w:spacing w:before="50" w:after="50"/>
      </w:pPr>
      <w:r>
        <w:rPr>
          <w:rFonts w:ascii="Arial" w:hAnsi="Arial" w:eastAsia="Arial" w:cs="Arial"/>
          <w:b w:val="0"/>
          <w:bCs w:val="0"/>
          <w:color w:val="1A1A1A"/>
          <w:sz w:val="22"/>
          <w:szCs w:val="22"/>
        </w:rPr>
        <w:t>License the Hub &amp; Spoke model and Smart-Prep methodology to 3+ UK community organisations.</w:t>
      </w:r>
    </w:p>
    <w:p w14:paraId="067F023F">
      <w:pPr>
        <w:pStyle w:val="14"/>
        <w:numPr>
          <w:ilvl w:val="0"/>
          <w:numId w:val="1"/>
        </w:numPr>
        <w:spacing w:before="50" w:after="50"/>
      </w:pPr>
      <w:r>
        <w:rPr>
          <w:rFonts w:ascii="Arial" w:hAnsi="Arial" w:eastAsia="Arial" w:cs="Arial"/>
          <w:b w:val="0"/>
          <w:bCs w:val="0"/>
          <w:color w:val="1A1A1A"/>
          <w:sz w:val="22"/>
          <w:szCs w:val="22"/>
        </w:rPr>
        <w:t>Digital subscription platform reaches 500+ national subscribers.</w:t>
      </w:r>
    </w:p>
    <w:p w14:paraId="22570518">
      <w:pPr>
        <w:pStyle w:val="14"/>
        <w:numPr>
          <w:ilvl w:val="0"/>
          <w:numId w:val="1"/>
        </w:numPr>
        <w:spacing w:before="50" w:after="50"/>
      </w:pPr>
      <w:r>
        <w:rPr>
          <w:rFonts w:ascii="Arial" w:hAnsi="Arial" w:eastAsia="Arial" w:cs="Arial"/>
          <w:b w:val="0"/>
          <w:bCs w:val="0"/>
          <w:color w:val="1A1A1A"/>
          <w:sz w:val="22"/>
          <w:szCs w:val="22"/>
        </w:rPr>
        <w:t>Launch formal Scope 3 supply chain carbon tracking service for partner businesses.</w:t>
      </w:r>
    </w:p>
    <w:p w14:paraId="0E4A2BA9">
      <w:pPr>
        <w:pStyle w:val="14"/>
        <w:numPr>
          <w:ilvl w:val="0"/>
          <w:numId w:val="1"/>
        </w:numPr>
        <w:spacing w:before="50" w:after="50"/>
      </w:pPr>
      <w:r>
        <w:rPr>
          <w:rFonts w:ascii="Arial" w:hAnsi="Arial" w:eastAsia="Arial" w:cs="Arial"/>
          <w:b w:val="0"/>
          <w:bCs w:val="0"/>
          <w:color w:val="1A1A1A"/>
          <w:sz w:val="22"/>
          <w:szCs w:val="22"/>
        </w:rPr>
        <w:t>Team grows to 10+ employees.</w:t>
      </w:r>
    </w:p>
    <w:p w14:paraId="54C14267">
      <w:pPr>
        <w:pStyle w:val="14"/>
        <w:numPr>
          <w:ilvl w:val="0"/>
          <w:numId w:val="1"/>
        </w:numPr>
        <w:spacing w:before="50" w:after="50"/>
      </w:pPr>
      <w:r>
        <w:rPr>
          <w:rFonts w:ascii="Arial" w:hAnsi="Arial" w:eastAsia="Arial" w:cs="Arial"/>
          <w:b w:val="0"/>
          <w:bCs w:val="0"/>
          <w:color w:val="1A1A1A"/>
          <w:sz w:val="22"/>
          <w:szCs w:val="22"/>
        </w:rPr>
        <w:t>Explore EU and West Africa market for digital subscription and consulting export.</w:t>
      </w:r>
    </w:p>
    <w:p w14:paraId="7D9751F3">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0F3F6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shd w:val="clear" w:color="auto" w:fill="1A6B3C"/>
            <w:tcMar>
              <w:top w:w="160" w:type="dxa"/>
              <w:left w:w="200" w:type="dxa"/>
              <w:bottom w:w="160" w:type="dxa"/>
              <w:right w:w="200" w:type="dxa"/>
            </w:tcMar>
            <w:vAlign w:val="center"/>
          </w:tcPr>
          <w:p w14:paraId="6065EBBF">
            <w:pPr>
              <w:jc w:val="center"/>
            </w:pPr>
            <w:r>
              <w:rPr>
                <w:rFonts w:ascii="Georgia" w:hAnsi="Georgia" w:eastAsia="Georgia" w:cs="Georgia"/>
                <w:b/>
                <w:bCs/>
                <w:color w:val="FFFFFF"/>
                <w:sz w:val="36"/>
                <w:szCs w:val="36"/>
              </w:rPr>
              <w:t>07</w:t>
            </w:r>
          </w:p>
        </w:tc>
        <w:tc>
          <w:tcPr>
            <w:tcW w:w="8160" w:type="dxa"/>
            <w:tcBorders>
              <w:top w:val="nil"/>
              <w:left w:val="nil"/>
              <w:bottom w:val="nil"/>
              <w:right w:val="nil"/>
            </w:tcBorders>
            <w:shd w:val="clear" w:color="auto" w:fill="0D3D24"/>
            <w:tcMar>
              <w:top w:w="160" w:type="dxa"/>
              <w:left w:w="240" w:type="dxa"/>
              <w:bottom w:w="160" w:type="dxa"/>
              <w:right w:w="200" w:type="dxa"/>
            </w:tcMar>
            <w:vAlign w:val="center"/>
          </w:tcPr>
          <w:p w14:paraId="4713D627">
            <w:r>
              <w:rPr>
                <w:rFonts w:ascii="Georgia" w:hAnsi="Georgia" w:eastAsia="Georgia" w:cs="Georgia"/>
                <w:b/>
                <w:bCs/>
                <w:color w:val="FFFFFF"/>
                <w:sz w:val="28"/>
                <w:szCs w:val="28"/>
              </w:rPr>
              <w:t>Scalability Strategy</w:t>
            </w:r>
          </w:p>
        </w:tc>
      </w:tr>
    </w:tbl>
    <w:p w14:paraId="7D55F312">
      <w:pPr>
        <w:spacing w:before="100" w:after="0"/>
      </w:pPr>
    </w:p>
    <w:p w14:paraId="07306B6A">
      <w:pPr>
        <w:spacing w:before="80" w:after="100"/>
      </w:pPr>
      <w:r>
        <w:rPr>
          <w:rFonts w:ascii="Arial" w:hAnsi="Arial" w:eastAsia="Arial" w:cs="Arial"/>
          <w:color w:val="1A1A1A"/>
          <w:sz w:val="22"/>
          <w:szCs w:val="22"/>
        </w:rPr>
        <w:t>Scalability is not an afterthought for Green Africa Hub — it is encoded in the business architecture. The business is designed to grow revenue significantly faster than costs through four mechanisms.</w:t>
      </w:r>
    </w:p>
    <w:p w14:paraId="3B8547AB">
      <w:pPr>
        <w:spacing w:before="80" w:after="0"/>
      </w:pPr>
    </w:p>
    <w:p w14:paraId="647A230E">
      <w:pPr>
        <w:pStyle w:val="3"/>
        <w:spacing w:before="300" w:after="100"/>
      </w:pPr>
      <w:r>
        <w:rPr>
          <w:rFonts w:ascii="Georgia" w:hAnsi="Georgia" w:eastAsia="Georgia" w:cs="Georgia"/>
          <w:b/>
          <w:bCs/>
          <w:color w:val="2E7D52"/>
          <w:sz w:val="26"/>
          <w:szCs w:val="26"/>
        </w:rPr>
        <w:t>1. Digital Subscription — Near-Zero Marginal Cost</w:t>
      </w:r>
    </w:p>
    <w:p w14:paraId="730088D0">
      <w:pPr>
        <w:spacing w:before="80" w:after="100"/>
      </w:pPr>
      <w:r>
        <w:rPr>
          <w:rFonts w:ascii="Arial" w:hAnsi="Arial" w:eastAsia="Arial" w:cs="Arial"/>
          <w:color w:val="1A1A1A"/>
          <w:sz w:val="22"/>
          <w:szCs w:val="22"/>
        </w:rPr>
        <w:t>Once the video library, carbon dashboard, and online curriculum are built, the cost of adding subscriber number 500 is the same as adding subscriber number 50. A subscriber in Birmingham, Manchester, or Lagos costs nothing additional to serve. This is a fundamentally scalable revenue model. Our Year 1 target of 120 digital subscribers grows to 500+ by Year 3 — with no proportional increase in infrastructure cost.</w:t>
      </w:r>
    </w:p>
    <w:p w14:paraId="26AA736D">
      <w:pPr>
        <w:spacing w:before="80" w:after="0"/>
      </w:pPr>
    </w:p>
    <w:p w14:paraId="4D870B2B">
      <w:pPr>
        <w:pStyle w:val="3"/>
        <w:spacing w:before="300" w:after="100"/>
      </w:pPr>
      <w:r>
        <w:rPr>
          <w:rFonts w:ascii="Georgia" w:hAnsi="Georgia" w:eastAsia="Georgia" w:cs="Georgia"/>
          <w:b/>
          <w:bCs/>
          <w:color w:val="2E7D52"/>
          <w:sz w:val="26"/>
          <w:szCs w:val="26"/>
        </w:rPr>
        <w:t>2. Hub &amp; Spoke Licensing</w:t>
      </w:r>
    </w:p>
    <w:p w14:paraId="60BABEBF">
      <w:pPr>
        <w:spacing w:before="80" w:after="100"/>
      </w:pPr>
      <w:r>
        <w:rPr>
          <w:rFonts w:ascii="Arial" w:hAnsi="Arial" w:eastAsia="Arial" w:cs="Arial"/>
          <w:color w:val="1A1A1A"/>
          <w:sz w:val="22"/>
          <w:szCs w:val="22"/>
        </w:rPr>
        <w:t>The Hub centralises our expertise: the Smart-Prep methodology, the carbon tracking system, the sustainability curriculum, and the supplier network. The Spoke — a local community kitchen using our methodology — can be established in any UK city with a significant African/Caribbean community. We do not need to own or operate each Spoke. We license the methodology, provide training and digital tools, and earn a licensing fee. By Year 3, we project model licensing in a minimum of 3 UK cities.</w:t>
      </w:r>
    </w:p>
    <w:p w14:paraId="003CAEB6">
      <w:pPr>
        <w:spacing w:before="80" w:after="0"/>
      </w:pPr>
    </w:p>
    <w:p w14:paraId="7D69863F">
      <w:pPr>
        <w:pStyle w:val="3"/>
        <w:spacing w:before="300" w:after="100"/>
      </w:pPr>
      <w:r>
        <w:rPr>
          <w:rFonts w:ascii="Georgia" w:hAnsi="Georgia" w:eastAsia="Georgia" w:cs="Georgia"/>
          <w:b/>
          <w:bCs/>
          <w:color w:val="2E7D52"/>
          <w:sz w:val="26"/>
          <w:szCs w:val="26"/>
        </w:rPr>
        <w:t>3. Equipment Referral Commission — Scales with Community Growth</w:t>
      </w:r>
    </w:p>
    <w:p w14:paraId="0F4B0858">
      <w:pPr>
        <w:spacing w:before="80" w:after="100"/>
      </w:pPr>
      <w:r>
        <w:rPr>
          <w:rFonts w:ascii="Arial" w:hAnsi="Arial" w:eastAsia="Arial" w:cs="Arial"/>
          <w:color w:val="1A1A1A"/>
          <w:sz w:val="22"/>
          <w:szCs w:val="22"/>
        </w:rPr>
        <w:t>As our community membership grows, so does our referral volume. If 100 community members each purchase a recommended kitchen tool at £150 average value, a 12% commission generates £1,800 from a single product recommendation. This income stream grows automatically with our audience — without any additional cost.</w:t>
      </w:r>
    </w:p>
    <w:p w14:paraId="23935F28">
      <w:pPr>
        <w:spacing w:before="80" w:after="0"/>
      </w:pPr>
    </w:p>
    <w:p w14:paraId="0A72FC9A">
      <w:pPr>
        <w:pStyle w:val="3"/>
        <w:spacing w:before="300" w:after="100"/>
      </w:pPr>
      <w:r>
        <w:rPr>
          <w:rFonts w:ascii="Georgia" w:hAnsi="Georgia" w:eastAsia="Georgia" w:cs="Georgia"/>
          <w:b/>
          <w:bCs/>
          <w:color w:val="2E7D52"/>
          <w:sz w:val="26"/>
          <w:szCs w:val="26"/>
        </w:rPr>
        <w:t>4. IP &amp; Content Asset Value</w:t>
      </w:r>
    </w:p>
    <w:p w14:paraId="5C24A41B">
      <w:pPr>
        <w:spacing w:before="80" w:after="100"/>
      </w:pPr>
      <w:r>
        <w:rPr>
          <w:rFonts w:ascii="Arial" w:hAnsi="Arial" w:eastAsia="Arial" w:cs="Arial"/>
          <w:color w:val="1A1A1A"/>
          <w:sz w:val="22"/>
          <w:szCs w:val="22"/>
        </w:rPr>
        <w:t>The Smart-Prep Cookbook — with its combination of traditional recipes, energy-efficiency engineering, nutritional data, allergen information, and carbon footprint data — is a unique intellectual property asset. By Year 2, this is publishable as a commercial cookbook (print and digital), licensable to food education institutions, and adaptable for NHS cultural competency catering programmes. The content created for digital subscribers also has potential for licensing to mainstream food platforms.</w:t>
      </w:r>
    </w:p>
    <w:p w14:paraId="062817EE">
      <w:pPr>
        <w:spacing w:before="80" w:after="0"/>
      </w:pPr>
    </w:p>
    <w:p w14:paraId="0CEECDCA">
      <w:pPr>
        <w:pStyle w:val="3"/>
        <w:spacing w:before="300" w:after="100"/>
      </w:pPr>
      <w:r>
        <w:rPr>
          <w:rFonts w:ascii="Georgia" w:hAnsi="Georgia" w:eastAsia="Georgia" w:cs="Georgia"/>
          <w:b/>
          <w:bCs/>
          <w:color w:val="2E7D52"/>
          <w:sz w:val="26"/>
          <w:szCs w:val="26"/>
        </w:rPr>
        <w:t>Job Creation Projection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5560"/>
      </w:tblGrid>
      <w:tr w14:paraId="66422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87F58D9">
            <w:pPr>
              <w:jc w:val="left"/>
            </w:pPr>
            <w:r>
              <w:rPr>
                <w:rFonts w:ascii="Arial" w:hAnsi="Arial" w:eastAsia="Arial" w:cs="Arial"/>
                <w:b/>
                <w:bCs/>
                <w:color w:val="FFFFFF"/>
                <w:sz w:val="21"/>
                <w:szCs w:val="21"/>
              </w:rPr>
              <w:t>Year</w:t>
            </w:r>
          </w:p>
        </w:tc>
        <w:tc>
          <w:tcPr>
            <w:tcW w:w="20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22D05E3E">
            <w:pPr>
              <w:jc w:val="left"/>
            </w:pPr>
            <w:r>
              <w:rPr>
                <w:rFonts w:ascii="Arial" w:hAnsi="Arial" w:eastAsia="Arial" w:cs="Arial"/>
                <w:b/>
                <w:bCs/>
                <w:color w:val="FFFFFF"/>
                <w:sz w:val="21"/>
                <w:szCs w:val="21"/>
              </w:rPr>
              <w:t>Headcount</w:t>
            </w:r>
          </w:p>
        </w:tc>
        <w:tc>
          <w:tcPr>
            <w:tcW w:w="55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7231FE99">
            <w:pPr>
              <w:jc w:val="left"/>
            </w:pPr>
            <w:r>
              <w:rPr>
                <w:rFonts w:ascii="Arial" w:hAnsi="Arial" w:eastAsia="Arial" w:cs="Arial"/>
                <w:b/>
                <w:bCs/>
                <w:color w:val="FFFFFF"/>
                <w:sz w:val="21"/>
                <w:szCs w:val="21"/>
              </w:rPr>
              <w:t>Roles (UK settled workers)</w:t>
            </w:r>
          </w:p>
        </w:tc>
      </w:tr>
      <w:tr w14:paraId="4ED6D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0CF832BF">
            <w:pPr>
              <w:jc w:val="left"/>
            </w:pPr>
            <w:r>
              <w:rPr>
                <w:rFonts w:ascii="Arial" w:hAnsi="Arial" w:eastAsia="Arial" w:cs="Arial"/>
                <w:b w:val="0"/>
                <w:bCs w:val="0"/>
                <w:color w:val="1A1A1A"/>
                <w:sz w:val="21"/>
                <w:szCs w:val="21"/>
              </w:rPr>
              <w:t>Year 1</w:t>
            </w:r>
          </w:p>
        </w:tc>
        <w:tc>
          <w:tcPr>
            <w:tcW w:w="20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24DDDE96">
            <w:pPr>
              <w:jc w:val="center"/>
            </w:pPr>
            <w:r>
              <w:rPr>
                <w:rFonts w:ascii="Arial" w:hAnsi="Arial" w:eastAsia="Arial" w:cs="Arial"/>
                <w:b w:val="0"/>
                <w:bCs w:val="0"/>
                <w:color w:val="1A1A1A"/>
                <w:sz w:val="21"/>
                <w:szCs w:val="21"/>
              </w:rPr>
              <w:t>2</w:t>
            </w:r>
          </w:p>
        </w:tc>
        <w:tc>
          <w:tcPr>
            <w:tcW w:w="55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77B15C10">
            <w:pPr>
              <w:jc w:val="left"/>
            </w:pPr>
            <w:r>
              <w:rPr>
                <w:rFonts w:ascii="Arial" w:hAnsi="Arial" w:eastAsia="Arial" w:cs="Arial"/>
                <w:b w:val="0"/>
                <w:bCs w:val="0"/>
                <w:color w:val="1A1A1A"/>
                <w:sz w:val="21"/>
                <w:szCs w:val="21"/>
              </w:rPr>
              <w:t>Kitchen Coordinator (part-time), Digital Content Creator (freelance/PT)</w:t>
            </w:r>
          </w:p>
        </w:tc>
      </w:tr>
      <w:tr w14:paraId="55714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60B3AB">
            <w:pPr>
              <w:jc w:val="left"/>
            </w:pPr>
            <w:r>
              <w:rPr>
                <w:rFonts w:ascii="Arial" w:hAnsi="Arial" w:eastAsia="Arial" w:cs="Arial"/>
                <w:b w:val="0"/>
                <w:bCs w:val="0"/>
                <w:color w:val="1A1A1A"/>
                <w:sz w:val="21"/>
                <w:szCs w:val="21"/>
              </w:rPr>
              <w:t>Year 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9F748B">
            <w:pPr>
              <w:jc w:val="center"/>
            </w:pPr>
            <w:r>
              <w:rPr>
                <w:rFonts w:ascii="Arial" w:hAnsi="Arial" w:eastAsia="Arial" w:cs="Arial"/>
                <w:b w:val="0"/>
                <w:bCs w:val="0"/>
                <w:color w:val="1A1A1A"/>
                <w:sz w:val="21"/>
                <w:szCs w:val="21"/>
              </w:rPr>
              <w:t>5</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576E01">
            <w:pPr>
              <w:jc w:val="left"/>
            </w:pPr>
            <w:r>
              <w:rPr>
                <w:rFonts w:ascii="Arial" w:hAnsi="Arial" w:eastAsia="Arial" w:cs="Arial"/>
                <w:b w:val="0"/>
                <w:bCs w:val="0"/>
                <w:color w:val="1A1A1A"/>
                <w:sz w:val="21"/>
                <w:szCs w:val="21"/>
              </w:rPr>
              <w:t>+ Sustainability Coordinator (FT), Community Engagement Lead (PT), Operations Manager (PT)</w:t>
            </w:r>
          </w:p>
        </w:tc>
      </w:tr>
      <w:tr w14:paraId="0DCAE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5ABC3061">
            <w:pPr>
              <w:jc w:val="left"/>
            </w:pPr>
            <w:r>
              <w:rPr>
                <w:rFonts w:ascii="Arial" w:hAnsi="Arial" w:eastAsia="Arial" w:cs="Arial"/>
                <w:b w:val="0"/>
                <w:bCs w:val="0"/>
                <w:color w:val="1A1A1A"/>
                <w:sz w:val="21"/>
                <w:szCs w:val="21"/>
              </w:rPr>
              <w:t>Year 3</w:t>
            </w:r>
          </w:p>
        </w:tc>
        <w:tc>
          <w:tcPr>
            <w:tcW w:w="20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0DCADCCD">
            <w:pPr>
              <w:jc w:val="center"/>
            </w:pPr>
            <w:r>
              <w:rPr>
                <w:rFonts w:ascii="Arial" w:hAnsi="Arial" w:eastAsia="Arial" w:cs="Arial"/>
                <w:b w:val="0"/>
                <w:bCs w:val="0"/>
                <w:color w:val="1A1A1A"/>
                <w:sz w:val="21"/>
                <w:szCs w:val="21"/>
              </w:rPr>
              <w:t>10+</w:t>
            </w:r>
          </w:p>
        </w:tc>
        <w:tc>
          <w:tcPr>
            <w:tcW w:w="55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5B533FA">
            <w:pPr>
              <w:jc w:val="left"/>
            </w:pPr>
            <w:r>
              <w:rPr>
                <w:rFonts w:ascii="Arial" w:hAnsi="Arial" w:eastAsia="Arial" w:cs="Arial"/>
                <w:b w:val="0"/>
                <w:bCs w:val="0"/>
                <w:color w:val="1A1A1A"/>
                <w:sz w:val="21"/>
                <w:szCs w:val="21"/>
              </w:rPr>
              <w:t>+ 2nd Hub staff, B2B Sales Executive, Data Analyst, Partnership Manager, Marketing Lead</w:t>
            </w:r>
          </w:p>
        </w:tc>
      </w:tr>
    </w:tbl>
    <w:p w14:paraId="52D69AC1">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66A1E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shd w:val="clear" w:color="auto" w:fill="1A6B3C"/>
            <w:tcMar>
              <w:top w:w="160" w:type="dxa"/>
              <w:left w:w="200" w:type="dxa"/>
              <w:bottom w:w="160" w:type="dxa"/>
              <w:right w:w="200" w:type="dxa"/>
            </w:tcMar>
            <w:vAlign w:val="center"/>
          </w:tcPr>
          <w:p w14:paraId="66E12CFC">
            <w:pPr>
              <w:jc w:val="center"/>
            </w:pPr>
            <w:r>
              <w:rPr>
                <w:rFonts w:ascii="Georgia" w:hAnsi="Georgia" w:eastAsia="Georgia" w:cs="Georgia"/>
                <w:b/>
                <w:bCs/>
                <w:color w:val="FFFFFF"/>
                <w:sz w:val="36"/>
                <w:szCs w:val="36"/>
              </w:rPr>
              <w:t>08</w:t>
            </w:r>
          </w:p>
        </w:tc>
        <w:tc>
          <w:tcPr>
            <w:tcW w:w="8160" w:type="dxa"/>
            <w:tcBorders>
              <w:top w:val="nil"/>
              <w:left w:val="nil"/>
              <w:bottom w:val="nil"/>
              <w:right w:val="nil"/>
            </w:tcBorders>
            <w:shd w:val="clear" w:color="auto" w:fill="0D3D24"/>
            <w:tcMar>
              <w:top w:w="160" w:type="dxa"/>
              <w:left w:w="240" w:type="dxa"/>
              <w:bottom w:w="160" w:type="dxa"/>
              <w:right w:w="200" w:type="dxa"/>
            </w:tcMar>
            <w:vAlign w:val="center"/>
          </w:tcPr>
          <w:p w14:paraId="0C3865CD">
            <w:r>
              <w:rPr>
                <w:rFonts w:ascii="Georgia" w:hAnsi="Georgia" w:eastAsia="Georgia" w:cs="Georgia"/>
                <w:b/>
                <w:bCs/>
                <w:color w:val="FFFFFF"/>
                <w:sz w:val="28"/>
                <w:szCs w:val="28"/>
              </w:rPr>
              <w:t>Innovation Strategy</w:t>
            </w:r>
          </w:p>
        </w:tc>
      </w:tr>
    </w:tbl>
    <w:p w14:paraId="69BC6488">
      <w:pPr>
        <w:spacing w:before="100" w:after="0"/>
      </w:pPr>
    </w:p>
    <w:p w14:paraId="2FF62A18">
      <w:pPr>
        <w:spacing w:before="80" w:after="100"/>
      </w:pPr>
      <w:r>
        <w:rPr>
          <w:rFonts w:ascii="Arial" w:hAnsi="Arial" w:eastAsia="Arial" w:cs="Arial"/>
          <w:color w:val="1A1A1A"/>
          <w:sz w:val="22"/>
          <w:szCs w:val="22"/>
        </w:rPr>
        <w:t>Innovation, for the purpose of this application, is defined as the provision of a benefit not currently and readily available in the UK. Green Africa Hub meets this definition on four distinct and compounding grounds. Crucially, innovation is not added on at the end of this plan — it is the reason this business exists.</w:t>
      </w:r>
    </w:p>
    <w:p w14:paraId="5A24E417">
      <w:pPr>
        <w:spacing w:before="80" w:after="0"/>
      </w:pPr>
    </w:p>
    <w:p w14:paraId="7A0F57B0">
      <w:pPr>
        <w:pStyle w:val="3"/>
        <w:spacing w:before="300" w:after="100"/>
      </w:pPr>
      <w:r>
        <w:rPr>
          <w:rFonts w:ascii="Georgia" w:hAnsi="Georgia" w:eastAsia="Georgia" w:cs="Georgia"/>
          <w:b/>
          <w:bCs/>
          <w:color w:val="2E7D52"/>
          <w:sz w:val="26"/>
          <w:szCs w:val="26"/>
        </w:rPr>
        <w:t>Innovation 1 — First-Mover Market Position</w:t>
      </w:r>
    </w:p>
    <w:p w14:paraId="776C2775">
      <w:pPr>
        <w:spacing w:before="80" w:after="100"/>
      </w:pPr>
      <w:r>
        <w:rPr>
          <w:rFonts w:ascii="Arial" w:hAnsi="Arial" w:eastAsia="Arial" w:cs="Arial"/>
          <w:color w:val="1A1A1A"/>
          <w:sz w:val="22"/>
          <w:szCs w:val="22"/>
        </w:rPr>
        <w:t>There is no African or Caribbean-focused sustainable food technology hub in the United Kingdom. This is not a gap waiting to be filled by an existing player — the cultural knowledge, community trust, and technical combination required do not currently exist in a single business. Green Africa Hub is a category creator.</w:t>
      </w:r>
    </w:p>
    <w:p w14:paraId="517EF304">
      <w:pPr>
        <w:spacing w:before="80" w:after="0"/>
      </w:pPr>
    </w:p>
    <w:p w14:paraId="7A1CF40D">
      <w:pPr>
        <w:pStyle w:val="3"/>
        <w:spacing w:before="300" w:after="100"/>
      </w:pPr>
      <w:r>
        <w:rPr>
          <w:rFonts w:ascii="Georgia" w:hAnsi="Georgia" w:eastAsia="Georgia" w:cs="Georgia"/>
          <w:b/>
          <w:bCs/>
          <w:color w:val="2E7D52"/>
          <w:sz w:val="26"/>
          <w:szCs w:val="26"/>
        </w:rPr>
        <w:t>Innovation 2 — AI-Assisted Carbon Tracking for Community Kitchens</w:t>
      </w:r>
    </w:p>
    <w:p w14:paraId="088F9394">
      <w:pPr>
        <w:spacing w:before="80" w:after="100"/>
      </w:pPr>
      <w:r>
        <w:rPr>
          <w:rFonts w:ascii="Arial" w:hAnsi="Arial" w:eastAsia="Arial" w:cs="Arial"/>
          <w:color w:val="1A1A1A"/>
          <w:sz w:val="22"/>
          <w:szCs w:val="22"/>
        </w:rPr>
        <w:t>The business will deploy the UK's first AI-assisted carbon tracking dashboard specifically designed for African and Caribbean community catering. Built by Grace using Python and machine learning frameworks (scikit-learn), and visualised via Power BI, the dashboard enables members to:</w:t>
      </w:r>
    </w:p>
    <w:p w14:paraId="4457D5B5">
      <w:pPr>
        <w:pStyle w:val="14"/>
        <w:numPr>
          <w:ilvl w:val="0"/>
          <w:numId w:val="1"/>
        </w:numPr>
        <w:spacing w:before="50" w:after="50"/>
      </w:pPr>
      <w:r>
        <w:rPr>
          <w:rFonts w:ascii="Arial" w:hAnsi="Arial" w:eastAsia="Arial" w:cs="Arial"/>
          <w:b w:val="0"/>
          <w:bCs w:val="0"/>
          <w:color w:val="1A1A1A"/>
          <w:sz w:val="22"/>
          <w:szCs w:val="22"/>
        </w:rPr>
        <w:t>Track Scope 1 emissions (gas vs. induction energy per cooking session)</w:t>
      </w:r>
    </w:p>
    <w:p w14:paraId="40D8901A">
      <w:pPr>
        <w:pStyle w:val="14"/>
        <w:numPr>
          <w:ilvl w:val="0"/>
          <w:numId w:val="1"/>
        </w:numPr>
        <w:spacing w:before="50" w:after="50"/>
      </w:pPr>
      <w:r>
        <w:rPr>
          <w:rFonts w:ascii="Arial" w:hAnsi="Arial" w:eastAsia="Arial" w:cs="Arial"/>
          <w:b w:val="0"/>
          <w:bCs w:val="0"/>
          <w:color w:val="1A1A1A"/>
          <w:sz w:val="22"/>
          <w:szCs w:val="22"/>
        </w:rPr>
        <w:t>Track Scope 3 emissions (food miles per ingredient, packaging waste)</w:t>
      </w:r>
    </w:p>
    <w:p w14:paraId="0F32AAAB">
      <w:pPr>
        <w:pStyle w:val="14"/>
        <w:numPr>
          <w:ilvl w:val="0"/>
          <w:numId w:val="1"/>
        </w:numPr>
        <w:spacing w:before="50" w:after="50"/>
      </w:pPr>
      <w:r>
        <w:rPr>
          <w:rFonts w:ascii="Arial" w:hAnsi="Arial" w:eastAsia="Arial" w:cs="Arial"/>
          <w:b w:val="0"/>
          <w:bCs w:val="0"/>
          <w:color w:val="1A1A1A"/>
          <w:sz w:val="22"/>
          <w:szCs w:val="22"/>
        </w:rPr>
        <w:t>Receive AI-generated recommendations for lower-carbon ingredient substitutions</w:t>
      </w:r>
    </w:p>
    <w:p w14:paraId="2CB339B4">
      <w:pPr>
        <w:pStyle w:val="14"/>
        <w:numPr>
          <w:ilvl w:val="0"/>
          <w:numId w:val="1"/>
        </w:numPr>
        <w:spacing w:before="50" w:after="50"/>
      </w:pPr>
      <w:r>
        <w:rPr>
          <w:rFonts w:ascii="Arial" w:hAnsi="Arial" w:eastAsia="Arial" w:cs="Arial"/>
          <w:b w:val="0"/>
          <w:bCs w:val="0"/>
          <w:color w:val="1A1A1A"/>
          <w:sz w:val="22"/>
          <w:szCs w:val="22"/>
        </w:rPr>
        <w:t>Generate simple monthly sustainability reports — a capability that large corporations pay thousands for, now accessible to community caterers</w:t>
      </w:r>
    </w:p>
    <w:p w14:paraId="24444BA7">
      <w:pPr>
        <w:spacing w:before="60" w:after="0"/>
      </w:pPr>
    </w:p>
    <w:p w14:paraId="41C0F579">
      <w:pPr>
        <w:spacing w:before="80" w:after="100"/>
      </w:pPr>
      <w:r>
        <w:rPr>
          <w:rFonts w:ascii="Arial" w:hAnsi="Arial" w:eastAsia="Arial" w:cs="Arial"/>
          <w:color w:val="1A1A1A"/>
          <w:sz w:val="22"/>
          <w:szCs w:val="22"/>
        </w:rPr>
        <w:t>This tool has commercial potential beyond the community — as a licensed SaaS product for small food businesses, catering companies, and local authorities seeking to measure community-level dietary carbon footprints.</w:t>
      </w:r>
    </w:p>
    <w:p w14:paraId="49731F92">
      <w:pPr>
        <w:spacing w:before="80" w:after="0"/>
      </w:pPr>
    </w:p>
    <w:p w14:paraId="48D34500">
      <w:pPr>
        <w:pStyle w:val="3"/>
        <w:spacing w:before="300" w:after="100"/>
      </w:pPr>
      <w:r>
        <w:rPr>
          <w:rFonts w:ascii="Georgia" w:hAnsi="Georgia" w:eastAsia="Georgia" w:cs="Georgia"/>
          <w:b/>
          <w:bCs/>
          <w:color w:val="2E7D52"/>
          <w:sz w:val="26"/>
          <w:szCs w:val="26"/>
        </w:rPr>
        <w:t>Innovation 3 — The Smart-Prep Methodology</w:t>
      </w:r>
    </w:p>
    <w:p w14:paraId="5F9B92CB">
      <w:pPr>
        <w:spacing w:before="80" w:after="100"/>
      </w:pPr>
      <w:r>
        <w:rPr>
          <w:rFonts w:ascii="Arial" w:hAnsi="Arial" w:eastAsia="Arial" w:cs="Arial"/>
          <w:color w:val="1A1A1A"/>
          <w:sz w:val="22"/>
          <w:szCs w:val="22"/>
        </w:rPr>
        <w:t>Green Africa Hub has developed a proprietary Smart-Prep cooking methodology: a systematic redesign of traditional African and Caribbean recipes specifically engineered for energy-efficient electric induction technology. This is not simply substituting an electric hob for a gas one — it involves redesigning preparation sequences, cooking vessel selection, timing, and heat management to maximise energy efficiency while preserving flavour authenticity.</w:t>
      </w:r>
    </w:p>
    <w:p w14:paraId="6D8F1037">
      <w:pPr>
        <w:spacing w:before="60" w:after="0"/>
      </w:pPr>
    </w:p>
    <w:p w14:paraId="7CC8497D">
      <w:pPr>
        <w:spacing w:before="80" w:after="100"/>
      </w:pPr>
      <w:r>
        <w:rPr>
          <w:rFonts w:ascii="Arial" w:hAnsi="Arial" w:eastAsia="Arial" w:cs="Arial"/>
          <w:color w:val="1A1A1A"/>
          <w:sz w:val="22"/>
          <w:szCs w:val="22"/>
        </w:rPr>
        <w:t>The resulting cookbook contains 10 initial recipes (growing to 50+ by Year 2) with full ingredients, method, nutritional information, allergen data, and carbon footprint per serving. This represents a unique IP asset with commercial licensing potential in food education, the NHS cultural catering programme, and mainstream cookbook publishing.</w:t>
      </w:r>
    </w:p>
    <w:p w14:paraId="1CDE2941">
      <w:pPr>
        <w:spacing w:before="80" w:after="0"/>
      </w:pPr>
    </w:p>
    <w:p w14:paraId="6205DD62">
      <w:pPr>
        <w:pStyle w:val="3"/>
        <w:spacing w:before="300" w:after="100"/>
      </w:pPr>
      <w:r>
        <w:rPr>
          <w:rFonts w:ascii="Georgia" w:hAnsi="Georgia" w:eastAsia="Georgia" w:cs="Georgia"/>
          <w:b/>
          <w:bCs/>
          <w:color w:val="2E7D52"/>
          <w:sz w:val="26"/>
          <w:szCs w:val="26"/>
        </w:rPr>
        <w:t>Innovation 4 — Cultural Preservation as a Climate Strategy</w:t>
      </w:r>
    </w:p>
    <w:p w14:paraId="334FEA09">
      <w:pPr>
        <w:spacing w:before="80" w:after="100"/>
      </w:pPr>
      <w:r>
        <w:rPr>
          <w:rFonts w:ascii="Arial" w:hAnsi="Arial" w:eastAsia="Arial" w:cs="Arial"/>
          <w:color w:val="1A1A1A"/>
          <w:sz w:val="22"/>
          <w:szCs w:val="22"/>
        </w:rPr>
        <w:t>No existing business in the UK has positioned the preservation of African and Caribbean food culture as an explicit climate strategy. Green Africa Hub argues — and demonstrates — that making traditional cooking economically and environmentally viable is itself an act of climate action: it prevents the drift toward cheap, high-carbon, low-nutrient processed food alternatives that typically fill the gap when cultural cooking becomes too expensive. This framing is novel, credible, and deeply resonant with both community and policy audiences.</w:t>
      </w:r>
    </w:p>
    <w:p w14:paraId="1BFA447A">
      <w:pPr>
        <w:spacing w:before="80" w:after="0"/>
      </w:pPr>
    </w:p>
    <w:p w14:paraId="09C76B49">
      <w:pPr>
        <w:pStyle w:val="3"/>
        <w:spacing w:before="300" w:after="100"/>
      </w:pPr>
      <w:r>
        <w:rPr>
          <w:rFonts w:ascii="Georgia" w:hAnsi="Georgia" w:eastAsia="Georgia" w:cs="Georgia"/>
          <w:b/>
          <w:bCs/>
          <w:color w:val="2E7D52"/>
          <w:sz w:val="26"/>
          <w:szCs w:val="26"/>
        </w:rPr>
        <w:t>Continuous Innovation</w:t>
      </w:r>
    </w:p>
    <w:p w14:paraId="70B75B79">
      <w:pPr>
        <w:spacing w:before="80" w:after="100"/>
      </w:pPr>
      <w:r>
        <w:rPr>
          <w:rFonts w:ascii="Arial" w:hAnsi="Arial" w:eastAsia="Arial" w:cs="Arial"/>
          <w:color w:val="1A1A1A"/>
          <w:sz w:val="22"/>
          <w:szCs w:val="22"/>
        </w:rPr>
        <w:t>Innovation does not stop at launch. Our pipeline includes: Scope 3 supply chain tracking as a standalone SaaS product (Year 2), Smart-Prep methodology licensing to community organisations (Year 2–3), an AI-powered recipe personalisation tool based on individual carbon budgets (Year 3), and potential publication and licensing of the Smart-Prep cookbook internationally (Year 3+).</w:t>
      </w:r>
    </w:p>
    <w:p w14:paraId="1B2E385E">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68138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shd w:val="clear" w:color="auto" w:fill="1A6B3C"/>
            <w:tcMar>
              <w:top w:w="160" w:type="dxa"/>
              <w:left w:w="200" w:type="dxa"/>
              <w:bottom w:w="160" w:type="dxa"/>
              <w:right w:w="200" w:type="dxa"/>
            </w:tcMar>
            <w:vAlign w:val="center"/>
          </w:tcPr>
          <w:p w14:paraId="470A7A12">
            <w:pPr>
              <w:jc w:val="center"/>
            </w:pPr>
            <w:r>
              <w:rPr>
                <w:rFonts w:ascii="Georgia" w:hAnsi="Georgia" w:eastAsia="Georgia" w:cs="Georgia"/>
                <w:b/>
                <w:bCs/>
                <w:color w:val="FFFFFF"/>
                <w:sz w:val="36"/>
                <w:szCs w:val="36"/>
              </w:rPr>
              <w:t>09</w:t>
            </w:r>
          </w:p>
        </w:tc>
        <w:tc>
          <w:tcPr>
            <w:tcW w:w="8160" w:type="dxa"/>
            <w:tcBorders>
              <w:top w:val="nil"/>
              <w:left w:val="nil"/>
              <w:bottom w:val="nil"/>
              <w:right w:val="nil"/>
            </w:tcBorders>
            <w:shd w:val="clear" w:color="auto" w:fill="0D3D24"/>
            <w:tcMar>
              <w:top w:w="160" w:type="dxa"/>
              <w:left w:w="240" w:type="dxa"/>
              <w:bottom w:w="160" w:type="dxa"/>
              <w:right w:w="200" w:type="dxa"/>
            </w:tcMar>
            <w:vAlign w:val="center"/>
          </w:tcPr>
          <w:p w14:paraId="660912B0">
            <w:r>
              <w:rPr>
                <w:rFonts w:ascii="Georgia" w:hAnsi="Georgia" w:eastAsia="Georgia" w:cs="Georgia"/>
                <w:b/>
                <w:bCs/>
                <w:color w:val="FFFFFF"/>
                <w:sz w:val="28"/>
                <w:szCs w:val="28"/>
              </w:rPr>
              <w:t>Financial Planning</w:t>
            </w:r>
          </w:p>
        </w:tc>
      </w:tr>
    </w:tbl>
    <w:p w14:paraId="0CA23CE4">
      <w:pPr>
        <w:spacing w:before="100" w:after="0"/>
      </w:pPr>
    </w:p>
    <w:p w14:paraId="1FE6CBFA">
      <w:pPr>
        <w:pStyle w:val="3"/>
        <w:spacing w:before="300" w:after="100"/>
      </w:pPr>
      <w:r>
        <w:rPr>
          <w:rFonts w:ascii="Georgia" w:hAnsi="Georgia" w:eastAsia="Georgia" w:cs="Georgia"/>
          <w:b/>
          <w:bCs/>
          <w:color w:val="2E7D52"/>
          <w:sz w:val="26"/>
          <w:szCs w:val="26"/>
        </w:rPr>
        <w:t>Key Assumptions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A97A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6B3C" w:sz="0" w:space="0"/>
              <w:left w:val="single" w:color="1A6B3C" w:sz="0" w:space="0"/>
              <w:bottom w:val="single" w:color="1A6B3C" w:sz="0" w:space="0"/>
              <w:right w:val="single" w:color="1A6B3C" w:sz="0" w:space="0"/>
            </w:tcBorders>
            <w:shd w:val="clear" w:color="auto" w:fill="E8F5EE"/>
            <w:tcMar>
              <w:top w:w="140" w:type="dxa"/>
              <w:left w:w="220" w:type="dxa"/>
              <w:bottom w:w="140" w:type="dxa"/>
              <w:right w:w="220" w:type="dxa"/>
            </w:tcMar>
          </w:tcPr>
          <w:p w14:paraId="3E0EC8A2">
            <w:pPr>
              <w:spacing w:before="0" w:after="80"/>
            </w:pPr>
            <w:r>
              <w:rPr>
                <w:rFonts w:ascii="Arial" w:hAnsi="Arial" w:eastAsia="Arial" w:cs="Arial"/>
                <w:b/>
                <w:bCs/>
                <w:color w:val="0D3D24"/>
                <w:sz w:val="22"/>
                <w:szCs w:val="22"/>
              </w:rPr>
              <w:t>Revenue Assumptions</w:t>
            </w:r>
          </w:p>
          <w:p w14:paraId="48973760">
            <w:pPr>
              <w:spacing w:before="30" w:after="30"/>
            </w:pPr>
            <w:r>
              <w:rPr>
                <w:rFonts w:ascii="Arial" w:hAnsi="Arial" w:eastAsia="Arial" w:cs="Arial"/>
                <w:b/>
                <w:bCs/>
                <w:color w:val="0D3D24"/>
                <w:sz w:val="21"/>
                <w:szCs w:val="21"/>
              </w:rPr>
              <w:t xml:space="preserve">In-person sessions: </w:t>
            </w:r>
            <w:r>
              <w:rPr>
                <w:rFonts w:ascii="Arial" w:hAnsi="Arial" w:eastAsia="Arial" w:cs="Arial"/>
                <w:color w:val="1A1A1A"/>
                <w:sz w:val="21"/>
                <w:szCs w:val="21"/>
              </w:rPr>
              <w:t>2 sessions/week in Q1, growing to 4/week by Q4. Average 10 attendees per session. Average ticket £14 (blended basic/premium). 48 operating weeks per year.</w:t>
            </w:r>
          </w:p>
          <w:p w14:paraId="0AAD1D5A">
            <w:pPr>
              <w:spacing w:before="30" w:after="30"/>
            </w:pPr>
            <w:r>
              <w:rPr>
                <w:rFonts w:ascii="Arial" w:hAnsi="Arial" w:eastAsia="Arial" w:cs="Arial"/>
                <w:b/>
                <w:bCs/>
                <w:color w:val="0D3D24"/>
                <w:sz w:val="21"/>
                <w:szCs w:val="21"/>
              </w:rPr>
              <w:t xml:space="preserve">Digital subscriptions: </w:t>
            </w:r>
            <w:r>
              <w:rPr>
                <w:rFonts w:ascii="Arial" w:hAnsi="Arial" w:eastAsia="Arial" w:cs="Arial"/>
                <w:color w:val="1A1A1A"/>
                <w:sz w:val="21"/>
                <w:szCs w:val="21"/>
              </w:rPr>
              <w:t>Launch at 30 subscribers (Month 3), growing to 120 by Month 12. Average revenue £10/month. 15% monthly churn assumed.</w:t>
            </w:r>
          </w:p>
          <w:p w14:paraId="48BB7166">
            <w:pPr>
              <w:spacing w:before="30" w:after="30"/>
            </w:pPr>
            <w:r>
              <w:rPr>
                <w:rFonts w:ascii="Arial" w:hAnsi="Arial" w:eastAsia="Arial" w:cs="Arial"/>
                <w:b/>
                <w:bCs/>
                <w:color w:val="0D3D24"/>
                <w:sz w:val="21"/>
                <w:szCs w:val="21"/>
              </w:rPr>
              <w:t xml:space="preserve">Kitchen memberships: </w:t>
            </w:r>
            <w:r>
              <w:rPr>
                <w:rFonts w:ascii="Arial" w:hAnsi="Arial" w:eastAsia="Arial" w:cs="Arial"/>
                <w:color w:val="1A1A1A"/>
                <w:sz w:val="21"/>
                <w:szCs w:val="21"/>
              </w:rPr>
              <w:t>5 members from Month 3, growing to 10 by Month 8. Average £50/month.</w:t>
            </w:r>
          </w:p>
          <w:p w14:paraId="0E8E4A0A">
            <w:pPr>
              <w:spacing w:before="30" w:after="30"/>
            </w:pPr>
            <w:r>
              <w:rPr>
                <w:rFonts w:ascii="Arial" w:hAnsi="Arial" w:eastAsia="Arial" w:cs="Arial"/>
                <w:b/>
                <w:bCs/>
                <w:color w:val="0D3D24"/>
                <w:sz w:val="21"/>
                <w:szCs w:val="21"/>
              </w:rPr>
              <w:t xml:space="preserve">Equipment commissions: </w:t>
            </w:r>
            <w:r>
              <w:rPr>
                <w:rFonts w:ascii="Arial" w:hAnsi="Arial" w:eastAsia="Arial" w:cs="Arial"/>
                <w:color w:val="1A1A1A"/>
                <w:sz w:val="21"/>
                <w:szCs w:val="21"/>
              </w:rPr>
              <w:t>12% commission on average £180 equipment purchase. 10 referrals/month from Month 4. Grows with membership.</w:t>
            </w:r>
          </w:p>
          <w:p w14:paraId="3ECE8024">
            <w:pPr>
              <w:spacing w:before="30" w:after="30"/>
            </w:pPr>
            <w:r>
              <w:rPr>
                <w:rFonts w:ascii="Arial" w:hAnsi="Arial" w:eastAsia="Arial" w:cs="Arial"/>
                <w:b/>
                <w:bCs/>
                <w:color w:val="0D3D24"/>
                <w:sz w:val="21"/>
                <w:szCs w:val="21"/>
              </w:rPr>
              <w:t xml:space="preserve">B2B events/consulting: </w:t>
            </w:r>
            <w:r>
              <w:rPr>
                <w:rFonts w:ascii="Arial" w:hAnsi="Arial" w:eastAsia="Arial" w:cs="Arial"/>
                <w:color w:val="1A1A1A"/>
                <w:sz w:val="21"/>
                <w:szCs w:val="21"/>
              </w:rPr>
              <w:t>1 event in Q3, 2 in Q4 at average £1,000. Grows significantly in Year 2 as reputation builds.</w:t>
            </w:r>
          </w:p>
          <w:p w14:paraId="0BC60314">
            <w:pPr>
              <w:spacing w:before="30" w:after="0"/>
            </w:pPr>
            <w:r>
              <w:rPr>
                <w:rFonts w:ascii="Arial" w:hAnsi="Arial" w:eastAsia="Arial" w:cs="Arial"/>
                <w:b/>
                <w:bCs/>
                <w:color w:val="0D3D24"/>
                <w:sz w:val="21"/>
                <w:szCs w:val="21"/>
              </w:rPr>
              <w:t xml:space="preserve">Hub space: </w:t>
            </w:r>
            <w:r>
              <w:rPr>
                <w:rFonts w:ascii="Arial" w:hAnsi="Arial" w:eastAsia="Arial" w:cs="Arial"/>
                <w:color w:val="1A1A1A"/>
                <w:sz w:val="21"/>
                <w:szCs w:val="21"/>
              </w:rPr>
              <w:t>Partially offset by WECA-funded Future Leap partnership for first 6 months (estimated £10,000 in-kind value).</w:t>
            </w:r>
          </w:p>
        </w:tc>
      </w:tr>
    </w:tbl>
    <w:p w14:paraId="2F0B4E33">
      <w:pPr>
        <w:spacing w:before="80" w:after="0"/>
      </w:pPr>
    </w:p>
    <w:p w14:paraId="513633BC">
      <w:pPr>
        <w:pStyle w:val="3"/>
        <w:spacing w:before="300" w:after="100"/>
      </w:pPr>
      <w:r>
        <w:rPr>
          <w:rFonts w:ascii="Georgia" w:hAnsi="Georgia" w:eastAsia="Georgia" w:cs="Georgia"/>
          <w:b/>
          <w:bCs/>
          <w:color w:val="2E7D52"/>
          <w:sz w:val="26"/>
          <w:szCs w:val="26"/>
        </w:rPr>
        <w:t>3-Year Revenue Forecast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053"/>
        <w:gridCol w:w="2053"/>
        <w:gridCol w:w="2054"/>
      </w:tblGrid>
      <w:tr w14:paraId="17F6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20875294">
            <w:pPr>
              <w:jc w:val="left"/>
            </w:pPr>
            <w:r>
              <w:rPr>
                <w:rFonts w:ascii="Arial" w:hAnsi="Arial" w:eastAsia="Arial" w:cs="Arial"/>
                <w:b/>
                <w:bCs/>
                <w:color w:val="FFFFFF"/>
                <w:sz w:val="21"/>
                <w:szCs w:val="21"/>
              </w:rPr>
              <w:t>Revenue Stream</w:t>
            </w:r>
          </w:p>
        </w:tc>
        <w:tc>
          <w:tcPr>
            <w:tcW w:w="2053"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7CD9077F">
            <w:pPr>
              <w:jc w:val="left"/>
            </w:pPr>
            <w:r>
              <w:rPr>
                <w:rFonts w:ascii="Arial" w:hAnsi="Arial" w:eastAsia="Arial" w:cs="Arial"/>
                <w:b/>
                <w:bCs/>
                <w:color w:val="FFFFFF"/>
                <w:sz w:val="21"/>
                <w:szCs w:val="21"/>
              </w:rPr>
              <w:t>Year 1 (£)</w:t>
            </w:r>
          </w:p>
        </w:tc>
        <w:tc>
          <w:tcPr>
            <w:tcW w:w="2053"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28897052">
            <w:pPr>
              <w:jc w:val="left"/>
            </w:pPr>
            <w:r>
              <w:rPr>
                <w:rFonts w:ascii="Arial" w:hAnsi="Arial" w:eastAsia="Arial" w:cs="Arial"/>
                <w:b/>
                <w:bCs/>
                <w:color w:val="FFFFFF"/>
                <w:sz w:val="21"/>
                <w:szCs w:val="21"/>
              </w:rPr>
              <w:t>Year 2 (£)</w:t>
            </w:r>
          </w:p>
        </w:tc>
        <w:tc>
          <w:tcPr>
            <w:tcW w:w="2054"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4F774AED">
            <w:pPr>
              <w:jc w:val="left"/>
            </w:pPr>
            <w:r>
              <w:rPr>
                <w:rFonts w:ascii="Arial" w:hAnsi="Arial" w:eastAsia="Arial" w:cs="Arial"/>
                <w:b/>
                <w:bCs/>
                <w:color w:val="FFFFFF"/>
                <w:sz w:val="21"/>
                <w:szCs w:val="21"/>
              </w:rPr>
              <w:t>Year 3 (£)</w:t>
            </w:r>
          </w:p>
        </w:tc>
      </w:tr>
      <w:tr w14:paraId="54779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08D444AF">
            <w:pPr>
              <w:jc w:val="left"/>
            </w:pPr>
            <w:r>
              <w:rPr>
                <w:rFonts w:ascii="Arial" w:hAnsi="Arial" w:eastAsia="Arial" w:cs="Arial"/>
                <w:b w:val="0"/>
                <w:bCs w:val="0"/>
                <w:color w:val="1A1A1A"/>
                <w:sz w:val="21"/>
                <w:szCs w:val="21"/>
              </w:rPr>
              <w:t>In-person cooking sessions</w:t>
            </w:r>
          </w:p>
        </w:tc>
        <w:tc>
          <w:tcPr>
            <w:tcW w:w="2053"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5ABB51BC">
            <w:pPr>
              <w:jc w:val="right"/>
            </w:pPr>
            <w:r>
              <w:rPr>
                <w:rFonts w:ascii="Arial" w:hAnsi="Arial" w:eastAsia="Arial" w:cs="Arial"/>
                <w:b w:val="0"/>
                <w:bCs w:val="0"/>
                <w:color w:val="1A1A1A"/>
                <w:sz w:val="21"/>
                <w:szCs w:val="21"/>
              </w:rPr>
              <w:t>8,400</w:t>
            </w:r>
          </w:p>
        </w:tc>
        <w:tc>
          <w:tcPr>
            <w:tcW w:w="2053"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58294321">
            <w:pPr>
              <w:jc w:val="right"/>
            </w:pPr>
            <w:r>
              <w:rPr>
                <w:rFonts w:ascii="Arial" w:hAnsi="Arial" w:eastAsia="Arial" w:cs="Arial"/>
                <w:b w:val="0"/>
                <w:bCs w:val="0"/>
                <w:color w:val="1A1A1A"/>
                <w:sz w:val="21"/>
                <w:szCs w:val="21"/>
              </w:rPr>
              <w:t>28,800</w:t>
            </w:r>
          </w:p>
        </w:tc>
        <w:tc>
          <w:tcPr>
            <w:tcW w:w="2054"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B042EE4">
            <w:pPr>
              <w:jc w:val="right"/>
            </w:pPr>
            <w:r>
              <w:rPr>
                <w:rFonts w:ascii="Arial" w:hAnsi="Arial" w:eastAsia="Arial" w:cs="Arial"/>
                <w:b w:val="0"/>
                <w:bCs w:val="0"/>
                <w:color w:val="1A1A1A"/>
                <w:sz w:val="21"/>
                <w:szCs w:val="21"/>
              </w:rPr>
              <w:t>54,000</w:t>
            </w:r>
          </w:p>
        </w:tc>
      </w:tr>
      <w:tr w14:paraId="37874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DFEFCC">
            <w:pPr>
              <w:jc w:val="left"/>
            </w:pPr>
            <w:r>
              <w:rPr>
                <w:rFonts w:ascii="Arial" w:hAnsi="Arial" w:eastAsia="Arial" w:cs="Arial"/>
                <w:b w:val="0"/>
                <w:bCs w:val="0"/>
                <w:color w:val="1A1A1A"/>
                <w:sz w:val="21"/>
                <w:szCs w:val="21"/>
              </w:rPr>
              <w:t>Digital subscriptions</w:t>
            </w:r>
          </w:p>
        </w:tc>
        <w:tc>
          <w:tcPr>
            <w:tcW w:w="20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F2FE1E">
            <w:pPr>
              <w:jc w:val="right"/>
            </w:pPr>
            <w:r>
              <w:rPr>
                <w:rFonts w:ascii="Arial" w:hAnsi="Arial" w:eastAsia="Arial" w:cs="Arial"/>
                <w:b w:val="0"/>
                <w:bCs w:val="0"/>
                <w:color w:val="1A1A1A"/>
                <w:sz w:val="21"/>
                <w:szCs w:val="21"/>
              </w:rPr>
              <w:t>7,200</w:t>
            </w:r>
          </w:p>
        </w:tc>
        <w:tc>
          <w:tcPr>
            <w:tcW w:w="20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DE1B77">
            <w:pPr>
              <w:jc w:val="right"/>
            </w:pPr>
            <w:r>
              <w:rPr>
                <w:rFonts w:ascii="Arial" w:hAnsi="Arial" w:eastAsia="Arial" w:cs="Arial"/>
                <w:b w:val="0"/>
                <w:bCs w:val="0"/>
                <w:color w:val="1A1A1A"/>
                <w:sz w:val="21"/>
                <w:szCs w:val="21"/>
              </w:rPr>
              <w:t>28,800</w:t>
            </w:r>
          </w:p>
        </w:tc>
        <w:tc>
          <w:tcPr>
            <w:tcW w:w="205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1253F4">
            <w:pPr>
              <w:jc w:val="right"/>
            </w:pPr>
            <w:r>
              <w:rPr>
                <w:rFonts w:ascii="Arial" w:hAnsi="Arial" w:eastAsia="Arial" w:cs="Arial"/>
                <w:b w:val="0"/>
                <w:bCs w:val="0"/>
                <w:color w:val="1A1A1A"/>
                <w:sz w:val="21"/>
                <w:szCs w:val="21"/>
              </w:rPr>
              <w:t>57,600</w:t>
            </w:r>
          </w:p>
        </w:tc>
      </w:tr>
      <w:tr w14:paraId="21BD0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6E0A2191">
            <w:pPr>
              <w:jc w:val="left"/>
            </w:pPr>
            <w:r>
              <w:rPr>
                <w:rFonts w:ascii="Arial" w:hAnsi="Arial" w:eastAsia="Arial" w:cs="Arial"/>
                <w:b w:val="0"/>
                <w:bCs w:val="0"/>
                <w:color w:val="1A1A1A"/>
                <w:sz w:val="21"/>
                <w:szCs w:val="21"/>
              </w:rPr>
              <w:t>Kitchen memberships</w:t>
            </w:r>
          </w:p>
        </w:tc>
        <w:tc>
          <w:tcPr>
            <w:tcW w:w="2053"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4653856D">
            <w:pPr>
              <w:jc w:val="right"/>
            </w:pPr>
            <w:r>
              <w:rPr>
                <w:rFonts w:ascii="Arial" w:hAnsi="Arial" w:eastAsia="Arial" w:cs="Arial"/>
                <w:b w:val="0"/>
                <w:bCs w:val="0"/>
                <w:color w:val="1A1A1A"/>
                <w:sz w:val="21"/>
                <w:szCs w:val="21"/>
              </w:rPr>
              <w:t>6,000</w:t>
            </w:r>
          </w:p>
        </w:tc>
        <w:tc>
          <w:tcPr>
            <w:tcW w:w="2053"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5E13240">
            <w:pPr>
              <w:jc w:val="right"/>
            </w:pPr>
            <w:r>
              <w:rPr>
                <w:rFonts w:ascii="Arial" w:hAnsi="Arial" w:eastAsia="Arial" w:cs="Arial"/>
                <w:b w:val="0"/>
                <w:bCs w:val="0"/>
                <w:color w:val="1A1A1A"/>
                <w:sz w:val="21"/>
                <w:szCs w:val="21"/>
              </w:rPr>
              <w:t>18,000</w:t>
            </w:r>
          </w:p>
        </w:tc>
        <w:tc>
          <w:tcPr>
            <w:tcW w:w="2054"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204ADAF6">
            <w:pPr>
              <w:jc w:val="right"/>
            </w:pPr>
            <w:r>
              <w:rPr>
                <w:rFonts w:ascii="Arial" w:hAnsi="Arial" w:eastAsia="Arial" w:cs="Arial"/>
                <w:b w:val="0"/>
                <w:bCs w:val="0"/>
                <w:color w:val="1A1A1A"/>
                <w:sz w:val="21"/>
                <w:szCs w:val="21"/>
              </w:rPr>
              <w:t>24,000</w:t>
            </w:r>
          </w:p>
        </w:tc>
      </w:tr>
      <w:tr w14:paraId="7FBDA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29EEFC">
            <w:pPr>
              <w:jc w:val="left"/>
            </w:pPr>
            <w:r>
              <w:rPr>
                <w:rFonts w:ascii="Arial" w:hAnsi="Arial" w:eastAsia="Arial" w:cs="Arial"/>
                <w:b w:val="0"/>
                <w:bCs w:val="0"/>
                <w:color w:val="1A1A1A"/>
                <w:sz w:val="21"/>
                <w:szCs w:val="21"/>
              </w:rPr>
              <w:t>Equipment referral commissions</w:t>
            </w:r>
          </w:p>
        </w:tc>
        <w:tc>
          <w:tcPr>
            <w:tcW w:w="20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F88943">
            <w:pPr>
              <w:jc w:val="right"/>
            </w:pPr>
            <w:r>
              <w:rPr>
                <w:rFonts w:ascii="Arial" w:hAnsi="Arial" w:eastAsia="Arial" w:cs="Arial"/>
                <w:b w:val="0"/>
                <w:bCs w:val="0"/>
                <w:color w:val="1A1A1A"/>
                <w:sz w:val="21"/>
                <w:szCs w:val="21"/>
              </w:rPr>
              <w:t>2,600</w:t>
            </w:r>
          </w:p>
        </w:tc>
        <w:tc>
          <w:tcPr>
            <w:tcW w:w="20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086E3E">
            <w:pPr>
              <w:jc w:val="right"/>
            </w:pPr>
            <w:r>
              <w:rPr>
                <w:rFonts w:ascii="Arial" w:hAnsi="Arial" w:eastAsia="Arial" w:cs="Arial"/>
                <w:b w:val="0"/>
                <w:bCs w:val="0"/>
                <w:color w:val="1A1A1A"/>
                <w:sz w:val="21"/>
                <w:szCs w:val="21"/>
              </w:rPr>
              <w:t>6,500</w:t>
            </w:r>
          </w:p>
        </w:tc>
        <w:tc>
          <w:tcPr>
            <w:tcW w:w="205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DE21DA">
            <w:pPr>
              <w:jc w:val="right"/>
            </w:pPr>
            <w:r>
              <w:rPr>
                <w:rFonts w:ascii="Arial" w:hAnsi="Arial" w:eastAsia="Arial" w:cs="Arial"/>
                <w:b w:val="0"/>
                <w:bCs w:val="0"/>
                <w:color w:val="1A1A1A"/>
                <w:sz w:val="21"/>
                <w:szCs w:val="21"/>
              </w:rPr>
              <w:t>10,400</w:t>
            </w:r>
          </w:p>
        </w:tc>
      </w:tr>
      <w:tr w14:paraId="5FD69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2E58CA2">
            <w:pPr>
              <w:jc w:val="left"/>
            </w:pPr>
            <w:r>
              <w:rPr>
                <w:rFonts w:ascii="Arial" w:hAnsi="Arial" w:eastAsia="Arial" w:cs="Arial"/>
                <w:b w:val="0"/>
                <w:bCs w:val="0"/>
                <w:color w:val="1A1A1A"/>
                <w:sz w:val="21"/>
                <w:szCs w:val="21"/>
              </w:rPr>
              <w:t>B2B events &amp; consulting</w:t>
            </w:r>
          </w:p>
        </w:tc>
        <w:tc>
          <w:tcPr>
            <w:tcW w:w="2053"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28DD248">
            <w:pPr>
              <w:jc w:val="right"/>
            </w:pPr>
            <w:r>
              <w:rPr>
                <w:rFonts w:ascii="Arial" w:hAnsi="Arial" w:eastAsia="Arial" w:cs="Arial"/>
                <w:b w:val="0"/>
                <w:bCs w:val="0"/>
                <w:color w:val="1A1A1A"/>
                <w:sz w:val="21"/>
                <w:szCs w:val="21"/>
              </w:rPr>
              <w:t>4,000</w:t>
            </w:r>
          </w:p>
        </w:tc>
        <w:tc>
          <w:tcPr>
            <w:tcW w:w="2053"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5DF01EFE">
            <w:pPr>
              <w:jc w:val="right"/>
            </w:pPr>
            <w:r>
              <w:rPr>
                <w:rFonts w:ascii="Arial" w:hAnsi="Arial" w:eastAsia="Arial" w:cs="Arial"/>
                <w:b w:val="0"/>
                <w:bCs w:val="0"/>
                <w:color w:val="1A1A1A"/>
                <w:sz w:val="21"/>
                <w:szCs w:val="21"/>
              </w:rPr>
              <w:t>5,400</w:t>
            </w:r>
          </w:p>
        </w:tc>
        <w:tc>
          <w:tcPr>
            <w:tcW w:w="2054"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0D5188E8">
            <w:pPr>
              <w:jc w:val="right"/>
            </w:pPr>
            <w:r>
              <w:rPr>
                <w:rFonts w:ascii="Arial" w:hAnsi="Arial" w:eastAsia="Arial" w:cs="Arial"/>
                <w:b w:val="0"/>
                <w:bCs w:val="0"/>
                <w:color w:val="1A1A1A"/>
                <w:sz w:val="21"/>
                <w:szCs w:val="21"/>
              </w:rPr>
              <w:t>6,000</w:t>
            </w:r>
          </w:p>
        </w:tc>
      </w:tr>
      <w:tr w14:paraId="394B1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6D7FBD6C">
            <w:pPr>
              <w:jc w:val="left"/>
            </w:pPr>
            <w:r>
              <w:rPr>
                <w:rFonts w:ascii="Arial" w:hAnsi="Arial" w:eastAsia="Arial" w:cs="Arial"/>
                <w:b/>
                <w:bCs/>
                <w:color w:val="0D3D24"/>
                <w:sz w:val="21"/>
                <w:szCs w:val="21"/>
              </w:rPr>
              <w:t>TOTAL REVENUE</w:t>
            </w:r>
          </w:p>
        </w:tc>
        <w:tc>
          <w:tcPr>
            <w:tcW w:w="2053"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166871B9">
            <w:pPr>
              <w:jc w:val="right"/>
            </w:pPr>
            <w:r>
              <w:rPr>
                <w:rFonts w:ascii="Arial" w:hAnsi="Arial" w:eastAsia="Arial" w:cs="Arial"/>
                <w:b/>
                <w:bCs/>
                <w:color w:val="0D3D24"/>
                <w:sz w:val="21"/>
                <w:szCs w:val="21"/>
              </w:rPr>
              <w:t>28,200</w:t>
            </w:r>
          </w:p>
        </w:tc>
        <w:tc>
          <w:tcPr>
            <w:tcW w:w="2053"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5C4B693A">
            <w:pPr>
              <w:jc w:val="right"/>
            </w:pPr>
            <w:r>
              <w:rPr>
                <w:rFonts w:ascii="Arial" w:hAnsi="Arial" w:eastAsia="Arial" w:cs="Arial"/>
                <w:b/>
                <w:bCs/>
                <w:color w:val="0D3D24"/>
                <w:sz w:val="21"/>
                <w:szCs w:val="21"/>
              </w:rPr>
              <w:t>87,500</w:t>
            </w:r>
          </w:p>
        </w:tc>
        <w:tc>
          <w:tcPr>
            <w:tcW w:w="2054"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403324CD">
            <w:pPr>
              <w:jc w:val="right"/>
            </w:pPr>
            <w:r>
              <w:rPr>
                <w:rFonts w:ascii="Arial" w:hAnsi="Arial" w:eastAsia="Arial" w:cs="Arial"/>
                <w:b/>
                <w:bCs/>
                <w:color w:val="0D3D24"/>
                <w:sz w:val="21"/>
                <w:szCs w:val="21"/>
              </w:rPr>
              <w:t>152,000</w:t>
            </w:r>
          </w:p>
        </w:tc>
      </w:tr>
    </w:tbl>
    <w:p w14:paraId="28A35992">
      <w:pPr>
        <w:spacing w:before="80" w:after="0"/>
      </w:pPr>
    </w:p>
    <w:p w14:paraId="6BC7F88B">
      <w:pPr>
        <w:pStyle w:val="3"/>
        <w:spacing w:before="300" w:after="100"/>
      </w:pPr>
      <w:r>
        <w:rPr>
          <w:rFonts w:ascii="Georgia" w:hAnsi="Georgia" w:eastAsia="Georgia" w:cs="Georgia"/>
          <w:b/>
          <w:bCs/>
          <w:color w:val="2E7D52"/>
          <w:sz w:val="26"/>
          <w:szCs w:val="26"/>
        </w:rPr>
        <w:t>3-Year Cost &amp; Profit Forecast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053"/>
        <w:gridCol w:w="2053"/>
        <w:gridCol w:w="2054"/>
      </w:tblGrid>
      <w:tr w14:paraId="53A20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7334EEE8">
            <w:pPr>
              <w:jc w:val="left"/>
            </w:pPr>
            <w:r>
              <w:rPr>
                <w:rFonts w:ascii="Arial" w:hAnsi="Arial" w:eastAsia="Arial" w:cs="Arial"/>
                <w:b/>
                <w:bCs/>
                <w:color w:val="FFFFFF"/>
                <w:sz w:val="21"/>
                <w:szCs w:val="21"/>
              </w:rPr>
              <w:t>Cost Item</w:t>
            </w:r>
          </w:p>
        </w:tc>
        <w:tc>
          <w:tcPr>
            <w:tcW w:w="2053"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7A2A05CC">
            <w:pPr>
              <w:jc w:val="left"/>
            </w:pPr>
            <w:r>
              <w:rPr>
                <w:rFonts w:ascii="Arial" w:hAnsi="Arial" w:eastAsia="Arial" w:cs="Arial"/>
                <w:b/>
                <w:bCs/>
                <w:color w:val="FFFFFF"/>
                <w:sz w:val="21"/>
                <w:szCs w:val="21"/>
              </w:rPr>
              <w:t>Year 1 (£)</w:t>
            </w:r>
          </w:p>
        </w:tc>
        <w:tc>
          <w:tcPr>
            <w:tcW w:w="2053"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A96D884">
            <w:pPr>
              <w:jc w:val="left"/>
            </w:pPr>
            <w:r>
              <w:rPr>
                <w:rFonts w:ascii="Arial" w:hAnsi="Arial" w:eastAsia="Arial" w:cs="Arial"/>
                <w:b/>
                <w:bCs/>
                <w:color w:val="FFFFFF"/>
                <w:sz w:val="21"/>
                <w:szCs w:val="21"/>
              </w:rPr>
              <w:t>Year 2 (£)</w:t>
            </w:r>
          </w:p>
        </w:tc>
        <w:tc>
          <w:tcPr>
            <w:tcW w:w="2054"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3943EB8">
            <w:pPr>
              <w:jc w:val="left"/>
            </w:pPr>
            <w:r>
              <w:rPr>
                <w:rFonts w:ascii="Arial" w:hAnsi="Arial" w:eastAsia="Arial" w:cs="Arial"/>
                <w:b/>
                <w:bCs/>
                <w:color w:val="FFFFFF"/>
                <w:sz w:val="21"/>
                <w:szCs w:val="21"/>
              </w:rPr>
              <w:t>Year 3 (£)</w:t>
            </w:r>
          </w:p>
        </w:tc>
      </w:tr>
      <w:tr w14:paraId="223B0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744FE55">
            <w:pPr>
              <w:jc w:val="left"/>
            </w:pPr>
            <w:r>
              <w:rPr>
                <w:rFonts w:ascii="Arial" w:hAnsi="Arial" w:eastAsia="Arial" w:cs="Arial"/>
                <w:b w:val="0"/>
                <w:bCs w:val="0"/>
                <w:color w:val="1A1A1A"/>
                <w:sz w:val="21"/>
                <w:szCs w:val="21"/>
              </w:rPr>
              <w:t>Kitchen equipment (purchase/maintenance)</w:t>
            </w:r>
          </w:p>
        </w:tc>
        <w:tc>
          <w:tcPr>
            <w:tcW w:w="2053"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67107B75">
            <w:pPr>
              <w:jc w:val="right"/>
            </w:pPr>
            <w:r>
              <w:rPr>
                <w:rFonts w:ascii="Arial" w:hAnsi="Arial" w:eastAsia="Arial" w:cs="Arial"/>
                <w:b w:val="0"/>
                <w:bCs w:val="0"/>
                <w:color w:val="1A1A1A"/>
                <w:sz w:val="21"/>
                <w:szCs w:val="21"/>
              </w:rPr>
              <w:t>3,000</w:t>
            </w:r>
          </w:p>
        </w:tc>
        <w:tc>
          <w:tcPr>
            <w:tcW w:w="2053"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760F5964">
            <w:pPr>
              <w:jc w:val="right"/>
            </w:pPr>
            <w:r>
              <w:rPr>
                <w:rFonts w:ascii="Arial" w:hAnsi="Arial" w:eastAsia="Arial" w:cs="Arial"/>
                <w:b w:val="0"/>
                <w:bCs w:val="0"/>
                <w:color w:val="1A1A1A"/>
                <w:sz w:val="21"/>
                <w:szCs w:val="21"/>
              </w:rPr>
              <w:t>1,500</w:t>
            </w:r>
          </w:p>
        </w:tc>
        <w:tc>
          <w:tcPr>
            <w:tcW w:w="2054"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53330A62">
            <w:pPr>
              <w:jc w:val="right"/>
            </w:pPr>
            <w:r>
              <w:rPr>
                <w:rFonts w:ascii="Arial" w:hAnsi="Arial" w:eastAsia="Arial" w:cs="Arial"/>
                <w:b w:val="0"/>
                <w:bCs w:val="0"/>
                <w:color w:val="1A1A1A"/>
                <w:sz w:val="21"/>
                <w:szCs w:val="21"/>
              </w:rPr>
              <w:t>3,000</w:t>
            </w:r>
          </w:p>
        </w:tc>
      </w:tr>
      <w:tr w14:paraId="6807C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AEA479">
            <w:pPr>
              <w:jc w:val="left"/>
            </w:pPr>
            <w:r>
              <w:rPr>
                <w:rFonts w:ascii="Arial" w:hAnsi="Arial" w:eastAsia="Arial" w:cs="Arial"/>
                <w:b w:val="0"/>
                <w:bCs w:val="0"/>
                <w:color w:val="1A1A1A"/>
                <w:sz w:val="21"/>
                <w:szCs w:val="21"/>
              </w:rPr>
              <w:t>Hub space hire</w:t>
            </w:r>
          </w:p>
        </w:tc>
        <w:tc>
          <w:tcPr>
            <w:tcW w:w="20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AFB25F">
            <w:pPr>
              <w:jc w:val="right"/>
            </w:pPr>
            <w:r>
              <w:rPr>
                <w:rFonts w:ascii="Arial" w:hAnsi="Arial" w:eastAsia="Arial" w:cs="Arial"/>
                <w:b w:val="0"/>
                <w:bCs w:val="0"/>
                <w:color w:val="1A1A1A"/>
                <w:sz w:val="21"/>
                <w:szCs w:val="21"/>
              </w:rPr>
              <w:t>9,600</w:t>
            </w:r>
          </w:p>
        </w:tc>
        <w:tc>
          <w:tcPr>
            <w:tcW w:w="20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C2653B">
            <w:pPr>
              <w:jc w:val="right"/>
            </w:pPr>
            <w:r>
              <w:rPr>
                <w:rFonts w:ascii="Arial" w:hAnsi="Arial" w:eastAsia="Arial" w:cs="Arial"/>
                <w:b w:val="0"/>
                <w:bCs w:val="0"/>
                <w:color w:val="1A1A1A"/>
                <w:sz w:val="21"/>
                <w:szCs w:val="21"/>
              </w:rPr>
              <w:t>24,000</w:t>
            </w:r>
          </w:p>
        </w:tc>
        <w:tc>
          <w:tcPr>
            <w:tcW w:w="205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C12E2F">
            <w:pPr>
              <w:jc w:val="right"/>
            </w:pPr>
            <w:r>
              <w:rPr>
                <w:rFonts w:ascii="Arial" w:hAnsi="Arial" w:eastAsia="Arial" w:cs="Arial"/>
                <w:b w:val="0"/>
                <w:bCs w:val="0"/>
                <w:color w:val="1A1A1A"/>
                <w:sz w:val="21"/>
                <w:szCs w:val="21"/>
              </w:rPr>
              <w:t>36,000</w:t>
            </w:r>
          </w:p>
        </w:tc>
      </w:tr>
      <w:tr w14:paraId="09B2D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710C81AF">
            <w:pPr>
              <w:jc w:val="left"/>
            </w:pPr>
            <w:r>
              <w:rPr>
                <w:rFonts w:ascii="Arial" w:hAnsi="Arial" w:eastAsia="Arial" w:cs="Arial"/>
                <w:b w:val="0"/>
                <w:bCs w:val="0"/>
                <w:color w:val="1A1A1A"/>
                <w:sz w:val="21"/>
                <w:szCs w:val="21"/>
              </w:rPr>
              <w:t>Digital platform, website &amp; filming</w:t>
            </w:r>
          </w:p>
        </w:tc>
        <w:tc>
          <w:tcPr>
            <w:tcW w:w="2053"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06CC222">
            <w:pPr>
              <w:jc w:val="right"/>
            </w:pPr>
            <w:r>
              <w:rPr>
                <w:rFonts w:ascii="Arial" w:hAnsi="Arial" w:eastAsia="Arial" w:cs="Arial"/>
                <w:b w:val="0"/>
                <w:bCs w:val="0"/>
                <w:color w:val="1A1A1A"/>
                <w:sz w:val="21"/>
                <w:szCs w:val="21"/>
              </w:rPr>
              <w:t>10,000</w:t>
            </w:r>
          </w:p>
        </w:tc>
        <w:tc>
          <w:tcPr>
            <w:tcW w:w="2053"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85AE544">
            <w:pPr>
              <w:jc w:val="right"/>
            </w:pPr>
            <w:r>
              <w:rPr>
                <w:rFonts w:ascii="Arial" w:hAnsi="Arial" w:eastAsia="Arial" w:cs="Arial"/>
                <w:b w:val="0"/>
                <w:bCs w:val="0"/>
                <w:color w:val="1A1A1A"/>
                <w:sz w:val="21"/>
                <w:szCs w:val="21"/>
              </w:rPr>
              <w:t>4,000</w:t>
            </w:r>
          </w:p>
        </w:tc>
        <w:tc>
          <w:tcPr>
            <w:tcW w:w="2054"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0BCB49B8">
            <w:pPr>
              <w:jc w:val="right"/>
            </w:pPr>
            <w:r>
              <w:rPr>
                <w:rFonts w:ascii="Arial" w:hAnsi="Arial" w:eastAsia="Arial" w:cs="Arial"/>
                <w:b w:val="0"/>
                <w:bCs w:val="0"/>
                <w:color w:val="1A1A1A"/>
                <w:sz w:val="21"/>
                <w:szCs w:val="21"/>
              </w:rPr>
              <w:t>4,000</w:t>
            </w:r>
          </w:p>
        </w:tc>
      </w:tr>
      <w:tr w14:paraId="4BAB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81594B">
            <w:pPr>
              <w:jc w:val="left"/>
            </w:pPr>
            <w:r>
              <w:rPr>
                <w:rFonts w:ascii="Arial" w:hAnsi="Arial" w:eastAsia="Arial" w:cs="Arial"/>
                <w:b w:val="0"/>
                <w:bCs w:val="0"/>
                <w:color w:val="1A1A1A"/>
                <w:sz w:val="21"/>
                <w:szCs w:val="21"/>
              </w:rPr>
              <w:t>Sustainable inventory (packaging, ingredients)</w:t>
            </w:r>
          </w:p>
        </w:tc>
        <w:tc>
          <w:tcPr>
            <w:tcW w:w="20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236579">
            <w:pPr>
              <w:jc w:val="right"/>
            </w:pPr>
            <w:r>
              <w:rPr>
                <w:rFonts w:ascii="Arial" w:hAnsi="Arial" w:eastAsia="Arial" w:cs="Arial"/>
                <w:b w:val="0"/>
                <w:bCs w:val="0"/>
                <w:color w:val="1A1A1A"/>
                <w:sz w:val="21"/>
                <w:szCs w:val="21"/>
              </w:rPr>
              <w:t>4,500</w:t>
            </w:r>
          </w:p>
        </w:tc>
        <w:tc>
          <w:tcPr>
            <w:tcW w:w="20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13EACF">
            <w:pPr>
              <w:jc w:val="right"/>
            </w:pPr>
            <w:r>
              <w:rPr>
                <w:rFonts w:ascii="Arial" w:hAnsi="Arial" w:eastAsia="Arial" w:cs="Arial"/>
                <w:b w:val="0"/>
                <w:bCs w:val="0"/>
                <w:color w:val="1A1A1A"/>
                <w:sz w:val="21"/>
                <w:szCs w:val="21"/>
              </w:rPr>
              <w:t>8,000</w:t>
            </w:r>
          </w:p>
        </w:tc>
        <w:tc>
          <w:tcPr>
            <w:tcW w:w="205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718E82">
            <w:pPr>
              <w:jc w:val="right"/>
            </w:pPr>
            <w:r>
              <w:rPr>
                <w:rFonts w:ascii="Arial" w:hAnsi="Arial" w:eastAsia="Arial" w:cs="Arial"/>
                <w:b w:val="0"/>
                <w:bCs w:val="0"/>
                <w:color w:val="1A1A1A"/>
                <w:sz w:val="21"/>
                <w:szCs w:val="21"/>
              </w:rPr>
              <w:t>12,000</w:t>
            </w:r>
          </w:p>
        </w:tc>
      </w:tr>
      <w:tr w14:paraId="78C58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2077DAE3">
            <w:pPr>
              <w:jc w:val="left"/>
            </w:pPr>
            <w:r>
              <w:rPr>
                <w:rFonts w:ascii="Arial" w:hAnsi="Arial" w:eastAsia="Arial" w:cs="Arial"/>
                <w:b w:val="0"/>
                <w:bCs w:val="0"/>
                <w:color w:val="1A1A1A"/>
                <w:sz w:val="21"/>
                <w:szCs w:val="21"/>
              </w:rPr>
              <w:t>Marketing &amp; outreach</w:t>
            </w:r>
          </w:p>
        </w:tc>
        <w:tc>
          <w:tcPr>
            <w:tcW w:w="2053"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A4D35C4">
            <w:pPr>
              <w:jc w:val="right"/>
            </w:pPr>
            <w:r>
              <w:rPr>
                <w:rFonts w:ascii="Arial" w:hAnsi="Arial" w:eastAsia="Arial" w:cs="Arial"/>
                <w:b w:val="0"/>
                <w:bCs w:val="0"/>
                <w:color w:val="1A1A1A"/>
                <w:sz w:val="21"/>
                <w:szCs w:val="21"/>
              </w:rPr>
              <w:t>1,200</w:t>
            </w:r>
          </w:p>
        </w:tc>
        <w:tc>
          <w:tcPr>
            <w:tcW w:w="2053"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698BC81F">
            <w:pPr>
              <w:jc w:val="right"/>
            </w:pPr>
            <w:r>
              <w:rPr>
                <w:rFonts w:ascii="Arial" w:hAnsi="Arial" w:eastAsia="Arial" w:cs="Arial"/>
                <w:b w:val="0"/>
                <w:bCs w:val="0"/>
                <w:color w:val="1A1A1A"/>
                <w:sz w:val="21"/>
                <w:szCs w:val="21"/>
              </w:rPr>
              <w:t>3,000</w:t>
            </w:r>
          </w:p>
        </w:tc>
        <w:tc>
          <w:tcPr>
            <w:tcW w:w="2054"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685223D5">
            <w:pPr>
              <w:jc w:val="right"/>
            </w:pPr>
            <w:r>
              <w:rPr>
                <w:rFonts w:ascii="Arial" w:hAnsi="Arial" w:eastAsia="Arial" w:cs="Arial"/>
                <w:b w:val="0"/>
                <w:bCs w:val="0"/>
                <w:color w:val="1A1A1A"/>
                <w:sz w:val="21"/>
                <w:szCs w:val="21"/>
              </w:rPr>
              <w:t>5,000</w:t>
            </w:r>
          </w:p>
        </w:tc>
      </w:tr>
      <w:tr w14:paraId="41B5E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515371">
            <w:pPr>
              <w:jc w:val="left"/>
            </w:pPr>
            <w:r>
              <w:rPr>
                <w:rFonts w:ascii="Arial" w:hAnsi="Arial" w:eastAsia="Arial" w:cs="Arial"/>
                <w:b w:val="0"/>
                <w:bCs w:val="0"/>
                <w:color w:val="1A1A1A"/>
                <w:sz w:val="21"/>
                <w:szCs w:val="21"/>
              </w:rPr>
              <w:t>External expertise &amp; carbon consultancy</w:t>
            </w:r>
          </w:p>
        </w:tc>
        <w:tc>
          <w:tcPr>
            <w:tcW w:w="20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D68EA8">
            <w:pPr>
              <w:jc w:val="right"/>
            </w:pPr>
            <w:r>
              <w:rPr>
                <w:rFonts w:ascii="Arial" w:hAnsi="Arial" w:eastAsia="Arial" w:cs="Arial"/>
                <w:b w:val="0"/>
                <w:bCs w:val="0"/>
                <w:color w:val="1A1A1A"/>
                <w:sz w:val="21"/>
                <w:szCs w:val="21"/>
              </w:rPr>
              <w:t>2,500</w:t>
            </w:r>
          </w:p>
        </w:tc>
        <w:tc>
          <w:tcPr>
            <w:tcW w:w="20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176D47">
            <w:pPr>
              <w:jc w:val="right"/>
            </w:pPr>
            <w:r>
              <w:rPr>
                <w:rFonts w:ascii="Arial" w:hAnsi="Arial" w:eastAsia="Arial" w:cs="Arial"/>
                <w:b w:val="0"/>
                <w:bCs w:val="0"/>
                <w:color w:val="1A1A1A"/>
                <w:sz w:val="21"/>
                <w:szCs w:val="21"/>
              </w:rPr>
              <w:t>3,000</w:t>
            </w:r>
          </w:p>
        </w:tc>
        <w:tc>
          <w:tcPr>
            <w:tcW w:w="205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FF7040">
            <w:pPr>
              <w:jc w:val="right"/>
            </w:pPr>
            <w:r>
              <w:rPr>
                <w:rFonts w:ascii="Arial" w:hAnsi="Arial" w:eastAsia="Arial" w:cs="Arial"/>
                <w:b w:val="0"/>
                <w:bCs w:val="0"/>
                <w:color w:val="1A1A1A"/>
                <w:sz w:val="21"/>
                <w:szCs w:val="21"/>
              </w:rPr>
              <w:t>3,000</w:t>
            </w:r>
          </w:p>
        </w:tc>
      </w:tr>
      <w:tr w14:paraId="32B47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09101E82">
            <w:pPr>
              <w:jc w:val="left"/>
            </w:pPr>
            <w:r>
              <w:rPr>
                <w:rFonts w:ascii="Arial" w:hAnsi="Arial" w:eastAsia="Arial" w:cs="Arial"/>
                <w:b w:val="0"/>
                <w:bCs w:val="0"/>
                <w:color w:val="1A1A1A"/>
                <w:sz w:val="21"/>
                <w:szCs w:val="21"/>
              </w:rPr>
              <w:t>Staff &amp; freelancers</w:t>
            </w:r>
          </w:p>
        </w:tc>
        <w:tc>
          <w:tcPr>
            <w:tcW w:w="2053"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1A6BB95">
            <w:pPr>
              <w:jc w:val="right"/>
            </w:pPr>
            <w:r>
              <w:rPr>
                <w:rFonts w:ascii="Arial" w:hAnsi="Arial" w:eastAsia="Arial" w:cs="Arial"/>
                <w:b w:val="0"/>
                <w:bCs w:val="0"/>
                <w:color w:val="1A1A1A"/>
                <w:sz w:val="21"/>
                <w:szCs w:val="21"/>
              </w:rPr>
              <w:t>0</w:t>
            </w:r>
          </w:p>
        </w:tc>
        <w:tc>
          <w:tcPr>
            <w:tcW w:w="2053"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6F04BC9D">
            <w:pPr>
              <w:jc w:val="right"/>
            </w:pPr>
            <w:r>
              <w:rPr>
                <w:rFonts w:ascii="Arial" w:hAnsi="Arial" w:eastAsia="Arial" w:cs="Arial"/>
                <w:b w:val="0"/>
                <w:bCs w:val="0"/>
                <w:color w:val="1A1A1A"/>
                <w:sz w:val="21"/>
                <w:szCs w:val="21"/>
              </w:rPr>
              <w:t>22,000</w:t>
            </w:r>
          </w:p>
        </w:tc>
        <w:tc>
          <w:tcPr>
            <w:tcW w:w="2054"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2F21AEF8">
            <w:pPr>
              <w:jc w:val="right"/>
            </w:pPr>
            <w:r>
              <w:rPr>
                <w:rFonts w:ascii="Arial" w:hAnsi="Arial" w:eastAsia="Arial" w:cs="Arial"/>
                <w:b w:val="0"/>
                <w:bCs w:val="0"/>
                <w:color w:val="1A1A1A"/>
                <w:sz w:val="21"/>
                <w:szCs w:val="21"/>
              </w:rPr>
              <w:t>48,000</w:t>
            </w:r>
          </w:p>
        </w:tc>
      </w:tr>
      <w:tr w14:paraId="58F95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40790A4A">
            <w:pPr>
              <w:jc w:val="left"/>
            </w:pPr>
            <w:r>
              <w:rPr>
                <w:rFonts w:ascii="Arial" w:hAnsi="Arial" w:eastAsia="Arial" w:cs="Arial"/>
                <w:b/>
                <w:bCs/>
                <w:color w:val="0D3D24"/>
                <w:sz w:val="21"/>
                <w:szCs w:val="21"/>
              </w:rPr>
              <w:t>TOTAL COSTS</w:t>
            </w:r>
          </w:p>
        </w:tc>
        <w:tc>
          <w:tcPr>
            <w:tcW w:w="2053"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14A2302E">
            <w:pPr>
              <w:jc w:val="right"/>
            </w:pPr>
            <w:r>
              <w:rPr>
                <w:rFonts w:ascii="Arial" w:hAnsi="Arial" w:eastAsia="Arial" w:cs="Arial"/>
                <w:b/>
                <w:bCs/>
                <w:color w:val="0D3D24"/>
                <w:sz w:val="21"/>
                <w:szCs w:val="21"/>
              </w:rPr>
              <w:t>30,800</w:t>
            </w:r>
          </w:p>
        </w:tc>
        <w:tc>
          <w:tcPr>
            <w:tcW w:w="2053"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59123AED">
            <w:pPr>
              <w:jc w:val="right"/>
            </w:pPr>
            <w:r>
              <w:rPr>
                <w:rFonts w:ascii="Arial" w:hAnsi="Arial" w:eastAsia="Arial" w:cs="Arial"/>
                <w:b/>
                <w:bCs/>
                <w:color w:val="0D3D24"/>
                <w:sz w:val="21"/>
                <w:szCs w:val="21"/>
              </w:rPr>
              <w:t>65,500</w:t>
            </w:r>
          </w:p>
        </w:tc>
        <w:tc>
          <w:tcPr>
            <w:tcW w:w="2054"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508F01EC">
            <w:pPr>
              <w:jc w:val="right"/>
            </w:pPr>
            <w:r>
              <w:rPr>
                <w:rFonts w:ascii="Arial" w:hAnsi="Arial" w:eastAsia="Arial" w:cs="Arial"/>
                <w:b/>
                <w:bCs/>
                <w:color w:val="0D3D24"/>
                <w:sz w:val="21"/>
                <w:szCs w:val="21"/>
              </w:rPr>
              <w:t>111,000</w:t>
            </w:r>
          </w:p>
        </w:tc>
      </w:tr>
      <w:tr w14:paraId="02F31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0921DB71">
            <w:pPr>
              <w:jc w:val="left"/>
            </w:pPr>
            <w:r>
              <w:rPr>
                <w:rFonts w:ascii="Arial" w:hAnsi="Arial" w:eastAsia="Arial" w:cs="Arial"/>
                <w:b/>
                <w:bCs/>
                <w:color w:val="0D3D24"/>
                <w:sz w:val="21"/>
                <w:szCs w:val="21"/>
              </w:rPr>
              <w:t>NET PROFIT / (LOSS)</w:t>
            </w:r>
          </w:p>
        </w:tc>
        <w:tc>
          <w:tcPr>
            <w:tcW w:w="2053"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23DBE805">
            <w:pPr>
              <w:jc w:val="right"/>
            </w:pPr>
            <w:r>
              <w:rPr>
                <w:rFonts w:ascii="Arial" w:hAnsi="Arial" w:eastAsia="Arial" w:cs="Arial"/>
                <w:b/>
                <w:bCs/>
                <w:color w:val="C0392B"/>
                <w:sz w:val="21"/>
                <w:szCs w:val="21"/>
              </w:rPr>
              <w:t>(2,600)</w:t>
            </w:r>
          </w:p>
        </w:tc>
        <w:tc>
          <w:tcPr>
            <w:tcW w:w="2053"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56DECB11">
            <w:pPr>
              <w:jc w:val="right"/>
            </w:pPr>
            <w:r>
              <w:rPr>
                <w:rFonts w:ascii="Arial" w:hAnsi="Arial" w:eastAsia="Arial" w:cs="Arial"/>
                <w:b/>
                <w:bCs/>
                <w:color w:val="2E7D52"/>
                <w:sz w:val="21"/>
                <w:szCs w:val="21"/>
              </w:rPr>
              <w:t>22,000</w:t>
            </w:r>
          </w:p>
        </w:tc>
        <w:tc>
          <w:tcPr>
            <w:tcW w:w="2054"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7C558D3">
            <w:pPr>
              <w:jc w:val="right"/>
            </w:pPr>
            <w:r>
              <w:rPr>
                <w:rFonts w:ascii="Arial" w:hAnsi="Arial" w:eastAsia="Arial" w:cs="Arial"/>
                <w:b/>
                <w:bCs/>
                <w:color w:val="2E7D52"/>
                <w:sz w:val="21"/>
                <w:szCs w:val="21"/>
              </w:rPr>
              <w:t>41,000</w:t>
            </w:r>
          </w:p>
        </w:tc>
      </w:tr>
    </w:tbl>
    <w:p w14:paraId="2A4F1446">
      <w:pPr>
        <w:spacing w:before="80" w:after="0"/>
      </w:pPr>
    </w:p>
    <w:p w14:paraId="1E891713">
      <w:pPr>
        <w:pStyle w:val="3"/>
        <w:spacing w:before="300" w:after="100"/>
      </w:pPr>
      <w:r>
        <w:rPr>
          <w:rFonts w:ascii="Georgia" w:hAnsi="Georgia" w:eastAsia="Georgia" w:cs="Georgia"/>
          <w:b/>
          <w:bCs/>
          <w:color w:val="2E7D52"/>
          <w:sz w:val="26"/>
          <w:szCs w:val="26"/>
        </w:rPr>
        <w:t>Sensitivity Analysis</w:t>
      </w:r>
    </w:p>
    <w:p w14:paraId="7CD7158A">
      <w:pPr>
        <w:spacing w:before="80" w:after="100"/>
      </w:pPr>
      <w:r>
        <w:rPr>
          <w:rFonts w:ascii="Arial" w:hAnsi="Arial" w:eastAsia="Arial" w:cs="Arial"/>
          <w:color w:val="1A1A1A"/>
          <w:sz w:val="22"/>
          <w:szCs w:val="22"/>
        </w:rPr>
        <w:t>Entrepreneurs almost always overestimate how quickly sales arrive. The table below models the impact of a 20% and 40% reduction in Year 1 revenue — and demonstrates that the business remains fundable under both scenarios.</w:t>
      </w:r>
    </w:p>
    <w:p w14:paraId="5E18E098">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187"/>
        <w:gridCol w:w="2187"/>
        <w:gridCol w:w="2186"/>
      </w:tblGrid>
      <w:tr w14:paraId="63C01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AF67CAE">
            <w:pPr>
              <w:jc w:val="left"/>
            </w:pPr>
            <w:r>
              <w:rPr>
                <w:rFonts w:ascii="Arial" w:hAnsi="Arial" w:eastAsia="Arial" w:cs="Arial"/>
                <w:b/>
                <w:bCs/>
                <w:color w:val="FFFFFF"/>
                <w:sz w:val="21"/>
                <w:szCs w:val="21"/>
              </w:rPr>
              <w:t>Scenario</w:t>
            </w:r>
          </w:p>
        </w:tc>
        <w:tc>
          <w:tcPr>
            <w:tcW w:w="2187"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69A6C254">
            <w:pPr>
              <w:jc w:val="left"/>
            </w:pPr>
            <w:r>
              <w:rPr>
                <w:rFonts w:ascii="Arial" w:hAnsi="Arial" w:eastAsia="Arial" w:cs="Arial"/>
                <w:b/>
                <w:bCs/>
                <w:color w:val="FFFFFF"/>
                <w:sz w:val="21"/>
                <w:szCs w:val="21"/>
              </w:rPr>
              <w:t>Revenue (£)</w:t>
            </w:r>
          </w:p>
        </w:tc>
        <w:tc>
          <w:tcPr>
            <w:tcW w:w="2187"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F44DA6D">
            <w:pPr>
              <w:jc w:val="left"/>
            </w:pPr>
            <w:r>
              <w:rPr>
                <w:rFonts w:ascii="Arial" w:hAnsi="Arial" w:eastAsia="Arial" w:cs="Arial"/>
                <w:b/>
                <w:bCs/>
                <w:color w:val="FFFFFF"/>
                <w:sz w:val="21"/>
                <w:szCs w:val="21"/>
              </w:rPr>
              <w:t>Costs (£)</w:t>
            </w:r>
          </w:p>
        </w:tc>
        <w:tc>
          <w:tcPr>
            <w:tcW w:w="2186"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4309081">
            <w:pPr>
              <w:jc w:val="left"/>
            </w:pPr>
            <w:r>
              <w:rPr>
                <w:rFonts w:ascii="Arial" w:hAnsi="Arial" w:eastAsia="Arial" w:cs="Arial"/>
                <w:b/>
                <w:bCs/>
                <w:color w:val="FFFFFF"/>
                <w:sz w:val="21"/>
                <w:szCs w:val="21"/>
              </w:rPr>
              <w:t>Net Position (£)</w:t>
            </w:r>
          </w:p>
        </w:tc>
      </w:tr>
      <w:tr w14:paraId="06C7B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80DEDBB">
            <w:pPr>
              <w:jc w:val="left"/>
            </w:pPr>
            <w:r>
              <w:rPr>
                <w:rFonts w:ascii="Arial" w:hAnsi="Arial" w:eastAsia="Arial" w:cs="Arial"/>
                <w:b w:val="0"/>
                <w:bCs w:val="0"/>
                <w:color w:val="1A1A1A"/>
                <w:sz w:val="21"/>
                <w:szCs w:val="21"/>
              </w:rPr>
              <w:t>Base case</w:t>
            </w:r>
          </w:p>
        </w:tc>
        <w:tc>
          <w:tcPr>
            <w:tcW w:w="2187"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630C3CBA">
            <w:pPr>
              <w:jc w:val="right"/>
            </w:pPr>
            <w:r>
              <w:rPr>
                <w:rFonts w:ascii="Arial" w:hAnsi="Arial" w:eastAsia="Arial" w:cs="Arial"/>
                <w:b w:val="0"/>
                <w:bCs w:val="0"/>
                <w:color w:val="1A1A1A"/>
                <w:sz w:val="21"/>
                <w:szCs w:val="21"/>
              </w:rPr>
              <w:t>28,200</w:t>
            </w:r>
          </w:p>
        </w:tc>
        <w:tc>
          <w:tcPr>
            <w:tcW w:w="2187"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53C833D">
            <w:pPr>
              <w:jc w:val="right"/>
            </w:pPr>
            <w:r>
              <w:rPr>
                <w:rFonts w:ascii="Arial" w:hAnsi="Arial" w:eastAsia="Arial" w:cs="Arial"/>
                <w:b w:val="0"/>
                <w:bCs w:val="0"/>
                <w:color w:val="1A1A1A"/>
                <w:sz w:val="21"/>
                <w:szCs w:val="21"/>
              </w:rPr>
              <w:t>30,800</w:t>
            </w:r>
          </w:p>
        </w:tc>
        <w:tc>
          <w:tcPr>
            <w:tcW w:w="2186"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55BE2305">
            <w:pPr>
              <w:jc w:val="right"/>
            </w:pPr>
            <w:r>
              <w:rPr>
                <w:rFonts w:ascii="Arial" w:hAnsi="Arial" w:eastAsia="Arial" w:cs="Arial"/>
                <w:b/>
                <w:bCs/>
                <w:color w:val="F39C12"/>
                <w:sz w:val="21"/>
                <w:szCs w:val="21"/>
              </w:rPr>
              <w:t>(2,600)</w:t>
            </w:r>
          </w:p>
        </w:tc>
      </w:tr>
      <w:tr w14:paraId="54181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1D79BE">
            <w:pPr>
              <w:jc w:val="left"/>
            </w:pPr>
            <w:r>
              <w:rPr>
                <w:rFonts w:ascii="Arial" w:hAnsi="Arial" w:eastAsia="Arial" w:cs="Arial"/>
                <w:b w:val="0"/>
                <w:bCs w:val="0"/>
                <w:color w:val="1A1A1A"/>
                <w:sz w:val="21"/>
                <w:szCs w:val="21"/>
              </w:rPr>
              <w:t>20% revenue reduction</w:t>
            </w:r>
          </w:p>
        </w:tc>
        <w:tc>
          <w:tcPr>
            <w:tcW w:w="21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612E0B">
            <w:pPr>
              <w:jc w:val="right"/>
            </w:pPr>
            <w:r>
              <w:rPr>
                <w:rFonts w:ascii="Arial" w:hAnsi="Arial" w:eastAsia="Arial" w:cs="Arial"/>
                <w:b w:val="0"/>
                <w:bCs w:val="0"/>
                <w:color w:val="1A1A1A"/>
                <w:sz w:val="21"/>
                <w:szCs w:val="21"/>
              </w:rPr>
              <w:t>22,560</w:t>
            </w:r>
          </w:p>
        </w:tc>
        <w:tc>
          <w:tcPr>
            <w:tcW w:w="21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49BDAE">
            <w:pPr>
              <w:jc w:val="right"/>
            </w:pPr>
            <w:r>
              <w:rPr>
                <w:rFonts w:ascii="Arial" w:hAnsi="Arial" w:eastAsia="Arial" w:cs="Arial"/>
                <w:b w:val="0"/>
                <w:bCs w:val="0"/>
                <w:color w:val="1A1A1A"/>
                <w:sz w:val="21"/>
                <w:szCs w:val="21"/>
              </w:rPr>
              <w:t>30,800</w:t>
            </w:r>
          </w:p>
        </w:tc>
        <w:tc>
          <w:tcPr>
            <w:tcW w:w="218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C5E409">
            <w:pPr>
              <w:jc w:val="right"/>
            </w:pPr>
            <w:r>
              <w:rPr>
                <w:rFonts w:ascii="Arial" w:hAnsi="Arial" w:eastAsia="Arial" w:cs="Arial"/>
                <w:b/>
                <w:bCs/>
                <w:color w:val="E67E22"/>
                <w:sz w:val="21"/>
                <w:szCs w:val="21"/>
              </w:rPr>
              <w:t>(8,240)</w:t>
            </w:r>
          </w:p>
        </w:tc>
      </w:tr>
      <w:tr w14:paraId="1175C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BEC0934">
            <w:pPr>
              <w:jc w:val="left"/>
            </w:pPr>
            <w:r>
              <w:rPr>
                <w:rFonts w:ascii="Arial" w:hAnsi="Arial" w:eastAsia="Arial" w:cs="Arial"/>
                <w:b w:val="0"/>
                <w:bCs w:val="0"/>
                <w:color w:val="1A1A1A"/>
                <w:sz w:val="21"/>
                <w:szCs w:val="21"/>
              </w:rPr>
              <w:t>40% revenue reduction</w:t>
            </w:r>
          </w:p>
        </w:tc>
        <w:tc>
          <w:tcPr>
            <w:tcW w:w="2187"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477D699A">
            <w:pPr>
              <w:jc w:val="right"/>
            </w:pPr>
            <w:r>
              <w:rPr>
                <w:rFonts w:ascii="Arial" w:hAnsi="Arial" w:eastAsia="Arial" w:cs="Arial"/>
                <w:b w:val="0"/>
                <w:bCs w:val="0"/>
                <w:color w:val="1A1A1A"/>
                <w:sz w:val="21"/>
                <w:szCs w:val="21"/>
              </w:rPr>
              <w:t>16,920</w:t>
            </w:r>
          </w:p>
        </w:tc>
        <w:tc>
          <w:tcPr>
            <w:tcW w:w="2187"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6207B987">
            <w:pPr>
              <w:jc w:val="right"/>
            </w:pPr>
            <w:r>
              <w:rPr>
                <w:rFonts w:ascii="Arial" w:hAnsi="Arial" w:eastAsia="Arial" w:cs="Arial"/>
                <w:b w:val="0"/>
                <w:bCs w:val="0"/>
                <w:color w:val="1A1A1A"/>
                <w:sz w:val="21"/>
                <w:szCs w:val="21"/>
              </w:rPr>
              <w:t>30,800</w:t>
            </w:r>
          </w:p>
        </w:tc>
        <w:tc>
          <w:tcPr>
            <w:tcW w:w="2186"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0A907543">
            <w:pPr>
              <w:jc w:val="right"/>
            </w:pPr>
            <w:r>
              <w:rPr>
                <w:rFonts w:ascii="Arial" w:hAnsi="Arial" w:eastAsia="Arial" w:cs="Arial"/>
                <w:b/>
                <w:bCs/>
                <w:color w:val="C0392B"/>
                <w:sz w:val="21"/>
                <w:szCs w:val="21"/>
              </w:rPr>
              <w:t>(13,880)</w:t>
            </w:r>
          </w:p>
        </w:tc>
      </w:tr>
    </w:tbl>
    <w:p w14:paraId="3047DF7D">
      <w:pPr>
        <w:spacing w:before="60" w:after="0"/>
      </w:pPr>
    </w:p>
    <w:p w14:paraId="1386A684">
      <w:pPr>
        <w:spacing w:before="80" w:after="100"/>
      </w:pPr>
      <w:r>
        <w:rPr>
          <w:rFonts w:ascii="Arial" w:hAnsi="Arial" w:eastAsia="Arial" w:cs="Arial"/>
          <w:color w:val="1A1A1A"/>
          <w:sz w:val="22"/>
          <w:szCs w:val="22"/>
        </w:rPr>
        <w:t>Under the worst-case 40% reduction scenario, the business requires £13,880 of additional funding beyond the pilot budget — well within the contingency capacity of the £50,000 investment fund. The digital subscription and equipment commission revenue streams are particularly resilient as they scale nationally rather than depending on Bristol footfall alone.</w:t>
      </w:r>
    </w:p>
    <w:p w14:paraId="43620C97">
      <w:pPr>
        <w:spacing w:before="80" w:after="0"/>
      </w:pPr>
    </w:p>
    <w:p w14:paraId="3F71B206">
      <w:pPr>
        <w:pStyle w:val="3"/>
        <w:spacing w:before="300" w:after="100"/>
      </w:pPr>
      <w:r>
        <w:rPr>
          <w:rFonts w:ascii="Georgia" w:hAnsi="Georgia" w:eastAsia="Georgia" w:cs="Georgia"/>
          <w:b/>
          <w:bCs/>
          <w:color w:val="2E7D52"/>
          <w:sz w:val="26"/>
          <w:szCs w:val="26"/>
        </w:rPr>
        <w:t>Investment Funding Strategy — Route to £50,000</w:t>
      </w:r>
    </w:p>
    <w:p w14:paraId="7D45A585">
      <w:pPr>
        <w:spacing w:before="80" w:after="100"/>
      </w:pPr>
      <w:r>
        <w:rPr>
          <w:rFonts w:ascii="Arial" w:hAnsi="Arial" w:eastAsia="Arial" w:cs="Arial"/>
          <w:color w:val="1A1A1A"/>
          <w:sz w:val="22"/>
          <w:szCs w:val="22"/>
        </w:rPr>
        <w:t>The Home Office requires evidence of access to £50,000 in investment funds. Green Africa Hub will build this through a structured multi-source grant strategy:</w:t>
      </w:r>
    </w:p>
    <w:p w14:paraId="35898D2A">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800"/>
        <w:gridCol w:w="4360"/>
      </w:tblGrid>
      <w:tr w14:paraId="03380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6F0C355D">
            <w:pPr>
              <w:jc w:val="left"/>
            </w:pPr>
            <w:r>
              <w:rPr>
                <w:rFonts w:ascii="Arial" w:hAnsi="Arial" w:eastAsia="Arial" w:cs="Arial"/>
                <w:b/>
                <w:bCs/>
                <w:color w:val="FFFFFF"/>
                <w:sz w:val="21"/>
                <w:szCs w:val="21"/>
              </w:rPr>
              <w:t>Source</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709E127C">
            <w:pPr>
              <w:jc w:val="left"/>
            </w:pPr>
            <w:r>
              <w:rPr>
                <w:rFonts w:ascii="Arial" w:hAnsi="Arial" w:eastAsia="Arial" w:cs="Arial"/>
                <w:b/>
                <w:bCs/>
                <w:color w:val="FFFFFF"/>
                <w:sz w:val="21"/>
                <w:szCs w:val="21"/>
              </w:rPr>
              <w:t>Target (£)</w:t>
            </w:r>
          </w:p>
        </w:tc>
        <w:tc>
          <w:tcPr>
            <w:tcW w:w="4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6CCCCE8">
            <w:pPr>
              <w:jc w:val="left"/>
            </w:pPr>
            <w:r>
              <w:rPr>
                <w:rFonts w:ascii="Arial" w:hAnsi="Arial" w:eastAsia="Arial" w:cs="Arial"/>
                <w:b/>
                <w:bCs/>
                <w:color w:val="FFFFFF"/>
                <w:sz w:val="21"/>
                <w:szCs w:val="21"/>
              </w:rPr>
              <w:t>Rationale</w:t>
            </w:r>
          </w:p>
        </w:tc>
      </w:tr>
      <w:tr w14:paraId="48981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0DA95E40">
            <w:pPr>
              <w:jc w:val="left"/>
            </w:pPr>
            <w:r>
              <w:rPr>
                <w:rFonts w:ascii="Arial" w:hAnsi="Arial" w:eastAsia="Arial" w:cs="Arial"/>
                <w:b w:val="0"/>
                <w:bCs w:val="0"/>
                <w:color w:val="1A1A1A"/>
                <w:sz w:val="21"/>
                <w:szCs w:val="21"/>
              </w:rPr>
              <w:t>Innovate UK Smart Grant</w:t>
            </w:r>
          </w:p>
        </w:tc>
        <w:tc>
          <w:tcPr>
            <w:tcW w:w="18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0530D74">
            <w:pPr>
              <w:jc w:val="right"/>
            </w:pPr>
            <w:r>
              <w:rPr>
                <w:rFonts w:ascii="Arial" w:hAnsi="Arial" w:eastAsia="Arial" w:cs="Arial"/>
                <w:b w:val="0"/>
                <w:bCs w:val="0"/>
                <w:color w:val="1A1A1A"/>
                <w:sz w:val="21"/>
                <w:szCs w:val="21"/>
              </w:rPr>
              <w:t>20,000</w:t>
            </w:r>
          </w:p>
        </w:tc>
        <w:tc>
          <w:tcPr>
            <w:tcW w:w="43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64DD5CC7">
            <w:pPr>
              <w:jc w:val="left"/>
            </w:pPr>
            <w:r>
              <w:rPr>
                <w:rFonts w:ascii="Arial" w:hAnsi="Arial" w:eastAsia="Arial" w:cs="Arial"/>
                <w:b w:val="0"/>
                <w:bCs w:val="0"/>
                <w:color w:val="1A1A1A"/>
                <w:sz w:val="21"/>
                <w:szCs w:val="21"/>
              </w:rPr>
              <w:t>AI carbon dashboard + Smart-Prep methodology qualify as innovation. Application Q2 2026.</w:t>
            </w:r>
          </w:p>
        </w:tc>
      </w:tr>
      <w:tr w14:paraId="102A6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DC1BF9">
            <w:pPr>
              <w:jc w:val="left"/>
            </w:pPr>
            <w:r>
              <w:rPr>
                <w:rFonts w:ascii="Arial" w:hAnsi="Arial" w:eastAsia="Arial" w:cs="Arial"/>
                <w:b w:val="0"/>
                <w:bCs w:val="0"/>
                <w:color w:val="1A1A1A"/>
                <w:sz w:val="21"/>
                <w:szCs w:val="21"/>
              </w:rPr>
              <w:t>UKSPF via Bristol City Council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E4F97F">
            <w:pPr>
              <w:jc w:val="right"/>
            </w:pPr>
            <w:r>
              <w:rPr>
                <w:rFonts w:ascii="Arial" w:hAnsi="Arial" w:eastAsia="Arial" w:cs="Arial"/>
                <w:b w:val="0"/>
                <w:bCs w:val="0"/>
                <w:color w:val="1A1A1A"/>
                <w:sz w:val="21"/>
                <w:szCs w:val="21"/>
              </w:rPr>
              <w:t>10,000</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E85F72">
            <w:pPr>
              <w:jc w:val="left"/>
            </w:pPr>
            <w:r>
              <w:rPr>
                <w:rFonts w:ascii="Arial" w:hAnsi="Arial" w:eastAsia="Arial" w:cs="Arial"/>
                <w:b w:val="0"/>
                <w:bCs w:val="0"/>
                <w:color w:val="1A1A1A"/>
                <w:sz w:val="21"/>
                <w:szCs w:val="21"/>
              </w:rPr>
              <w:t>Community impact + Net Zero alignment + Future Leap supporting reference.</w:t>
            </w:r>
          </w:p>
        </w:tc>
      </w:tr>
      <w:tr w14:paraId="74927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1359B37">
            <w:pPr>
              <w:jc w:val="left"/>
            </w:pPr>
            <w:r>
              <w:rPr>
                <w:rFonts w:ascii="Arial" w:hAnsi="Arial" w:eastAsia="Arial" w:cs="Arial"/>
                <w:b w:val="0"/>
                <w:bCs w:val="0"/>
                <w:color w:val="1A1A1A"/>
                <w:sz w:val="21"/>
                <w:szCs w:val="21"/>
              </w:rPr>
              <w:t>WECA Green Economy Fund</w:t>
            </w:r>
          </w:p>
        </w:tc>
        <w:tc>
          <w:tcPr>
            <w:tcW w:w="18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736ECE89">
            <w:pPr>
              <w:jc w:val="right"/>
            </w:pPr>
            <w:r>
              <w:rPr>
                <w:rFonts w:ascii="Arial" w:hAnsi="Arial" w:eastAsia="Arial" w:cs="Arial"/>
                <w:b w:val="0"/>
                <w:bCs w:val="0"/>
                <w:color w:val="1A1A1A"/>
                <w:sz w:val="21"/>
                <w:szCs w:val="21"/>
              </w:rPr>
              <w:t>8,000</w:t>
            </w:r>
          </w:p>
        </w:tc>
        <w:tc>
          <w:tcPr>
            <w:tcW w:w="43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0CD510C5">
            <w:pPr>
              <w:jc w:val="left"/>
            </w:pPr>
            <w:r>
              <w:rPr>
                <w:rFonts w:ascii="Arial" w:hAnsi="Arial" w:eastAsia="Arial" w:cs="Arial"/>
                <w:b w:val="0"/>
                <w:bCs w:val="0"/>
                <w:color w:val="1A1A1A"/>
                <w:sz w:val="21"/>
                <w:szCs w:val="21"/>
              </w:rPr>
              <w:t>Existing WECA relationship through Sustainability Bootcamp provides clear application route.</w:t>
            </w:r>
          </w:p>
        </w:tc>
      </w:tr>
      <w:tr w14:paraId="750A5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2F0756">
            <w:pPr>
              <w:jc w:val="left"/>
            </w:pPr>
            <w:r>
              <w:rPr>
                <w:rFonts w:ascii="Arial" w:hAnsi="Arial" w:eastAsia="Arial" w:cs="Arial"/>
                <w:b w:val="0"/>
                <w:bCs w:val="0"/>
                <w:color w:val="1A1A1A"/>
                <w:sz w:val="21"/>
                <w:szCs w:val="21"/>
              </w:rPr>
              <w:t>National Lottery — Awards for All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D041B9">
            <w:pPr>
              <w:jc w:val="right"/>
            </w:pPr>
            <w:r>
              <w:rPr>
                <w:rFonts w:ascii="Arial" w:hAnsi="Arial" w:eastAsia="Arial" w:cs="Arial"/>
                <w:b w:val="0"/>
                <w:bCs w:val="0"/>
                <w:color w:val="1A1A1A"/>
                <w:sz w:val="21"/>
                <w:szCs w:val="21"/>
              </w:rPr>
              <w:t>7,500</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35DE17">
            <w:pPr>
              <w:jc w:val="left"/>
            </w:pPr>
            <w:r>
              <w:rPr>
                <w:rFonts w:ascii="Arial" w:hAnsi="Arial" w:eastAsia="Arial" w:cs="Arial"/>
                <w:b w:val="0"/>
                <w:bCs w:val="0"/>
                <w:color w:val="1A1A1A"/>
                <w:sz w:val="21"/>
                <w:szCs w:val="21"/>
              </w:rPr>
              <w:t>Community education focus and Bristol base qualify. Up to £10,000 available.</w:t>
            </w:r>
          </w:p>
        </w:tc>
      </w:tr>
      <w:tr w14:paraId="2D02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F5E32D7">
            <w:pPr>
              <w:jc w:val="left"/>
            </w:pPr>
            <w:r>
              <w:rPr>
                <w:rFonts w:ascii="Arial" w:hAnsi="Arial" w:eastAsia="Arial" w:cs="Arial"/>
                <w:b w:val="0"/>
                <w:bCs w:val="0"/>
                <w:color w:val="1A1A1A"/>
                <w:sz w:val="21"/>
                <w:szCs w:val="21"/>
              </w:rPr>
              <w:t>Future Leap in-kind (facilities + expertise)</w:t>
            </w:r>
          </w:p>
        </w:tc>
        <w:tc>
          <w:tcPr>
            <w:tcW w:w="18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2DE6564B">
            <w:pPr>
              <w:jc w:val="right"/>
            </w:pPr>
            <w:r>
              <w:rPr>
                <w:rFonts w:ascii="Arial" w:hAnsi="Arial" w:eastAsia="Arial" w:cs="Arial"/>
                <w:b w:val="0"/>
                <w:bCs w:val="0"/>
                <w:color w:val="1A1A1A"/>
                <w:sz w:val="21"/>
                <w:szCs w:val="21"/>
              </w:rPr>
              <w:t>4,500</w:t>
            </w:r>
          </w:p>
        </w:tc>
        <w:tc>
          <w:tcPr>
            <w:tcW w:w="43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EB406CC">
            <w:pPr>
              <w:jc w:val="left"/>
            </w:pPr>
            <w:r>
              <w:rPr>
                <w:rFonts w:ascii="Arial" w:hAnsi="Arial" w:eastAsia="Arial" w:cs="Arial"/>
                <w:b w:val="0"/>
                <w:bCs w:val="0"/>
                <w:color w:val="1A1A1A"/>
                <w:sz w:val="21"/>
                <w:szCs w:val="21"/>
              </w:rPr>
              <w:t>Conservative in-kind valuation of WECA-funded 6-month partnership.</w:t>
            </w:r>
          </w:p>
        </w:tc>
      </w:tr>
      <w:tr w14:paraId="4798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1A1863AB">
            <w:pPr>
              <w:jc w:val="left"/>
            </w:pPr>
            <w:r>
              <w:rPr>
                <w:rFonts w:ascii="Arial" w:hAnsi="Arial" w:eastAsia="Arial" w:cs="Arial"/>
                <w:b/>
                <w:bCs/>
                <w:color w:val="0D3D24"/>
                <w:sz w:val="21"/>
                <w:szCs w:val="21"/>
              </w:rPr>
              <w:t>TOTAL TARGET</w:t>
            </w:r>
          </w:p>
        </w:tc>
        <w:tc>
          <w:tcPr>
            <w:tcW w:w="18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4D91FDD5">
            <w:pPr>
              <w:jc w:val="right"/>
            </w:pPr>
            <w:r>
              <w:rPr>
                <w:rFonts w:ascii="Arial" w:hAnsi="Arial" w:eastAsia="Arial" w:cs="Arial"/>
                <w:b/>
                <w:bCs/>
                <w:color w:val="0D3D24"/>
                <w:sz w:val="21"/>
                <w:szCs w:val="21"/>
              </w:rPr>
              <w:t>50,000</w:t>
            </w:r>
          </w:p>
        </w:tc>
        <w:tc>
          <w:tcPr>
            <w:tcW w:w="436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6AA49C90">
            <w:pPr>
              <w:jc w:val="left"/>
            </w:pPr>
            <w:r>
              <w:rPr>
                <w:rFonts w:ascii="Arial" w:hAnsi="Arial" w:eastAsia="Arial" w:cs="Arial"/>
                <w:b w:val="0"/>
                <w:bCs w:val="0"/>
                <w:color w:val="1A1A1A"/>
                <w:sz w:val="21"/>
                <w:szCs w:val="21"/>
              </w:rPr>
              <w:t>Applications staggered Q2–Q3 2026. Grace's grant writing experience at BPUR International directly applicable.</w:t>
            </w:r>
          </w:p>
        </w:tc>
      </w:tr>
    </w:tbl>
    <w:p w14:paraId="392BFBC0">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75F23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shd w:val="clear" w:color="auto" w:fill="1A6B3C"/>
            <w:tcMar>
              <w:top w:w="160" w:type="dxa"/>
              <w:left w:w="200" w:type="dxa"/>
              <w:bottom w:w="160" w:type="dxa"/>
              <w:right w:w="200" w:type="dxa"/>
            </w:tcMar>
            <w:vAlign w:val="center"/>
          </w:tcPr>
          <w:p w14:paraId="5860FB8D">
            <w:pPr>
              <w:jc w:val="center"/>
            </w:pPr>
            <w:r>
              <w:rPr>
                <w:rFonts w:ascii="Georgia" w:hAnsi="Georgia" w:eastAsia="Georgia" w:cs="Georgia"/>
                <w:b/>
                <w:bCs/>
                <w:color w:val="FFFFFF"/>
                <w:sz w:val="36"/>
                <w:szCs w:val="36"/>
              </w:rPr>
              <w:t>10</w:t>
            </w:r>
          </w:p>
        </w:tc>
        <w:tc>
          <w:tcPr>
            <w:tcW w:w="8160" w:type="dxa"/>
            <w:tcBorders>
              <w:top w:val="nil"/>
              <w:left w:val="nil"/>
              <w:bottom w:val="nil"/>
              <w:right w:val="nil"/>
            </w:tcBorders>
            <w:shd w:val="clear" w:color="auto" w:fill="0D3D24"/>
            <w:tcMar>
              <w:top w:w="160" w:type="dxa"/>
              <w:left w:w="240" w:type="dxa"/>
              <w:bottom w:w="160" w:type="dxa"/>
              <w:right w:w="200" w:type="dxa"/>
            </w:tcMar>
            <w:vAlign w:val="center"/>
          </w:tcPr>
          <w:p w14:paraId="160AAA4F">
            <w:r>
              <w:rPr>
                <w:rFonts w:ascii="Georgia" w:hAnsi="Georgia" w:eastAsia="Georgia" w:cs="Georgia"/>
                <w:b/>
                <w:bCs/>
                <w:color w:val="FFFFFF"/>
                <w:sz w:val="28"/>
                <w:szCs w:val="28"/>
              </w:rPr>
              <w:t>Risk Management</w:t>
            </w:r>
          </w:p>
        </w:tc>
      </w:tr>
    </w:tbl>
    <w:p w14:paraId="22CDC5DA">
      <w:pPr>
        <w:spacing w:before="100" w:after="0"/>
      </w:pPr>
    </w:p>
    <w:p w14:paraId="7A5B7E8E">
      <w:pPr>
        <w:spacing w:before="80" w:after="100"/>
      </w:pPr>
      <w:r>
        <w:rPr>
          <w:rFonts w:ascii="Arial" w:hAnsi="Arial" w:eastAsia="Arial" w:cs="Arial"/>
          <w:color w:val="1A1A1A"/>
          <w:sz w:val="22"/>
          <w:szCs w:val="22"/>
        </w:rPr>
        <w:t>Every business faces risk. The purpose of this section is not to minimise the risks — it is to demonstrate that they have been identified, assessed, and planned for. Risk scores are calculated as Probability (1–5) × Impact (1–5). Scores of 10–19 are high; 20–25 are very high.</w:t>
      </w:r>
    </w:p>
    <w:p w14:paraId="48CF4AC4">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66"/>
        <w:gridCol w:w="693"/>
        <w:gridCol w:w="693"/>
        <w:gridCol w:w="824"/>
        <w:gridCol w:w="1254"/>
        <w:gridCol w:w="3530"/>
      </w:tblGrid>
      <w:tr w14:paraId="46E6E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59BCCB17">
            <w:pPr>
              <w:jc w:val="left"/>
            </w:pPr>
            <w:r>
              <w:rPr>
                <w:rFonts w:ascii="Arial" w:hAnsi="Arial" w:eastAsia="Arial" w:cs="Arial"/>
                <w:b/>
                <w:bCs/>
                <w:color w:val="FFFFFF"/>
                <w:sz w:val="21"/>
                <w:szCs w:val="21"/>
              </w:rPr>
              <w:t>Risk</w:t>
            </w:r>
          </w:p>
        </w:tc>
        <w:tc>
          <w:tcPr>
            <w:tcW w:w="7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29ED901E">
            <w:pPr>
              <w:jc w:val="left"/>
            </w:pPr>
            <w:r>
              <w:rPr>
                <w:rFonts w:ascii="Arial" w:hAnsi="Arial" w:eastAsia="Arial" w:cs="Arial"/>
                <w:b/>
                <w:bCs/>
                <w:color w:val="FFFFFF"/>
                <w:sz w:val="21"/>
                <w:szCs w:val="21"/>
              </w:rPr>
              <w:t>P (1-5)</w:t>
            </w:r>
          </w:p>
        </w:tc>
        <w:tc>
          <w:tcPr>
            <w:tcW w:w="7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65675E29">
            <w:pPr>
              <w:jc w:val="left"/>
            </w:pPr>
            <w:r>
              <w:rPr>
                <w:rFonts w:ascii="Arial" w:hAnsi="Arial" w:eastAsia="Arial" w:cs="Arial"/>
                <w:b/>
                <w:bCs/>
                <w:color w:val="FFFFFF"/>
                <w:sz w:val="21"/>
                <w:szCs w:val="21"/>
              </w:rPr>
              <w:t>I (1-5)</w:t>
            </w:r>
          </w:p>
        </w:tc>
        <w:tc>
          <w:tcPr>
            <w:tcW w:w="7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EB23FE4">
            <w:pPr>
              <w:jc w:val="left"/>
            </w:pPr>
            <w:r>
              <w:rPr>
                <w:rFonts w:ascii="Arial" w:hAnsi="Arial" w:eastAsia="Arial" w:cs="Arial"/>
                <w:b/>
                <w:bCs/>
                <w:color w:val="FFFFFF"/>
                <w:sz w:val="21"/>
                <w:szCs w:val="21"/>
              </w:rPr>
              <w:t>Score</w:t>
            </w:r>
          </w:p>
        </w:tc>
        <w:tc>
          <w:tcPr>
            <w:tcW w:w="12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308AE22">
            <w:pPr>
              <w:jc w:val="left"/>
            </w:pPr>
            <w:r>
              <w:rPr>
                <w:rFonts w:ascii="Arial" w:hAnsi="Arial" w:eastAsia="Arial" w:cs="Arial"/>
                <w:b/>
                <w:bCs/>
                <w:color w:val="FFFFFF"/>
                <w:sz w:val="21"/>
                <w:szCs w:val="21"/>
              </w:rPr>
              <w:t>Level</w:t>
            </w:r>
          </w:p>
        </w:tc>
        <w:tc>
          <w:tcPr>
            <w:tcW w:w="36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C39FBB2">
            <w:pPr>
              <w:jc w:val="left"/>
            </w:pPr>
            <w:r>
              <w:rPr>
                <w:rFonts w:ascii="Arial" w:hAnsi="Arial" w:eastAsia="Arial" w:cs="Arial"/>
                <w:b/>
                <w:bCs/>
                <w:color w:val="FFFFFF"/>
                <w:sz w:val="21"/>
                <w:szCs w:val="21"/>
              </w:rPr>
              <w:t>Mitigation Strategy</w:t>
            </w:r>
          </w:p>
        </w:tc>
      </w:tr>
      <w:tr w14:paraId="2F054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D93DD4">
            <w:pPr>
              <w:jc w:val="left"/>
            </w:pPr>
            <w:r>
              <w:rPr>
                <w:rFonts w:ascii="Arial" w:hAnsi="Arial" w:eastAsia="Arial" w:cs="Arial"/>
                <w:b w:val="0"/>
                <w:bCs w:val="0"/>
                <w:color w:val="1A1A1A"/>
                <w:sz w:val="21"/>
                <w:szCs w:val="21"/>
              </w:rPr>
              <w:t>Community uptake slower than forecast</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4B5B9B6B">
            <w:pPr>
              <w:jc w:val="center"/>
            </w:pPr>
            <w:r>
              <w:rPr>
                <w:rFonts w:ascii="Arial" w:hAnsi="Arial" w:eastAsia="Arial" w:cs="Arial"/>
                <w:b w:val="0"/>
                <w:bCs w:val="0"/>
                <w:color w:val="1A1A1A"/>
                <w:sz w:val="21"/>
                <w:szCs w:val="21"/>
              </w:rPr>
              <w:t>3</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656832CD">
            <w:pPr>
              <w:jc w:val="center"/>
            </w:pPr>
            <w:r>
              <w:rPr>
                <w:rFonts w:ascii="Arial" w:hAnsi="Arial" w:eastAsia="Arial" w:cs="Arial"/>
                <w:b w:val="0"/>
                <w:bCs w:val="0"/>
                <w:color w:val="1A1A1A"/>
                <w:sz w:val="21"/>
                <w:szCs w:val="21"/>
              </w:rPr>
              <w:t>4</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65E7D4DC">
            <w:pPr>
              <w:jc w:val="center"/>
            </w:pPr>
            <w:r>
              <w:rPr>
                <w:rFonts w:ascii="Arial" w:hAnsi="Arial" w:eastAsia="Arial" w:cs="Arial"/>
                <w:b/>
                <w:bCs/>
                <w:color w:val="E67E22"/>
                <w:sz w:val="21"/>
                <w:szCs w:val="21"/>
              </w:rPr>
              <w:t>12</w:t>
            </w:r>
          </w:p>
        </w:tc>
        <w:tc>
          <w:tcPr>
            <w:tcW w:w="12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0B0B6B31">
            <w:pPr>
              <w:jc w:val="center"/>
            </w:pPr>
            <w:r>
              <w:rPr>
                <w:rFonts w:ascii="Arial" w:hAnsi="Arial" w:eastAsia="Arial" w:cs="Arial"/>
                <w:b/>
                <w:bCs/>
                <w:color w:val="E67E22"/>
                <w:sz w:val="21"/>
                <w:szCs w:val="21"/>
              </w:rPr>
              <w:t>HIGH</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F891E4">
            <w:pPr>
              <w:jc w:val="left"/>
            </w:pPr>
            <w:r>
              <w:rPr>
                <w:rFonts w:ascii="Arial" w:hAnsi="Arial" w:eastAsia="Arial" w:cs="Arial"/>
                <w:b w:val="0"/>
                <w:bCs w:val="0"/>
                <w:color w:val="1A1A1A"/>
                <w:sz w:val="21"/>
                <w:szCs w:val="21"/>
              </w:rPr>
              <w:t>Pre-launch taster sessions and founding member offer to validate demand before full investment. Sensitivity analysis shows business remains viable at 40% revenue reduction.</w:t>
            </w:r>
          </w:p>
        </w:tc>
      </w:tr>
      <w:tr w14:paraId="4473D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865201">
            <w:pPr>
              <w:jc w:val="left"/>
            </w:pPr>
            <w:r>
              <w:rPr>
                <w:rFonts w:ascii="Arial" w:hAnsi="Arial" w:eastAsia="Arial" w:cs="Arial"/>
                <w:b w:val="0"/>
                <w:bCs w:val="0"/>
                <w:color w:val="1A1A1A"/>
                <w:sz w:val="21"/>
                <w:szCs w:val="21"/>
              </w:rPr>
              <w:t>Grant funding delayed or unsuccessful</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E006B8B">
            <w:pPr>
              <w:jc w:val="center"/>
            </w:pPr>
            <w:r>
              <w:rPr>
                <w:rFonts w:ascii="Arial" w:hAnsi="Arial" w:eastAsia="Arial" w:cs="Arial"/>
                <w:b w:val="0"/>
                <w:bCs w:val="0"/>
                <w:color w:val="1A1A1A"/>
                <w:sz w:val="21"/>
                <w:szCs w:val="21"/>
              </w:rPr>
              <w:t>3</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4FD1A21C">
            <w:pPr>
              <w:jc w:val="center"/>
            </w:pPr>
            <w:r>
              <w:rPr>
                <w:rFonts w:ascii="Arial" w:hAnsi="Arial" w:eastAsia="Arial" w:cs="Arial"/>
                <w:b w:val="0"/>
                <w:bCs w:val="0"/>
                <w:color w:val="1A1A1A"/>
                <w:sz w:val="21"/>
                <w:szCs w:val="21"/>
              </w:rPr>
              <w:t>4</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65BE388C">
            <w:pPr>
              <w:jc w:val="center"/>
            </w:pPr>
            <w:r>
              <w:rPr>
                <w:rFonts w:ascii="Arial" w:hAnsi="Arial" w:eastAsia="Arial" w:cs="Arial"/>
                <w:b/>
                <w:bCs/>
                <w:color w:val="E67E22"/>
                <w:sz w:val="21"/>
                <w:szCs w:val="21"/>
              </w:rPr>
              <w:t>12</w:t>
            </w:r>
          </w:p>
        </w:tc>
        <w:tc>
          <w:tcPr>
            <w:tcW w:w="12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4C5C00BB">
            <w:pPr>
              <w:jc w:val="center"/>
            </w:pPr>
            <w:r>
              <w:rPr>
                <w:rFonts w:ascii="Arial" w:hAnsi="Arial" w:eastAsia="Arial" w:cs="Arial"/>
                <w:b/>
                <w:bCs/>
                <w:color w:val="E67E22"/>
                <w:sz w:val="21"/>
                <w:szCs w:val="21"/>
              </w:rPr>
              <w:t>HIGH</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04C168">
            <w:pPr>
              <w:jc w:val="left"/>
            </w:pPr>
            <w:r>
              <w:rPr>
                <w:rFonts w:ascii="Arial" w:hAnsi="Arial" w:eastAsia="Arial" w:cs="Arial"/>
                <w:b w:val="0"/>
                <w:bCs w:val="0"/>
                <w:color w:val="1A1A1A"/>
                <w:sz w:val="21"/>
                <w:szCs w:val="21"/>
              </w:rPr>
              <w:t>Multi-source strategy means no single grant exceeds 40% of total target. Staggered application timeline. Grace's fundraising expertise + Future Leap reference improves success rate.</w:t>
            </w:r>
          </w:p>
        </w:tc>
      </w:tr>
      <w:tr w14:paraId="5A047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0581FF">
            <w:pPr>
              <w:jc w:val="left"/>
            </w:pPr>
            <w:r>
              <w:rPr>
                <w:rFonts w:ascii="Arial" w:hAnsi="Arial" w:eastAsia="Arial" w:cs="Arial"/>
                <w:b w:val="0"/>
                <w:bCs w:val="0"/>
                <w:color w:val="1A1A1A"/>
                <w:sz w:val="21"/>
                <w:szCs w:val="21"/>
              </w:rPr>
              <w:t>Kitchen space not secured in Bristol</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7E378D9F">
            <w:pPr>
              <w:jc w:val="center"/>
            </w:pPr>
            <w:r>
              <w:rPr>
                <w:rFonts w:ascii="Arial" w:hAnsi="Arial" w:eastAsia="Arial" w:cs="Arial"/>
                <w:b w:val="0"/>
                <w:bCs w:val="0"/>
                <w:color w:val="1A1A1A"/>
                <w:sz w:val="21"/>
                <w:szCs w:val="21"/>
              </w:rPr>
              <w:t>2</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C2853C7">
            <w:pPr>
              <w:jc w:val="center"/>
            </w:pPr>
            <w:r>
              <w:rPr>
                <w:rFonts w:ascii="Arial" w:hAnsi="Arial" w:eastAsia="Arial" w:cs="Arial"/>
                <w:b w:val="0"/>
                <w:bCs w:val="0"/>
                <w:color w:val="1A1A1A"/>
                <w:sz w:val="21"/>
                <w:szCs w:val="21"/>
              </w:rPr>
              <w:t>4</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17D7C62">
            <w:pPr>
              <w:jc w:val="center"/>
            </w:pPr>
            <w:r>
              <w:rPr>
                <w:rFonts w:ascii="Arial" w:hAnsi="Arial" w:eastAsia="Arial" w:cs="Arial"/>
                <w:b/>
                <w:bCs/>
                <w:color w:val="F39C12"/>
                <w:sz w:val="21"/>
                <w:szCs w:val="21"/>
              </w:rPr>
              <w:t>8</w:t>
            </w:r>
          </w:p>
        </w:tc>
        <w:tc>
          <w:tcPr>
            <w:tcW w:w="12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4FBEA0B8">
            <w:pPr>
              <w:jc w:val="center"/>
            </w:pPr>
            <w:r>
              <w:rPr>
                <w:rFonts w:ascii="Arial" w:hAnsi="Arial" w:eastAsia="Arial" w:cs="Arial"/>
                <w:b/>
                <w:bCs/>
                <w:color w:val="F39C12"/>
                <w:sz w:val="21"/>
                <w:szCs w:val="21"/>
              </w:rPr>
              <w:t>MEDIUM</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170C62">
            <w:pPr>
              <w:jc w:val="left"/>
            </w:pPr>
            <w:r>
              <w:rPr>
                <w:rFonts w:ascii="Arial" w:hAnsi="Arial" w:eastAsia="Arial" w:cs="Arial"/>
                <w:b w:val="0"/>
                <w:bCs w:val="0"/>
                <w:color w:val="1A1A1A"/>
                <w:sz w:val="21"/>
                <w:szCs w:val="21"/>
              </w:rPr>
              <w:t>Future Leap actively sourcing. Bristol Food Network provides backup. Digital-first operations can begin before physical space is confirmed.</w:t>
            </w:r>
          </w:p>
        </w:tc>
      </w:tr>
      <w:tr w14:paraId="7961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A7F6DD">
            <w:pPr>
              <w:jc w:val="left"/>
            </w:pPr>
            <w:r>
              <w:rPr>
                <w:rFonts w:ascii="Arial" w:hAnsi="Arial" w:eastAsia="Arial" w:cs="Arial"/>
                <w:b w:val="0"/>
                <w:bCs w:val="0"/>
                <w:color w:val="1A1A1A"/>
                <w:sz w:val="21"/>
                <w:szCs w:val="21"/>
              </w:rPr>
              <w:t>Key person risk (Grace becomes unavailable)</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42716587">
            <w:pPr>
              <w:jc w:val="center"/>
            </w:pPr>
            <w:r>
              <w:rPr>
                <w:rFonts w:ascii="Arial" w:hAnsi="Arial" w:eastAsia="Arial" w:cs="Arial"/>
                <w:b w:val="0"/>
                <w:bCs w:val="0"/>
                <w:color w:val="1A1A1A"/>
                <w:sz w:val="21"/>
                <w:szCs w:val="21"/>
              </w:rPr>
              <w:t>2</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63F34A14">
            <w:pPr>
              <w:jc w:val="center"/>
            </w:pPr>
            <w:r>
              <w:rPr>
                <w:rFonts w:ascii="Arial" w:hAnsi="Arial" w:eastAsia="Arial" w:cs="Arial"/>
                <w:b w:val="0"/>
                <w:bCs w:val="0"/>
                <w:color w:val="1A1A1A"/>
                <w:sz w:val="21"/>
                <w:szCs w:val="21"/>
              </w:rPr>
              <w:t>5</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0098710A">
            <w:pPr>
              <w:jc w:val="center"/>
            </w:pPr>
            <w:r>
              <w:rPr>
                <w:rFonts w:ascii="Arial" w:hAnsi="Arial" w:eastAsia="Arial" w:cs="Arial"/>
                <w:b/>
                <w:bCs/>
                <w:color w:val="E67E22"/>
                <w:sz w:val="21"/>
                <w:szCs w:val="21"/>
              </w:rPr>
              <w:t>10</w:t>
            </w:r>
          </w:p>
        </w:tc>
        <w:tc>
          <w:tcPr>
            <w:tcW w:w="12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6989A8ED">
            <w:pPr>
              <w:jc w:val="center"/>
            </w:pPr>
            <w:r>
              <w:rPr>
                <w:rFonts w:ascii="Arial" w:hAnsi="Arial" w:eastAsia="Arial" w:cs="Arial"/>
                <w:b/>
                <w:bCs/>
                <w:color w:val="E67E22"/>
                <w:sz w:val="21"/>
                <w:szCs w:val="21"/>
              </w:rPr>
              <w:t>HIGH</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ED4338">
            <w:pPr>
              <w:jc w:val="left"/>
            </w:pPr>
            <w:r>
              <w:rPr>
                <w:rFonts w:ascii="Arial" w:hAnsi="Arial" w:eastAsia="Arial" w:cs="Arial"/>
                <w:b w:val="0"/>
                <w:bCs w:val="0"/>
                <w:color w:val="1A1A1A"/>
                <w:sz w:val="21"/>
                <w:szCs w:val="21"/>
              </w:rPr>
              <w:t>Business insurance for key person incapacity. Digital content pre-recorded and platform accessible without Grace. Network of Future Leap contacts who can provide interim support.</w:t>
            </w:r>
          </w:p>
        </w:tc>
      </w:tr>
      <w:tr w14:paraId="38A6E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20F463">
            <w:pPr>
              <w:jc w:val="left"/>
            </w:pPr>
            <w:r>
              <w:rPr>
                <w:rFonts w:ascii="Arial" w:hAnsi="Arial" w:eastAsia="Arial" w:cs="Arial"/>
                <w:b w:val="0"/>
                <w:bCs w:val="0"/>
                <w:color w:val="1A1A1A"/>
                <w:sz w:val="21"/>
                <w:szCs w:val="21"/>
              </w:rPr>
              <w:t>Gas-to-electric transition resistance from community</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D647724">
            <w:pPr>
              <w:jc w:val="center"/>
            </w:pPr>
            <w:r>
              <w:rPr>
                <w:rFonts w:ascii="Arial" w:hAnsi="Arial" w:eastAsia="Arial" w:cs="Arial"/>
                <w:b w:val="0"/>
                <w:bCs w:val="0"/>
                <w:color w:val="1A1A1A"/>
                <w:sz w:val="21"/>
                <w:szCs w:val="21"/>
              </w:rPr>
              <w:t>2</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8552506">
            <w:pPr>
              <w:jc w:val="center"/>
            </w:pPr>
            <w:r>
              <w:rPr>
                <w:rFonts w:ascii="Arial" w:hAnsi="Arial" w:eastAsia="Arial" w:cs="Arial"/>
                <w:b w:val="0"/>
                <w:bCs w:val="0"/>
                <w:color w:val="1A1A1A"/>
                <w:sz w:val="21"/>
                <w:szCs w:val="21"/>
              </w:rPr>
              <w:t>3</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2A559D5A">
            <w:pPr>
              <w:jc w:val="center"/>
            </w:pPr>
            <w:r>
              <w:rPr>
                <w:rFonts w:ascii="Arial" w:hAnsi="Arial" w:eastAsia="Arial" w:cs="Arial"/>
                <w:b/>
                <w:bCs/>
                <w:color w:val="F39C12"/>
                <w:sz w:val="21"/>
                <w:szCs w:val="21"/>
              </w:rPr>
              <w:t>6</w:t>
            </w:r>
          </w:p>
        </w:tc>
        <w:tc>
          <w:tcPr>
            <w:tcW w:w="12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0F9F1646">
            <w:pPr>
              <w:jc w:val="center"/>
            </w:pPr>
            <w:r>
              <w:rPr>
                <w:rFonts w:ascii="Arial" w:hAnsi="Arial" w:eastAsia="Arial" w:cs="Arial"/>
                <w:b/>
                <w:bCs/>
                <w:color w:val="F39C12"/>
                <w:sz w:val="21"/>
                <w:szCs w:val="21"/>
              </w:rPr>
              <w:t>MEDIUM</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47563E">
            <w:pPr>
              <w:jc w:val="left"/>
            </w:pPr>
            <w:r>
              <w:rPr>
                <w:rFonts w:ascii="Arial" w:hAnsi="Arial" w:eastAsia="Arial" w:cs="Arial"/>
                <w:b w:val="0"/>
                <w:bCs w:val="0"/>
                <w:color w:val="1A1A1A"/>
                <w:sz w:val="21"/>
                <w:szCs w:val="21"/>
              </w:rPr>
              <w:t>Smart-Prep methodology preserves authentic flavour — this is the primary community concern. Live demonstrations show the results. Taste first, convince second.</w:t>
            </w:r>
          </w:p>
        </w:tc>
      </w:tr>
      <w:tr w14:paraId="7B7C4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D5A0DC">
            <w:pPr>
              <w:jc w:val="left"/>
            </w:pPr>
            <w:r>
              <w:rPr>
                <w:rFonts w:ascii="Arial" w:hAnsi="Arial" w:eastAsia="Arial" w:cs="Arial"/>
                <w:b w:val="0"/>
                <w:bCs w:val="0"/>
                <w:color w:val="1A1A1A"/>
                <w:sz w:val="21"/>
                <w:szCs w:val="21"/>
              </w:rPr>
              <w:t>Equipment supplier / Magimix partnership fails</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43AF97FA">
            <w:pPr>
              <w:jc w:val="center"/>
            </w:pPr>
            <w:r>
              <w:rPr>
                <w:rFonts w:ascii="Arial" w:hAnsi="Arial" w:eastAsia="Arial" w:cs="Arial"/>
                <w:b w:val="0"/>
                <w:bCs w:val="0"/>
                <w:color w:val="1A1A1A"/>
                <w:sz w:val="21"/>
                <w:szCs w:val="21"/>
              </w:rPr>
              <w:t>2</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B65D477">
            <w:pPr>
              <w:jc w:val="center"/>
            </w:pPr>
            <w:r>
              <w:rPr>
                <w:rFonts w:ascii="Arial" w:hAnsi="Arial" w:eastAsia="Arial" w:cs="Arial"/>
                <w:b w:val="0"/>
                <w:bCs w:val="0"/>
                <w:color w:val="1A1A1A"/>
                <w:sz w:val="21"/>
                <w:szCs w:val="21"/>
              </w:rPr>
              <w:t>2</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7930D31">
            <w:pPr>
              <w:jc w:val="center"/>
            </w:pPr>
            <w:r>
              <w:rPr>
                <w:rFonts w:ascii="Arial" w:hAnsi="Arial" w:eastAsia="Arial" w:cs="Arial"/>
                <w:b/>
                <w:bCs/>
                <w:color w:val="27AE60"/>
                <w:sz w:val="21"/>
                <w:szCs w:val="21"/>
              </w:rPr>
              <w:t>4</w:t>
            </w:r>
          </w:p>
        </w:tc>
        <w:tc>
          <w:tcPr>
            <w:tcW w:w="12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71FF408">
            <w:pPr>
              <w:jc w:val="center"/>
            </w:pPr>
            <w:r>
              <w:rPr>
                <w:rFonts w:ascii="Arial" w:hAnsi="Arial" w:eastAsia="Arial" w:cs="Arial"/>
                <w:b/>
                <w:bCs/>
                <w:color w:val="27AE60"/>
                <w:sz w:val="21"/>
                <w:szCs w:val="21"/>
              </w:rPr>
              <w:t>LOW</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AD9758">
            <w:pPr>
              <w:jc w:val="left"/>
            </w:pPr>
            <w:r>
              <w:rPr>
                <w:rFonts w:ascii="Arial" w:hAnsi="Arial" w:eastAsia="Arial" w:cs="Arial"/>
                <w:b w:val="0"/>
                <w:bCs w:val="0"/>
                <w:color w:val="1A1A1A"/>
                <w:sz w:val="21"/>
                <w:szCs w:val="21"/>
              </w:rPr>
              <w:t>Multiple alternative induction suppliers available. Equipment can be purchased retail. Commission income model is not dependent on a single supplier.</w:t>
            </w:r>
          </w:p>
        </w:tc>
      </w:tr>
      <w:tr w14:paraId="23241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304930">
            <w:pPr>
              <w:jc w:val="left"/>
            </w:pPr>
            <w:r>
              <w:rPr>
                <w:rFonts w:ascii="Arial" w:hAnsi="Arial" w:eastAsia="Arial" w:cs="Arial"/>
                <w:b w:val="0"/>
                <w:bCs w:val="0"/>
                <w:color w:val="1A1A1A"/>
                <w:sz w:val="21"/>
                <w:szCs w:val="21"/>
              </w:rPr>
              <w:t>Regulatory changes to visa requirements</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0BF82DF">
            <w:pPr>
              <w:jc w:val="center"/>
            </w:pPr>
            <w:r>
              <w:rPr>
                <w:rFonts w:ascii="Arial" w:hAnsi="Arial" w:eastAsia="Arial" w:cs="Arial"/>
                <w:b w:val="0"/>
                <w:bCs w:val="0"/>
                <w:color w:val="1A1A1A"/>
                <w:sz w:val="21"/>
                <w:szCs w:val="21"/>
              </w:rPr>
              <w:t>1</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65DF06AE">
            <w:pPr>
              <w:jc w:val="center"/>
            </w:pPr>
            <w:r>
              <w:rPr>
                <w:rFonts w:ascii="Arial" w:hAnsi="Arial" w:eastAsia="Arial" w:cs="Arial"/>
                <w:b w:val="0"/>
                <w:bCs w:val="0"/>
                <w:color w:val="1A1A1A"/>
                <w:sz w:val="21"/>
                <w:szCs w:val="21"/>
              </w:rPr>
              <w:t>5</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509F5136">
            <w:pPr>
              <w:jc w:val="center"/>
            </w:pPr>
            <w:r>
              <w:rPr>
                <w:rFonts w:ascii="Arial" w:hAnsi="Arial" w:eastAsia="Arial" w:cs="Arial"/>
                <w:b/>
                <w:bCs/>
                <w:color w:val="F39C12"/>
                <w:sz w:val="21"/>
                <w:szCs w:val="21"/>
              </w:rPr>
              <w:t>5</w:t>
            </w:r>
          </w:p>
        </w:tc>
        <w:tc>
          <w:tcPr>
            <w:tcW w:w="12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6E568BEA">
            <w:pPr>
              <w:jc w:val="center"/>
            </w:pPr>
            <w:r>
              <w:rPr>
                <w:rFonts w:ascii="Arial" w:hAnsi="Arial" w:eastAsia="Arial" w:cs="Arial"/>
                <w:b/>
                <w:bCs/>
                <w:color w:val="F39C12"/>
                <w:sz w:val="21"/>
                <w:szCs w:val="21"/>
              </w:rPr>
              <w:t>MEDIUM</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0B789F">
            <w:pPr>
              <w:jc w:val="left"/>
            </w:pPr>
            <w:r>
              <w:rPr>
                <w:rFonts w:ascii="Arial" w:hAnsi="Arial" w:eastAsia="Arial" w:cs="Arial"/>
                <w:b w:val="0"/>
                <w:bCs w:val="0"/>
                <w:color w:val="1A1A1A"/>
                <w:sz w:val="21"/>
                <w:szCs w:val="21"/>
              </w:rPr>
              <w:t>Business designed around commercial viability, not visa dependency. OISC-regulated immigration solicitor engaged throughout.</w:t>
            </w:r>
          </w:p>
        </w:tc>
      </w:tr>
      <w:tr w14:paraId="42541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B9EC83">
            <w:pPr>
              <w:jc w:val="left"/>
            </w:pPr>
            <w:r>
              <w:rPr>
                <w:rFonts w:ascii="Arial" w:hAnsi="Arial" w:eastAsia="Arial" w:cs="Arial"/>
                <w:b w:val="0"/>
                <w:bCs w:val="0"/>
                <w:color w:val="1A1A1A"/>
                <w:sz w:val="21"/>
                <w:szCs w:val="21"/>
              </w:rPr>
              <w:t>Digital subscription churn above 15%</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6DFBDFC2">
            <w:pPr>
              <w:jc w:val="center"/>
            </w:pPr>
            <w:r>
              <w:rPr>
                <w:rFonts w:ascii="Arial" w:hAnsi="Arial" w:eastAsia="Arial" w:cs="Arial"/>
                <w:b w:val="0"/>
                <w:bCs w:val="0"/>
                <w:color w:val="1A1A1A"/>
                <w:sz w:val="21"/>
                <w:szCs w:val="21"/>
              </w:rPr>
              <w:t>3</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2C5C4116">
            <w:pPr>
              <w:jc w:val="center"/>
            </w:pPr>
            <w:r>
              <w:rPr>
                <w:rFonts w:ascii="Arial" w:hAnsi="Arial" w:eastAsia="Arial" w:cs="Arial"/>
                <w:b w:val="0"/>
                <w:bCs w:val="0"/>
                <w:color w:val="1A1A1A"/>
                <w:sz w:val="21"/>
                <w:szCs w:val="21"/>
              </w:rPr>
              <w:t>3</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4F397F9F">
            <w:pPr>
              <w:jc w:val="center"/>
            </w:pPr>
            <w:r>
              <w:rPr>
                <w:rFonts w:ascii="Arial" w:hAnsi="Arial" w:eastAsia="Arial" w:cs="Arial"/>
                <w:b/>
                <w:bCs/>
                <w:color w:val="F39C12"/>
                <w:sz w:val="21"/>
                <w:szCs w:val="21"/>
              </w:rPr>
              <w:t>9</w:t>
            </w:r>
          </w:p>
        </w:tc>
        <w:tc>
          <w:tcPr>
            <w:tcW w:w="12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66180565">
            <w:pPr>
              <w:jc w:val="center"/>
            </w:pPr>
            <w:r>
              <w:rPr>
                <w:rFonts w:ascii="Arial" w:hAnsi="Arial" w:eastAsia="Arial" w:cs="Arial"/>
                <w:b/>
                <w:bCs/>
                <w:color w:val="F39C12"/>
                <w:sz w:val="21"/>
                <w:szCs w:val="21"/>
              </w:rPr>
              <w:t>MEDIUM</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0A98FD">
            <w:pPr>
              <w:jc w:val="left"/>
            </w:pPr>
            <w:r>
              <w:rPr>
                <w:rFonts w:ascii="Arial" w:hAnsi="Arial" w:eastAsia="Arial" w:cs="Arial"/>
                <w:b w:val="0"/>
                <w:bCs w:val="0"/>
                <w:color w:val="1A1A1A"/>
                <w:sz w:val="21"/>
                <w:szCs w:val="21"/>
              </w:rPr>
              <w:t>Monthly live Q&amp;A, private community group, and regular new content maintain engagement. Annual plan (£99) incentivises commitment. Churn monitored monthly.</w:t>
            </w:r>
          </w:p>
        </w:tc>
      </w:tr>
      <w:tr w14:paraId="6621B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B9FBAA">
            <w:pPr>
              <w:jc w:val="left"/>
            </w:pPr>
            <w:r>
              <w:rPr>
                <w:rFonts w:ascii="Arial" w:hAnsi="Arial" w:eastAsia="Arial" w:cs="Arial"/>
                <w:b w:val="0"/>
                <w:bCs w:val="0"/>
                <w:color w:val="1A1A1A"/>
                <w:sz w:val="21"/>
                <w:szCs w:val="21"/>
              </w:rPr>
              <w:t>Competition enters the market</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22141F24">
            <w:pPr>
              <w:jc w:val="center"/>
            </w:pPr>
            <w:r>
              <w:rPr>
                <w:rFonts w:ascii="Arial" w:hAnsi="Arial" w:eastAsia="Arial" w:cs="Arial"/>
                <w:b w:val="0"/>
                <w:bCs w:val="0"/>
                <w:color w:val="1A1A1A"/>
                <w:sz w:val="21"/>
                <w:szCs w:val="21"/>
              </w:rPr>
              <w:t>1</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4FD9F884">
            <w:pPr>
              <w:jc w:val="center"/>
            </w:pPr>
            <w:r>
              <w:rPr>
                <w:rFonts w:ascii="Arial" w:hAnsi="Arial" w:eastAsia="Arial" w:cs="Arial"/>
                <w:b w:val="0"/>
                <w:bCs w:val="0"/>
                <w:color w:val="1A1A1A"/>
                <w:sz w:val="21"/>
                <w:szCs w:val="21"/>
              </w:rPr>
              <w:t>3</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17594B85">
            <w:pPr>
              <w:jc w:val="center"/>
            </w:pPr>
            <w:r>
              <w:rPr>
                <w:rFonts w:ascii="Arial" w:hAnsi="Arial" w:eastAsia="Arial" w:cs="Arial"/>
                <w:b/>
                <w:bCs/>
                <w:color w:val="27AE60"/>
                <w:sz w:val="21"/>
                <w:szCs w:val="21"/>
              </w:rPr>
              <w:t>3</w:t>
            </w:r>
          </w:p>
        </w:tc>
        <w:tc>
          <w:tcPr>
            <w:tcW w:w="12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72F9D48">
            <w:pPr>
              <w:jc w:val="center"/>
            </w:pPr>
            <w:r>
              <w:rPr>
                <w:rFonts w:ascii="Arial" w:hAnsi="Arial" w:eastAsia="Arial" w:cs="Arial"/>
                <w:b/>
                <w:bCs/>
                <w:color w:val="27AE60"/>
                <w:sz w:val="21"/>
                <w:szCs w:val="21"/>
              </w:rPr>
              <w:t>LOW</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B37ADD">
            <w:pPr>
              <w:jc w:val="left"/>
            </w:pPr>
            <w:r>
              <w:rPr>
                <w:rFonts w:ascii="Arial" w:hAnsi="Arial" w:eastAsia="Arial" w:cs="Arial"/>
                <w:b w:val="0"/>
                <w:bCs w:val="0"/>
                <w:color w:val="1A1A1A"/>
                <w:sz w:val="21"/>
                <w:szCs w:val="21"/>
              </w:rPr>
              <w:t>First-mover advantage. Community trust and Grace's personal credibility create a relationship moat. Smart-Prep IP and carbon dashboard are difficult to replicate quickly.</w:t>
            </w:r>
          </w:p>
        </w:tc>
      </w:tr>
      <w:tr w14:paraId="65BA7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D9D24A">
            <w:pPr>
              <w:jc w:val="left"/>
            </w:pPr>
            <w:r>
              <w:rPr>
                <w:rFonts w:ascii="Arial" w:hAnsi="Arial" w:eastAsia="Arial" w:cs="Arial"/>
                <w:b w:val="0"/>
                <w:bCs w:val="0"/>
                <w:color w:val="1A1A1A"/>
                <w:sz w:val="21"/>
                <w:szCs w:val="21"/>
              </w:rPr>
              <w:t>UK economic downturn reduces discretionary spend</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42A42D1C">
            <w:pPr>
              <w:jc w:val="center"/>
            </w:pPr>
            <w:r>
              <w:rPr>
                <w:rFonts w:ascii="Arial" w:hAnsi="Arial" w:eastAsia="Arial" w:cs="Arial"/>
                <w:b w:val="0"/>
                <w:bCs w:val="0"/>
                <w:color w:val="1A1A1A"/>
                <w:sz w:val="21"/>
                <w:szCs w:val="21"/>
              </w:rPr>
              <w:t>2</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5C21A6E">
            <w:pPr>
              <w:jc w:val="center"/>
            </w:pPr>
            <w:r>
              <w:rPr>
                <w:rFonts w:ascii="Arial" w:hAnsi="Arial" w:eastAsia="Arial" w:cs="Arial"/>
                <w:b w:val="0"/>
                <w:bCs w:val="0"/>
                <w:color w:val="1A1A1A"/>
                <w:sz w:val="21"/>
                <w:szCs w:val="21"/>
              </w:rPr>
              <w:t>3</w:t>
            </w:r>
          </w:p>
        </w:tc>
        <w:tc>
          <w:tcPr>
            <w:tcW w:w="70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589D0D53">
            <w:pPr>
              <w:jc w:val="center"/>
            </w:pPr>
            <w:r>
              <w:rPr>
                <w:rFonts w:ascii="Arial" w:hAnsi="Arial" w:eastAsia="Arial" w:cs="Arial"/>
                <w:b/>
                <w:bCs/>
                <w:color w:val="F39C12"/>
                <w:sz w:val="21"/>
                <w:szCs w:val="21"/>
              </w:rPr>
              <w:t>6</w:t>
            </w:r>
          </w:p>
        </w:tc>
        <w:tc>
          <w:tcPr>
            <w:tcW w:w="1260" w:type="dxa"/>
            <w:tcBorders>
              <w:top w:val="single" w:color="CCCCCC" w:sz="0" w:space="0"/>
              <w:left w:val="single" w:color="CCCCCC" w:sz="0" w:space="0"/>
              <w:bottom w:val="single" w:color="CCCCCC" w:sz="0" w:space="0"/>
              <w:right w:val="single" w:color="CCCCCC" w:sz="0" w:space="0"/>
            </w:tcBorders>
            <w:shd w:val="clear" w:color="auto" w:fill="EEEEEE"/>
            <w:tcMar>
              <w:top w:w="80" w:type="dxa"/>
              <w:left w:w="120" w:type="dxa"/>
              <w:bottom w:w="80" w:type="dxa"/>
              <w:right w:w="120" w:type="dxa"/>
            </w:tcMar>
          </w:tcPr>
          <w:p w14:paraId="32EA68F7">
            <w:pPr>
              <w:jc w:val="center"/>
            </w:pPr>
            <w:r>
              <w:rPr>
                <w:rFonts w:ascii="Arial" w:hAnsi="Arial" w:eastAsia="Arial" w:cs="Arial"/>
                <w:b/>
                <w:bCs/>
                <w:color w:val="F39C12"/>
                <w:sz w:val="21"/>
                <w:szCs w:val="21"/>
              </w:rPr>
              <w:t>MEDIUM</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3A9FCC">
            <w:pPr>
              <w:jc w:val="left"/>
            </w:pPr>
            <w:r>
              <w:rPr>
                <w:rFonts w:ascii="Arial" w:hAnsi="Arial" w:eastAsia="Arial" w:cs="Arial"/>
                <w:b w:val="0"/>
                <w:bCs w:val="0"/>
                <w:color w:val="1A1A1A"/>
                <w:sz w:val="21"/>
                <w:szCs w:val="21"/>
              </w:rPr>
              <w:t>Session pricing (from £10) kept accessible. B2B consulting and institutional revenue less price-sensitive. Digital subscription (£10/month) is low-cost value proposition.</w:t>
            </w:r>
          </w:p>
        </w:tc>
      </w:tr>
    </w:tbl>
    <w:p w14:paraId="635C912F">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307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6B3C" w:sz="0" w:space="0"/>
              <w:left w:val="single" w:color="1A6B3C" w:sz="0" w:space="0"/>
              <w:bottom w:val="single" w:color="1A6B3C" w:sz="0" w:space="0"/>
              <w:right w:val="single" w:color="1A6B3C" w:sz="0" w:space="0"/>
            </w:tcBorders>
            <w:shd w:val="clear" w:color="auto" w:fill="E8F5EE"/>
            <w:tcMar>
              <w:top w:w="140" w:type="dxa"/>
              <w:left w:w="220" w:type="dxa"/>
              <w:bottom w:w="140" w:type="dxa"/>
              <w:right w:w="220" w:type="dxa"/>
            </w:tcMar>
          </w:tcPr>
          <w:p w14:paraId="4D0FB125">
            <w:pPr>
              <w:spacing w:before="0" w:after="60"/>
            </w:pPr>
            <w:r>
              <w:rPr>
                <w:rFonts w:ascii="Arial" w:hAnsi="Arial" w:eastAsia="Arial" w:cs="Arial"/>
                <w:b/>
                <w:bCs/>
                <w:color w:val="0D3D24"/>
                <w:sz w:val="22"/>
                <w:szCs w:val="22"/>
              </w:rPr>
              <w:t>Overall Risk Assessment</w:t>
            </w:r>
          </w:p>
          <w:p w14:paraId="5E4D200C">
            <w:pPr>
              <w:spacing w:before="0" w:after="0"/>
            </w:pPr>
            <w:r>
              <w:rPr>
                <w:rFonts w:ascii="Arial" w:hAnsi="Arial" w:eastAsia="Arial" w:cs="Arial"/>
                <w:color w:val="1A1A1A"/>
                <w:sz w:val="21"/>
                <w:szCs w:val="21"/>
              </w:rPr>
              <w:t>No risk identified scores in the very high (20–25) category. The two high-scoring risks — community uptake and grant funding — are both actively mitigated through pre-launch validation, multi-source funding, and the Future Leap partnership. The business has been designed specifically to remain viable even in a downside scenario.</w:t>
            </w:r>
          </w:p>
        </w:tc>
      </w:tr>
    </w:tbl>
    <w:p w14:paraId="04E7F85D">
      <w:r>
        <w:br w:type="textWrapping"/>
      </w:r>
    </w:p>
    <w:p w14:paraId="10668F38">
      <w:pPr>
        <w:pStyle w:val="2"/>
        <w:pBdr>
          <w:bottom w:val="single" w:color="1A6B3C" w:sz="8" w:space="1"/>
        </w:pBdr>
        <w:spacing w:before="400" w:after="120"/>
      </w:pPr>
      <w:r>
        <w:rPr>
          <w:rFonts w:ascii="Georgia" w:hAnsi="Georgia" w:eastAsia="Georgia" w:cs="Georgia"/>
          <w:b/>
          <w:bCs/>
          <w:color w:val="0D3D24"/>
          <w:sz w:val="34"/>
          <w:szCs w:val="34"/>
        </w:rPr>
        <w:t>Closing Statement</w:t>
      </w:r>
    </w:p>
    <w:p w14:paraId="04616565">
      <w:pPr>
        <w:spacing w:before="80" w:after="100"/>
      </w:pPr>
      <w:r>
        <w:rPr>
          <w:rFonts w:ascii="Arial" w:hAnsi="Arial" w:eastAsia="Arial" w:cs="Arial"/>
          <w:color w:val="1A1A1A"/>
          <w:sz w:val="22"/>
          <w:szCs w:val="22"/>
        </w:rPr>
        <w:t>Green Africa Hub is not a business that was built to satisfy a visa application. It was built because of a real problem, observed in a real community, in a real city — and because its founder has the skills, the experience, and the personal conviction to solve it.</w:t>
      </w:r>
    </w:p>
    <w:p w14:paraId="5E99B975">
      <w:pPr>
        <w:spacing w:before="60" w:after="0"/>
      </w:pPr>
    </w:p>
    <w:p w14:paraId="5E49814A">
      <w:pPr>
        <w:spacing w:before="80" w:after="100"/>
      </w:pPr>
      <w:r>
        <w:rPr>
          <w:rFonts w:ascii="Arial" w:hAnsi="Arial" w:eastAsia="Arial" w:cs="Arial"/>
          <w:color w:val="1A1A1A"/>
          <w:sz w:val="22"/>
          <w:szCs w:val="22"/>
        </w:rPr>
        <w:t>The African and Caribbean caterers of Bristol — and of the UK — are at a crossroads. Rising energy costs and tightening environmental regulation will either push them out of business or force them to change. Green Africa Hub is the change. It provides the technology, the knowledge, and the community infrastructure to make traditional cooking sustainable — economically, environmentally, and culturally.</w:t>
      </w:r>
    </w:p>
    <w:p w14:paraId="171AFD1B">
      <w:pPr>
        <w:spacing w:before="60" w:after="0"/>
      </w:pPr>
    </w:p>
    <w:p w14:paraId="1E1CAE92">
      <w:pPr>
        <w:spacing w:before="80" w:after="100"/>
      </w:pPr>
      <w:r>
        <w:rPr>
          <w:rFonts w:ascii="Arial" w:hAnsi="Arial" w:eastAsia="Arial" w:cs="Arial"/>
          <w:color w:val="1A1A1A"/>
          <w:sz w:val="22"/>
          <w:szCs w:val="22"/>
        </w:rPr>
        <w:t>The market is clear. The problem is real. The innovation is genuine. The founder is qualified. The plan is credible. The community is waiting.</w:t>
      </w:r>
    </w:p>
    <w:p w14:paraId="10DF191D">
      <w:pPr>
        <w:spacing w:before="120" w:after="0"/>
      </w:pPr>
    </w:p>
    <w:p w14:paraId="71789ED2">
      <w:pPr>
        <w:spacing w:before="80" w:after="100"/>
      </w:pPr>
      <w:r>
        <w:rPr>
          <w:rFonts w:ascii="Arial" w:hAnsi="Arial" w:eastAsia="Arial" w:cs="Arial"/>
          <w:b w:val="0"/>
          <w:bCs w:val="0"/>
          <w:color w:val="1A1A1A"/>
          <w:sz w:val="22"/>
          <w:szCs w:val="22"/>
        </w:rPr>
        <w:t>Signed: ___________________________           Date: March 2026</w:t>
      </w:r>
    </w:p>
    <w:p w14:paraId="5425BE54">
      <w:pPr>
        <w:spacing w:before="60" w:after="0"/>
      </w:pPr>
    </w:p>
    <w:p w14:paraId="55E6F5E6">
      <w:pPr>
        <w:spacing w:before="80" w:after="100"/>
      </w:pPr>
      <w:r>
        <w:rPr>
          <w:rFonts w:ascii="Arial" w:hAnsi="Arial" w:eastAsia="Arial" w:cs="Arial"/>
          <w:color w:val="1A1A1A"/>
          <w:sz w:val="22"/>
          <w:szCs w:val="22"/>
        </w:rPr>
        <w:t>Grace Omotuase  |  Founder &amp; CEO, Green Africa Hub</w:t>
      </w:r>
    </w:p>
    <w:p w14:paraId="670D968E">
      <w:pPr>
        <w:spacing w:before="80" w:after="100"/>
      </w:pPr>
      <w:r>
        <w:rPr>
          <w:rFonts w:ascii="Arial" w:hAnsi="Arial" w:eastAsia="Arial" w:cs="Arial"/>
          <w:color w:val="1A1A1A"/>
          <w:sz w:val="22"/>
          <w:szCs w:val="22"/>
        </w:rPr>
        <w:t>gracetuase@gmail.com  |  07776 643 169  |  Bristol, UK</w:t>
      </w:r>
    </w:p>
    <w:sectPr>
      <w:headerReference r:id="rId3" w:type="default"/>
      <w:footerReference r:id="rId4" w:type="default"/>
      <w:pgSz w:w="11906" w:h="16838"/>
      <w:pgMar w:top="1260" w:right="1260" w:bottom="126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FCFD9">
    <w:pPr>
      <w:pBdr>
        <w:top w:val="single" w:color="1A6B3C" w:sz="4" w:space="1"/>
      </w:pBdr>
      <w:spacing w:before="80"/>
      <w:jc w:val="right"/>
    </w:pPr>
    <w:r>
      <w:rPr>
        <w:rFonts w:ascii="Arial" w:hAnsi="Arial" w:eastAsia="Arial" w:cs="Arial"/>
        <w:color w:val="2E7D52"/>
        <w:sz w:val="18"/>
        <w:szCs w:val="18"/>
      </w:rPr>
      <w:t xml:space="preserve">Grace Omotuase, Founder  |  gracetuase@gmail.com  |  Page </w:t>
    </w:r>
    <w:r>
      <w:rPr>
        <w:rFonts w:ascii="Arial" w:hAnsi="Arial" w:eastAsia="Arial" w:cs="Arial"/>
        <w:color w:val="2E7D52"/>
        <w:sz w:val="18"/>
        <w:szCs w:val="18"/>
      </w:rPr>
      <w:fldChar w:fldCharType="begin"/>
    </w:r>
    <w:r>
      <w:rPr>
        <w:rFonts w:ascii="Arial" w:hAnsi="Arial" w:eastAsia="Arial" w:cs="Arial"/>
        <w:color w:val="2E7D52"/>
        <w:sz w:val="18"/>
        <w:szCs w:val="18"/>
      </w:rPr>
      <w:instrText xml:space="preserve">PAGE</w:instrText>
    </w:r>
    <w:r>
      <w:rPr>
        <w:rFonts w:ascii="Arial" w:hAnsi="Arial" w:eastAsia="Arial" w:cs="Arial"/>
        <w:color w:val="2E7D52"/>
        <w:sz w:val="18"/>
        <w:szCs w:val="18"/>
      </w:rPr>
      <w:fldChar w:fldCharType="separate"/>
    </w:r>
    <w:r>
      <w:rPr>
        <w:rFonts w:ascii="Arial" w:hAnsi="Arial" w:eastAsia="Arial" w:cs="Arial"/>
        <w:color w:val="2E7D52"/>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7141C">
    <w:pPr>
      <w:pBdr>
        <w:bottom w:val="single" w:color="1A6B3C" w:sz="4" w:space="1"/>
      </w:pBdr>
      <w:spacing w:after="80"/>
    </w:pPr>
    <w:r>
      <w:drawing>
        <wp:inline distT="0" distB="0" distL="0" distR="0">
          <wp:extent cx="247650" cy="247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rcRect/>
                  <a:stretch>
                    <a:fillRect/>
                  </a:stretch>
                </pic:blipFill>
                <pic:spPr>
                  <a:xfrm>
                    <a:off x="0" y="0"/>
                    <a:ext cx="247650" cy="247650"/>
                  </a:xfrm>
                  <a:prstGeom prst="rect">
                    <a:avLst/>
                  </a:prstGeom>
                </pic:spPr>
              </pic:pic>
            </a:graphicData>
          </a:graphic>
        </wp:inline>
      </w:drawing>
    </w:r>
    <w:r>
      <w:rPr>
        <w:rFonts w:ascii="Arial" w:hAnsi="Arial" w:eastAsia="Arial" w:cs="Arial"/>
        <w:color w:val="2E7D52"/>
        <w:sz w:val="18"/>
        <w:szCs w:val="18"/>
      </w:rPr>
      <w:t xml:space="preserve">   Green Africa Hub  —  Business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compatSetting w:name="compatibilityMode" w:uri="http://schemas.microsoft.com/office/word" w:val="15"/>
  </w:compat>
  <w:rsids>
    <w:rsidRoot w:val="00000000"/>
    <w:rsid w:val="1E6808B5"/>
    <w:rsid w:val="5A8509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2"/>
      <w:szCs w:val="22"/>
    </w:rPr>
  </w:style>
  <w:style w:type="paragraph" w:styleId="2">
    <w:name w:val="heading 1"/>
    <w:next w:val="1"/>
    <w:qFormat/>
    <w:uiPriority w:val="0"/>
    <w:pPr>
      <w:spacing w:before="400" w:after="120"/>
      <w:outlineLvl w:val="0"/>
    </w:pPr>
    <w:rPr>
      <w:rFonts w:ascii="Georgia" w:hAnsi="Georgia" w:eastAsia="Georgia" w:cs="Georgia"/>
      <w:b/>
      <w:bCs/>
      <w:color w:val="0D3D24"/>
      <w:sz w:val="34"/>
      <w:szCs w:val="34"/>
    </w:rPr>
  </w:style>
  <w:style w:type="paragraph" w:styleId="3">
    <w:name w:val="heading 2"/>
    <w:next w:val="1"/>
    <w:qFormat/>
    <w:uiPriority w:val="0"/>
    <w:pPr>
      <w:spacing w:before="300" w:after="100"/>
      <w:outlineLvl w:val="1"/>
    </w:pPr>
    <w:rPr>
      <w:rFonts w:ascii="Georgia" w:hAnsi="Georgia" w:eastAsia="Georgia" w:cs="Georgia"/>
      <w:b/>
      <w:bCs/>
      <w:color w:val="2E7D52"/>
      <w:sz w:val="26"/>
      <w:szCs w:val="26"/>
    </w:rPr>
  </w:style>
  <w:style w:type="paragraph" w:styleId="4">
    <w:name w:val="heading 3"/>
    <w:next w:val="1"/>
    <w:qFormat/>
    <w:uiPriority w:val="0"/>
    <w:pPr>
      <w:spacing w:before="200" w:after="60"/>
      <w:outlineLvl w:val="2"/>
    </w:pPr>
    <w:rPr>
      <w:rFonts w:ascii="Arial" w:hAnsi="Arial" w:eastAsia="Arial" w:cs="Arial"/>
      <w:b/>
      <w:bCs/>
      <w:color w:val="1A6B3C"/>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color w:val="1A1A1A"/>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color w:val="1A1A1A"/>
      <w:sz w:val="56"/>
      <w:szCs w:val="56"/>
    </w:rPr>
  </w:style>
  <w:style w:type="paragraph" w:styleId="14">
    <w:name w:val="List Paragraph"/>
    <w:qFormat/>
    <w:uiPriority w:val="0"/>
    <w:rPr>
      <w:rFonts w:ascii="Arial" w:hAnsi="Arial" w:eastAsia="Arial" w:cs="Arial"/>
      <w:color w:val="1A1A1A"/>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1969</Words>
  <Characters>11858</Characters>
  <TotalTime>32</TotalTime>
  <ScaleCrop>false</ScaleCrop>
  <LinksUpToDate>false</LinksUpToDate>
  <CharactersWithSpaces>13664</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2026-03-19T00:07:00Z</dcterms:created>
  <dc:creator>Un-named</dc:creator>
  <cp:lastModifiedBy>WPS_1773770013</cp:lastModifiedBy>
  <dcterms:modified xsi:type="dcterms:W3CDTF">2026-03-25T18:11:23Z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eyJoZGlkIjoiMjljZTliYmU1MzY0NWRjMGQxMGIwYTEwN2Q3OTNjOTkiLCJ1c2VySWQiOiIzODQ4MjkxNTM2MjExIn0=</vt:lpwstr>
  </property>
  <property fmtid="{D5CDD505-2E9C-101B-9397-08002B2CF9AE}" pid="3" name="KSOProductBuildVer">
    <vt:lpwstr>1033-12.1.0.25242</vt:lpwstr>
  </property>
  <property fmtid="{D5CDD505-2E9C-101B-9397-08002B2CF9AE}" pid="4" name="ICV">
    <vt:lpwstr>A1E3C49EB6C8475F8FD6464B20990553_13</vt:lpwstr>
  </property>
</Properties>
</file>