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0077b6" w:val="clear"/>
        <w:spacing w:after="160" w:before="480" w:lineRule="auto"/>
        <w:ind w:left="0" w:right="200" w:firstLine="0"/>
        <w:rPr/>
      </w:pPr>
      <w:bookmarkStart w:colFirst="0" w:colLast="0" w:name="_l4as7enjeids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Background Research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2">
      <w:pPr>
        <w:spacing w:after="80" w:before="80" w:lineRule="auto"/>
        <w:rPr>
          <w:color w:val="1a1a2e"/>
        </w:rPr>
      </w:pPr>
      <w:r w:rsidDel="00000000" w:rsidR="00000000" w:rsidRPr="00000000">
        <w:rPr>
          <w:color w:val="1a1a2e"/>
          <w:rtl w:val="0"/>
        </w:rPr>
        <w:t xml:space="preserve">The following peer-reviewed sources directly support the design rationale, clinical need, and technical approach of our device:</w:t>
      </w:r>
    </w:p>
    <w:p w:rsidR="00000000" w:rsidDel="00000000" w:rsidP="00000000" w:rsidRDefault="00000000" w:rsidRPr="00000000" w14:paraId="00000003">
      <w:pPr>
        <w:spacing w:after="80" w:before="80" w:lineRule="auto"/>
        <w:rPr/>
      </w:pPr>
      <w:r w:rsidDel="00000000" w:rsidR="00000000" w:rsidRPr="00000000">
        <w:rPr>
          <w:rtl w:val="0"/>
        </w:rPr>
        <w:t xml:space="preserve"> </w:t>
      </w:r>
    </w:p>
    <w:tbl>
      <w:tblPr>
        <w:tblStyle w:val="Table1"/>
        <w:tblW w:w="934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9345"/>
        <w:tblGridChange w:id="0">
          <w:tblGrid>
            <w:gridCol w:w="9345"/>
          </w:tblGrid>
        </w:tblGridChange>
      </w:tblGrid>
      <w:tr>
        <w:trPr>
          <w:cantSplit w:val="0"/>
          <w:trHeight w:val="2265" w:hRule="atLeast"/>
          <w:tblHeader w:val="0"/>
        </w:trPr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ebf5fb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spacing w:after="60" w:before="240" w:lineRule="auto"/>
              <w:rPr>
                <w:b w:val="1"/>
                <w:bCs w:val="1"/>
                <w:color w:val="0077b6"/>
              </w:rPr>
            </w:pPr>
            <w:r w:rsidDel="00000000" w:rsidR="00000000" w:rsidRPr="00000000">
              <w:rPr>
                <w:b w:val="1"/>
                <w:bCs w:val="1"/>
                <w:color w:val="0077b6"/>
                <w:rtl w:val="0"/>
              </w:rPr>
              <w:t xml:space="preserve">Vibroacoustic therapy to treat pain in the temporomandibular joint</w:t>
            </w:r>
          </w:p>
          <w:p w:rsidR="00000000" w:rsidDel="00000000" w:rsidP="00000000" w:rsidRDefault="00000000" w:rsidRPr="00000000" w14:paraId="00000005">
            <w:pPr>
              <w:spacing w:after="60" w:before="240" w:lineRule="auto"/>
              <w:rPr>
                <w:i w:val="1"/>
                <w:iCs w:val="1"/>
                <w:color w:val="444444"/>
                <w:sz w:val="20"/>
                <w:szCs w:val="20"/>
              </w:rPr>
            </w:pPr>
            <w:r w:rsidDel="00000000" w:rsidR="00000000" w:rsidRPr="00000000">
              <w:rPr>
                <w:i w:val="1"/>
                <w:iCs w:val="1"/>
                <w:color w:val="444444"/>
                <w:sz w:val="20"/>
                <w:szCs w:val="20"/>
                <w:rtl w:val="0"/>
              </w:rPr>
              <w:t xml:space="preserve">Kitsantas et al. | ScienceDirect / Medical Hypotheses, 2024</w:t>
            </w:r>
          </w:p>
          <w:p w:rsidR="00000000" w:rsidDel="00000000" w:rsidP="00000000" w:rsidRDefault="00000000" w:rsidRPr="00000000" w14:paraId="00000006">
            <w:pPr>
              <w:spacing w:after="60" w:before="240" w:lineRule="auto"/>
              <w:rPr>
                <w:color w:val="888888"/>
                <w:sz w:val="18"/>
                <w:szCs w:val="18"/>
              </w:rPr>
            </w:pPr>
            <w:r w:rsidDel="00000000" w:rsidR="00000000" w:rsidRPr="00000000">
              <w:rPr>
                <w:color w:val="888888"/>
                <w:sz w:val="18"/>
                <w:szCs w:val="18"/>
                <w:rtl w:val="0"/>
              </w:rPr>
              <w:t xml:space="preserve">URL: https://www.sciencedirect.com/science/article/abs/pii/S0306987724000641</w:t>
            </w:r>
          </w:p>
          <w:p w:rsidR="00000000" w:rsidDel="00000000" w:rsidP="00000000" w:rsidRDefault="00000000" w:rsidRPr="00000000" w14:paraId="00000007">
            <w:pPr>
              <w:spacing w:after="240" w:before="60" w:lineRule="auto"/>
              <w:rPr>
                <w:color w:val="1a1a2e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1a7340"/>
                <w:sz w:val="21"/>
                <w:szCs w:val="21"/>
                <w:rtl w:val="0"/>
              </w:rPr>
              <w:t xml:space="preserve">Relevance: </w:t>
            </w:r>
            <w:r w:rsidDel="00000000" w:rsidR="00000000" w:rsidRPr="00000000">
              <w:rPr>
                <w:color w:val="1a1a2e"/>
                <w:sz w:val="21"/>
                <w:szCs w:val="21"/>
                <w:rtl w:val="0"/>
              </w:rPr>
              <w:t xml:space="preserve">Establishes Vibroacoustic Therapy (VAT) as a safe, non-invasive, and plausible therapeutic approach for TMJ pain. Confirms the clinical need and mechanism rationale for our therapy component. Calls for trials — our device is a prototype toward that pipeline.</w:t>
            </w:r>
          </w:p>
        </w:tc>
      </w:tr>
    </w:tbl>
    <w:p w:rsidR="00000000" w:rsidDel="00000000" w:rsidP="00000000" w:rsidRDefault="00000000" w:rsidRPr="00000000" w14:paraId="00000008">
      <w:pPr>
        <w:spacing w:after="240" w:before="120" w:lineRule="auto"/>
        <w:rPr>
          <w:sz w:val="10"/>
          <w:szCs w:val="10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34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9345"/>
        <w:tblGridChange w:id="0">
          <w:tblGrid>
            <w:gridCol w:w="9345"/>
          </w:tblGrid>
        </w:tblGridChange>
      </w:tblGrid>
      <w:tr>
        <w:trPr>
          <w:cantSplit w:val="0"/>
          <w:trHeight w:val="2535" w:hRule="atLeast"/>
          <w:tblHeader w:val="0"/>
        </w:trPr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ebf5fb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spacing w:after="60" w:before="240" w:lineRule="auto"/>
              <w:rPr>
                <w:b w:val="1"/>
                <w:bCs w:val="1"/>
                <w:color w:val="0077b6"/>
              </w:rPr>
            </w:pPr>
            <w:r w:rsidDel="00000000" w:rsidR="00000000" w:rsidRPr="00000000">
              <w:rPr>
                <w:b w:val="1"/>
                <w:bCs w:val="1"/>
                <w:color w:val="0077b6"/>
                <w:rtl w:val="0"/>
              </w:rPr>
              <w:t xml:space="preserve">Local Vibratory Stimulation for Temporomandibular Disorder Myofascial Pain: A Randomised, Double-Blind, Placebo-Controlled Preliminary Study</w:t>
            </w:r>
          </w:p>
          <w:p w:rsidR="00000000" w:rsidDel="00000000" w:rsidP="00000000" w:rsidRDefault="00000000" w:rsidRPr="00000000" w14:paraId="0000000A">
            <w:pPr>
              <w:spacing w:after="60" w:before="240" w:lineRule="auto"/>
              <w:rPr>
                <w:i w:val="1"/>
                <w:iCs w:val="1"/>
                <w:color w:val="444444"/>
                <w:sz w:val="20"/>
                <w:szCs w:val="20"/>
              </w:rPr>
            </w:pPr>
            <w:r w:rsidDel="00000000" w:rsidR="00000000" w:rsidRPr="00000000">
              <w:rPr>
                <w:i w:val="1"/>
                <w:iCs w:val="1"/>
                <w:color w:val="444444"/>
                <w:sz w:val="20"/>
                <w:szCs w:val="20"/>
                <w:rtl w:val="0"/>
              </w:rPr>
              <w:t xml:space="preserve">Calvo-Lobo et al. | PMC / BioMed Research International, 2020</w:t>
            </w:r>
          </w:p>
          <w:p w:rsidR="00000000" w:rsidDel="00000000" w:rsidP="00000000" w:rsidRDefault="00000000" w:rsidRPr="00000000" w14:paraId="0000000B">
            <w:pPr>
              <w:spacing w:after="60" w:before="240" w:lineRule="auto"/>
              <w:rPr>
                <w:color w:val="888888"/>
                <w:sz w:val="18"/>
                <w:szCs w:val="18"/>
              </w:rPr>
            </w:pPr>
            <w:r w:rsidDel="00000000" w:rsidR="00000000" w:rsidRPr="00000000">
              <w:rPr>
                <w:color w:val="888888"/>
                <w:sz w:val="18"/>
                <w:szCs w:val="18"/>
                <w:rtl w:val="0"/>
              </w:rPr>
              <w:t xml:space="preserve">URL: https://pmc.ncbi.nlm.nih.gov/articles/PMC7735843/</w:t>
            </w:r>
          </w:p>
          <w:p w:rsidR="00000000" w:rsidDel="00000000" w:rsidP="00000000" w:rsidRDefault="00000000" w:rsidRPr="00000000" w14:paraId="0000000C">
            <w:pPr>
              <w:spacing w:after="240" w:before="60" w:lineRule="auto"/>
              <w:rPr>
                <w:color w:val="1a1a2e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1a7340"/>
                <w:sz w:val="21"/>
                <w:szCs w:val="21"/>
                <w:rtl w:val="0"/>
              </w:rPr>
              <w:t xml:space="preserve">Relevance: </w:t>
            </w:r>
            <w:r w:rsidDel="00000000" w:rsidR="00000000" w:rsidRPr="00000000">
              <w:rPr>
                <w:color w:val="1a1a2e"/>
                <w:sz w:val="21"/>
                <w:szCs w:val="21"/>
                <w:rtl w:val="0"/>
              </w:rPr>
              <w:t xml:space="preserve">Randomized controlled trial (n=54) demonstrating statistically significant reduction in TMJ pain, muscular pain, and headache using local vibration therapy at 50-100 Hz applied to the masseter and temporal muscles. Directly validates our choice of vibration frequency and target anatomy.</w:t>
            </w:r>
          </w:p>
        </w:tc>
      </w:tr>
    </w:tbl>
    <w:p w:rsidR="00000000" w:rsidDel="00000000" w:rsidP="00000000" w:rsidRDefault="00000000" w:rsidRPr="00000000" w14:paraId="0000000D">
      <w:pPr>
        <w:spacing w:after="240" w:before="120" w:lineRule="auto"/>
        <w:rPr>
          <w:sz w:val="8"/>
          <w:szCs w:val="8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34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9345"/>
        <w:tblGridChange w:id="0">
          <w:tblGrid>
            <w:gridCol w:w="9345"/>
          </w:tblGrid>
        </w:tblGridChange>
      </w:tblGrid>
      <w:tr>
        <w:trPr>
          <w:cantSplit w:val="0"/>
          <w:trHeight w:val="2535" w:hRule="atLeast"/>
          <w:tblHeader w:val="0"/>
        </w:trPr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ebf5fb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spacing w:after="60" w:before="240" w:lineRule="auto"/>
              <w:rPr>
                <w:b w:val="1"/>
                <w:bCs w:val="1"/>
                <w:color w:val="0077b6"/>
              </w:rPr>
            </w:pPr>
            <w:r w:rsidDel="00000000" w:rsidR="00000000" w:rsidRPr="00000000">
              <w:rPr>
                <w:b w:val="1"/>
                <w:bCs w:val="1"/>
                <w:color w:val="0077b6"/>
                <w:rtl w:val="0"/>
              </w:rPr>
              <w:t xml:space="preserve">sEMG and Vibration System Monitoring for Differential Diagnosis in Temporomandibular Joint Disorders</w:t>
            </w:r>
          </w:p>
          <w:p w:rsidR="00000000" w:rsidDel="00000000" w:rsidP="00000000" w:rsidRDefault="00000000" w:rsidRPr="00000000" w14:paraId="0000000F">
            <w:pPr>
              <w:spacing w:after="60" w:before="240" w:lineRule="auto"/>
              <w:rPr>
                <w:i w:val="1"/>
                <w:iCs w:val="1"/>
                <w:color w:val="444444"/>
                <w:sz w:val="20"/>
                <w:szCs w:val="20"/>
              </w:rPr>
            </w:pPr>
            <w:r w:rsidDel="00000000" w:rsidR="00000000" w:rsidRPr="00000000">
              <w:rPr>
                <w:i w:val="1"/>
                <w:iCs w:val="1"/>
                <w:color w:val="444444"/>
                <w:sz w:val="20"/>
                <w:szCs w:val="20"/>
                <w:rtl w:val="0"/>
              </w:rPr>
              <w:t xml:space="preserve">Kulesa-Mrowiecka et al.</w:t>
            </w:r>
            <w:r w:rsidDel="00000000" w:rsidR="00000000" w:rsidRPr="00000000">
              <w:rPr>
                <w:i w:val="1"/>
                <w:iCs w:val="1"/>
                <w:color w:val="444444"/>
                <w:sz w:val="20"/>
                <w:szCs w:val="20"/>
                <w:rtl w:val="0"/>
              </w:rPr>
              <w:t xml:space="preserve"> | MDPI Sensors, 2022</w:t>
            </w:r>
          </w:p>
          <w:p w:rsidR="00000000" w:rsidDel="00000000" w:rsidP="00000000" w:rsidRDefault="00000000" w:rsidRPr="00000000" w14:paraId="00000010">
            <w:pPr>
              <w:spacing w:after="60" w:before="240" w:lineRule="auto"/>
              <w:rPr>
                <w:color w:val="888888"/>
                <w:sz w:val="18"/>
                <w:szCs w:val="18"/>
              </w:rPr>
            </w:pPr>
            <w:r w:rsidDel="00000000" w:rsidR="00000000" w:rsidRPr="00000000">
              <w:rPr>
                <w:color w:val="888888"/>
                <w:sz w:val="18"/>
                <w:szCs w:val="18"/>
                <w:rtl w:val="0"/>
              </w:rPr>
              <w:t xml:space="preserve">URL: https://www.mdpi.com/1424-8220/22/10/3811</w:t>
            </w:r>
          </w:p>
          <w:p w:rsidR="00000000" w:rsidDel="00000000" w:rsidP="00000000" w:rsidRDefault="00000000" w:rsidRPr="00000000" w14:paraId="00000011">
            <w:pPr>
              <w:spacing w:after="240" w:before="60" w:lineRule="auto"/>
              <w:rPr>
                <w:color w:val="1a1a2e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1a7340"/>
                <w:sz w:val="21"/>
                <w:szCs w:val="21"/>
                <w:rtl w:val="0"/>
              </w:rPr>
              <w:t xml:space="preserve">Relevance: </w:t>
            </w:r>
            <w:r w:rsidDel="00000000" w:rsidR="00000000" w:rsidRPr="00000000">
              <w:rPr>
                <w:color w:val="1a1a2e"/>
                <w:sz w:val="21"/>
                <w:szCs w:val="21"/>
                <w:rtl w:val="0"/>
              </w:rPr>
              <w:t xml:space="preserve">Demonstrates that vibration and sEMG signals can be used together for TMD differential diagnosis and rehabilitation monitoring. Supports our use of piezoelectric vibration sensing as a legitimate diagnostic modality for TMJ assessment.</w:t>
            </w:r>
          </w:p>
        </w:tc>
      </w:tr>
    </w:tbl>
    <w:p w:rsidR="00000000" w:rsidDel="00000000" w:rsidP="00000000" w:rsidRDefault="00000000" w:rsidRPr="00000000" w14:paraId="00000012">
      <w:pPr>
        <w:spacing w:after="240" w:before="120" w:lineRule="auto"/>
        <w:rPr/>
      </w:pPr>
      <w:r w:rsidDel="00000000" w:rsidR="00000000" w:rsidRPr="00000000">
        <w:rPr>
          <w:rtl w:val="0"/>
        </w:rPr>
        <w:t xml:space="preserve"> </w:t>
      </w:r>
    </w:p>
    <w:tbl>
      <w:tblPr>
        <w:tblStyle w:val="Table4"/>
        <w:tblW w:w="934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9345"/>
        <w:tblGridChange w:id="0">
          <w:tblGrid>
            <w:gridCol w:w="9345"/>
          </w:tblGrid>
        </w:tblGridChange>
      </w:tblGrid>
      <w:tr>
        <w:trPr>
          <w:cantSplit w:val="0"/>
          <w:trHeight w:val="2535" w:hRule="atLeast"/>
          <w:tblHeader w:val="0"/>
        </w:trPr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ebf5fb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spacing w:after="60" w:before="240" w:lineRule="auto"/>
              <w:rPr>
                <w:b w:val="1"/>
                <w:bCs w:val="1"/>
                <w:color w:val="0077b6"/>
              </w:rPr>
            </w:pPr>
            <w:r w:rsidDel="00000000" w:rsidR="00000000" w:rsidRPr="00000000">
              <w:rPr>
                <w:b w:val="1"/>
                <w:bCs w:val="1"/>
                <w:color w:val="0077b6"/>
                <w:rtl w:val="0"/>
              </w:rPr>
              <w:t xml:space="preserve">Effects of vibratory feedback stimuli through an oral appliance on sleep bruxism: A 14-week intervention trial</w:t>
            </w:r>
          </w:p>
          <w:p w:rsidR="00000000" w:rsidDel="00000000" w:rsidP="00000000" w:rsidRDefault="00000000" w:rsidRPr="00000000" w14:paraId="00000014">
            <w:pPr>
              <w:spacing w:after="60" w:before="240" w:lineRule="auto"/>
              <w:rPr>
                <w:i w:val="1"/>
                <w:iCs w:val="1"/>
                <w:color w:val="444444"/>
                <w:sz w:val="20"/>
                <w:szCs w:val="20"/>
              </w:rPr>
            </w:pPr>
            <w:r w:rsidDel="00000000" w:rsidR="00000000" w:rsidRPr="00000000">
              <w:rPr>
                <w:i w:val="1"/>
                <w:iCs w:val="1"/>
                <w:color w:val="444444"/>
                <w:sz w:val="20"/>
                <w:szCs w:val="20"/>
                <w:rtl w:val="0"/>
              </w:rPr>
              <w:t xml:space="preserve">Various | ScienceDirect / Journal of Prosthodontic Research, 2023</w:t>
            </w:r>
          </w:p>
          <w:p w:rsidR="00000000" w:rsidDel="00000000" w:rsidP="00000000" w:rsidRDefault="00000000" w:rsidRPr="00000000" w14:paraId="00000015">
            <w:pPr>
              <w:spacing w:after="60" w:before="240" w:lineRule="auto"/>
              <w:rPr>
                <w:color w:val="888888"/>
                <w:sz w:val="18"/>
                <w:szCs w:val="18"/>
              </w:rPr>
            </w:pPr>
            <w:r w:rsidDel="00000000" w:rsidR="00000000" w:rsidRPr="00000000">
              <w:rPr>
                <w:color w:val="888888"/>
                <w:sz w:val="18"/>
                <w:szCs w:val="18"/>
                <w:rtl w:val="0"/>
              </w:rPr>
              <w:t xml:space="preserve">URL: https://www.sciencedirect.com/science/article/pii/S1991790223003707</w:t>
            </w:r>
          </w:p>
          <w:p w:rsidR="00000000" w:rsidDel="00000000" w:rsidP="00000000" w:rsidRDefault="00000000" w:rsidRPr="00000000" w14:paraId="00000016">
            <w:pPr>
              <w:spacing w:after="240" w:before="60" w:lineRule="auto"/>
              <w:rPr>
                <w:color w:val="1a1a2e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1a7340"/>
                <w:sz w:val="21"/>
                <w:szCs w:val="21"/>
                <w:rtl w:val="0"/>
              </w:rPr>
              <w:t xml:space="preserve">Relevance: </w:t>
            </w:r>
            <w:r w:rsidDel="00000000" w:rsidR="00000000" w:rsidRPr="00000000">
              <w:rPr>
                <w:color w:val="1a1a2e"/>
                <w:sz w:val="21"/>
                <w:szCs w:val="21"/>
                <w:rtl w:val="0"/>
              </w:rPr>
              <w:t xml:space="preserve">Directly validates the biofeedback-via-vibration approach for bruxism management over 14 weeks. A piezoelectric film sensor detects clenching events and triggers a vibration response — the same core loop as our device, which we have adapted into an external headband form factor.</w:t>
            </w:r>
          </w:p>
        </w:tc>
      </w:tr>
    </w:tbl>
    <w:p w:rsidR="00000000" w:rsidDel="00000000" w:rsidP="00000000" w:rsidRDefault="00000000" w:rsidRPr="00000000" w14:paraId="00000017">
      <w:pPr>
        <w:spacing w:after="240" w:before="120" w:lineRule="auto"/>
        <w:rPr>
          <w:sz w:val="10"/>
          <w:szCs w:val="10"/>
        </w:rPr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</w:r>
    </w:p>
    <w:tbl>
      <w:tblPr>
        <w:tblStyle w:val="Table5"/>
        <w:tblW w:w="934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9345"/>
        <w:tblGridChange w:id="0">
          <w:tblGrid>
            <w:gridCol w:w="9345"/>
          </w:tblGrid>
        </w:tblGridChange>
      </w:tblGrid>
      <w:tr>
        <w:trPr>
          <w:cantSplit w:val="0"/>
          <w:trHeight w:val="2535" w:hRule="atLeast"/>
          <w:tblHeader w:val="0"/>
        </w:trPr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ebf5fb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spacing w:after="60" w:before="240" w:lineRule="auto"/>
              <w:rPr>
                <w:b w:val="1"/>
                <w:bCs w:val="1"/>
                <w:color w:val="0077b6"/>
              </w:rPr>
            </w:pPr>
            <w:r w:rsidDel="00000000" w:rsidR="00000000" w:rsidRPr="00000000">
              <w:rPr>
                <w:b w:val="1"/>
                <w:bCs w:val="1"/>
                <w:color w:val="0077b6"/>
                <w:rtl w:val="0"/>
              </w:rPr>
              <w:t xml:space="preserve">Sensor and Apparatus for Measurement of Muscle Activity in the Detection and Treatment of Bruxism Disorder</w:t>
            </w:r>
          </w:p>
          <w:p w:rsidR="00000000" w:rsidDel="00000000" w:rsidP="00000000" w:rsidRDefault="00000000" w:rsidRPr="00000000" w14:paraId="00000019">
            <w:pPr>
              <w:spacing w:after="60" w:before="240" w:lineRule="auto"/>
              <w:rPr>
                <w:i w:val="1"/>
                <w:iCs w:val="1"/>
                <w:color w:val="444444"/>
                <w:sz w:val="20"/>
                <w:szCs w:val="20"/>
              </w:rPr>
            </w:pPr>
            <w:r w:rsidDel="00000000" w:rsidR="00000000" w:rsidRPr="00000000">
              <w:rPr>
                <w:i w:val="1"/>
                <w:iCs w:val="1"/>
                <w:color w:val="444444"/>
                <w:sz w:val="20"/>
                <w:szCs w:val="20"/>
                <w:rtl w:val="0"/>
              </w:rPr>
              <w:t xml:space="preserve">US Patent US10820853B2 | United States Patent Office, 2020</w:t>
            </w:r>
          </w:p>
          <w:p w:rsidR="00000000" w:rsidDel="00000000" w:rsidP="00000000" w:rsidRDefault="00000000" w:rsidRPr="00000000" w14:paraId="0000001A">
            <w:pPr>
              <w:spacing w:after="60" w:before="240" w:lineRule="auto"/>
              <w:rPr>
                <w:color w:val="888888"/>
                <w:sz w:val="18"/>
                <w:szCs w:val="18"/>
              </w:rPr>
            </w:pPr>
            <w:r w:rsidDel="00000000" w:rsidR="00000000" w:rsidRPr="00000000">
              <w:rPr>
                <w:color w:val="888888"/>
                <w:sz w:val="18"/>
                <w:szCs w:val="18"/>
                <w:rtl w:val="0"/>
              </w:rPr>
              <w:t xml:space="preserve">URL: https://patents.google.com/patent/US10820853B2/en</w:t>
            </w:r>
          </w:p>
          <w:p w:rsidR="00000000" w:rsidDel="00000000" w:rsidP="00000000" w:rsidRDefault="00000000" w:rsidRPr="00000000" w14:paraId="0000001B">
            <w:pPr>
              <w:spacing w:after="240" w:before="60" w:lineRule="auto"/>
              <w:rPr>
                <w:color w:val="1a1a2e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1a7340"/>
                <w:sz w:val="21"/>
                <w:szCs w:val="21"/>
                <w:rtl w:val="0"/>
              </w:rPr>
              <w:t xml:space="preserve">Relevance: </w:t>
            </w:r>
            <w:r w:rsidDel="00000000" w:rsidR="00000000" w:rsidRPr="00000000">
              <w:rPr>
                <w:color w:val="1a1a2e"/>
                <w:sz w:val="21"/>
                <w:szCs w:val="21"/>
                <w:rtl w:val="0"/>
              </w:rPr>
              <w:t xml:space="preserve">Validates the specific sensor placement approach we use: piezoelectric film on the temporalis muscle above the ear for bruxism detection, noting this location uniquely contracts during clenching but not during speech or normal facial movement — reducing false positives.</w:t>
            </w:r>
          </w:p>
        </w:tc>
      </w:tr>
    </w:tbl>
    <w:p w:rsidR="00000000" w:rsidDel="00000000" w:rsidP="00000000" w:rsidRDefault="00000000" w:rsidRPr="00000000" w14:paraId="0000001C">
      <w:pPr>
        <w:spacing w:after="240" w:before="120" w:lineRule="auto"/>
        <w:rPr>
          <w:sz w:val="10"/>
          <w:szCs w:val="10"/>
        </w:rPr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</w:r>
    </w:p>
    <w:tbl>
      <w:tblPr>
        <w:tblStyle w:val="Table6"/>
        <w:tblW w:w="934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9345"/>
        <w:tblGridChange w:id="0">
          <w:tblGrid>
            <w:gridCol w:w="9345"/>
          </w:tblGrid>
        </w:tblGridChange>
      </w:tblGrid>
      <w:tr>
        <w:trPr>
          <w:cantSplit w:val="0"/>
          <w:trHeight w:val="2535" w:hRule="atLeast"/>
          <w:tblHeader w:val="0"/>
        </w:trPr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eef5fa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spacing w:after="60" w:before="240" w:lineRule="auto"/>
              <w:rPr>
                <w:b w:val="1"/>
                <w:bCs w:val="1"/>
                <w:color w:val="0077b6"/>
              </w:rPr>
            </w:pPr>
            <w:r w:rsidDel="00000000" w:rsidR="00000000" w:rsidRPr="00000000">
              <w:rPr>
                <w:b w:val="1"/>
                <w:bCs w:val="1"/>
                <w:color w:val="0077b6"/>
                <w:rtl w:val="0"/>
              </w:rPr>
              <w:t xml:space="preserve">Toward Wearables for Bruxism Detection: Voluntary Oral Behaviors Sound Recorded Across the Head Depend on Transducer Placement</w:t>
            </w:r>
          </w:p>
          <w:p w:rsidR="00000000" w:rsidDel="00000000" w:rsidP="00000000" w:rsidRDefault="00000000" w:rsidRPr="00000000" w14:paraId="0000001E">
            <w:pPr>
              <w:spacing w:after="60" w:before="240" w:lineRule="auto"/>
              <w:rPr>
                <w:i w:val="1"/>
                <w:iCs w:val="1"/>
                <w:color w:val="444444"/>
                <w:sz w:val="20"/>
                <w:szCs w:val="20"/>
              </w:rPr>
            </w:pPr>
            <w:r w:rsidDel="00000000" w:rsidR="00000000" w:rsidRPr="00000000">
              <w:rPr>
                <w:i w:val="1"/>
                <w:iCs w:val="1"/>
                <w:color w:val="444444"/>
                <w:sz w:val="20"/>
                <w:szCs w:val="20"/>
                <w:rtl w:val="0"/>
              </w:rPr>
              <w:t xml:space="preserve">Nahhas et al.</w:t>
            </w:r>
            <w:r w:rsidDel="00000000" w:rsidR="00000000" w:rsidRPr="00000000">
              <w:rPr>
                <w:i w:val="1"/>
                <w:iCs w:val="1"/>
                <w:color w:val="444444"/>
                <w:sz w:val="20"/>
                <w:szCs w:val="20"/>
                <w:rtl w:val="0"/>
              </w:rPr>
              <w:t xml:space="preserve"> | PMC / Clinical and Experimental Dental Research, 2024</w:t>
            </w:r>
          </w:p>
          <w:p w:rsidR="00000000" w:rsidDel="00000000" w:rsidP="00000000" w:rsidRDefault="00000000" w:rsidRPr="00000000" w14:paraId="0000001F">
            <w:pPr>
              <w:spacing w:after="60" w:before="240" w:lineRule="auto"/>
              <w:rPr>
                <w:color w:val="888888"/>
                <w:sz w:val="18"/>
                <w:szCs w:val="18"/>
              </w:rPr>
            </w:pPr>
            <w:r w:rsidDel="00000000" w:rsidR="00000000" w:rsidRPr="00000000">
              <w:rPr>
                <w:color w:val="888888"/>
                <w:sz w:val="18"/>
                <w:szCs w:val="18"/>
                <w:rtl w:val="0"/>
              </w:rPr>
              <w:t xml:space="preserve">URL: https://pmc.ncbi.nlm.nih.gov/articles/PMC11417139/</w:t>
            </w:r>
          </w:p>
          <w:p w:rsidR="00000000" w:rsidDel="00000000" w:rsidP="00000000" w:rsidRDefault="00000000" w:rsidRPr="00000000" w14:paraId="00000020">
            <w:pPr>
              <w:spacing w:after="240" w:before="60" w:lineRule="auto"/>
              <w:rPr>
                <w:color w:val="1a1a2e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1a7340"/>
                <w:sz w:val="21"/>
                <w:szCs w:val="21"/>
                <w:rtl w:val="0"/>
              </w:rPr>
              <w:t xml:space="preserve">Relevance: </w:t>
            </w:r>
            <w:r w:rsidDel="00000000" w:rsidR="00000000" w:rsidRPr="00000000">
              <w:rPr>
                <w:color w:val="1a1a2e"/>
                <w:sz w:val="21"/>
                <w:szCs w:val="21"/>
                <w:rtl w:val="0"/>
              </w:rPr>
              <w:t xml:space="preserve">2024 systematic analysis of wearable bruxism detection approaches. Explicitly identifies that current devices are limited by compliance issues with electrodes and intra-oral devices, and that there is a 'lack of real-world testing' — the exact gap our external wearable design targets.</w:t>
            </w:r>
          </w:p>
        </w:tc>
      </w:tr>
    </w:tbl>
    <w:p w:rsidR="00000000" w:rsidDel="00000000" w:rsidP="00000000" w:rsidRDefault="00000000" w:rsidRPr="00000000" w14:paraId="00000021">
      <w:pPr>
        <w:spacing w:after="240" w:before="12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22">
      <w:pPr>
        <w:shd w:fill="ebf5fb" w:val="clear"/>
        <w:spacing w:after="160" w:before="160" w:lineRule="auto"/>
        <w:ind w:left="200" w:right="200" w:firstLine="0"/>
        <w:rPr>
          <w:color w:val="0077b6"/>
        </w:rPr>
      </w:pPr>
      <w:r w:rsidDel="00000000" w:rsidR="00000000" w:rsidRPr="00000000">
        <w:rPr>
          <w:b w:val="1"/>
          <w:bCs w:val="1"/>
          <w:color w:val="0077b6"/>
          <w:rtl w:val="0"/>
        </w:rPr>
        <w:t xml:space="preserve">Research Summary:  </w:t>
      </w:r>
      <w:r w:rsidDel="00000000" w:rsidR="00000000" w:rsidRPr="00000000">
        <w:rPr>
          <w:color w:val="0077b6"/>
          <w:rtl w:val="0"/>
        </w:rPr>
        <w:t xml:space="preserve">Our device design is backed by: (1) a randomized controlled trial validating vibration therapy for TMD, (2) a 14-week clinical trial validating piezo-detected bruxism + vibration biofeedback, (3) a patent validating our exact sensor placement, (4) a systematic review identifying the gap we fill, and (5) engineering literature on piezoelectric sensors for jaw monitoring.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tbl>
      <w:tblPr>
        <w:tblStyle w:val="Table7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eef5fa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spacing w:after="60" w:before="240" w:lineRule="auto"/>
              <w:rPr>
                <w:b w:val="1"/>
                <w:bCs w:val="1"/>
                <w:color w:val="0077b6"/>
              </w:rPr>
            </w:pPr>
            <w:r w:rsidDel="00000000" w:rsidR="00000000" w:rsidRPr="00000000">
              <w:rPr>
                <w:b w:val="1"/>
                <w:bCs w:val="1"/>
                <w:color w:val="0077b6"/>
                <w:rtl w:val="0"/>
              </w:rPr>
              <w:t xml:space="preserve">Design and Development of Wearable Vibration Assist Device for Tic Management</w:t>
            </w:r>
          </w:p>
          <w:p w:rsidR="00000000" w:rsidDel="00000000" w:rsidP="00000000" w:rsidRDefault="00000000" w:rsidRPr="00000000" w14:paraId="00000025">
            <w:pPr>
              <w:spacing w:after="60" w:before="240" w:lineRule="auto"/>
              <w:rPr>
                <w:i w:val="1"/>
                <w:iCs w:val="1"/>
                <w:color w:val="444444"/>
                <w:sz w:val="20"/>
                <w:szCs w:val="20"/>
              </w:rPr>
            </w:pPr>
            <w:r w:rsidDel="00000000" w:rsidR="00000000" w:rsidRPr="00000000">
              <w:rPr>
                <w:i w:val="1"/>
                <w:iCs w:val="1"/>
                <w:color w:val="444444"/>
                <w:sz w:val="20"/>
                <w:szCs w:val="20"/>
                <w:rtl w:val="0"/>
              </w:rPr>
              <w:t xml:space="preserve">Pavithra et al</w:t>
            </w:r>
            <w:r w:rsidDel="00000000" w:rsidR="00000000" w:rsidRPr="00000000">
              <w:rPr>
                <w:i w:val="1"/>
                <w:iCs w:val="1"/>
                <w:color w:val="444444"/>
                <w:sz w:val="20"/>
                <w:szCs w:val="20"/>
                <w:rtl w:val="0"/>
              </w:rPr>
              <w:t xml:space="preserve">. | IJRASET (Int'l Journal for Research in Applied Science &amp; Engineering Technology), 2025</w:t>
            </w:r>
          </w:p>
          <w:p w:rsidR="00000000" w:rsidDel="00000000" w:rsidP="00000000" w:rsidRDefault="00000000" w:rsidRPr="00000000" w14:paraId="00000026">
            <w:pPr>
              <w:spacing w:after="60" w:before="240" w:lineRule="auto"/>
              <w:rPr>
                <w:color w:val="888888"/>
                <w:sz w:val="18"/>
                <w:szCs w:val="18"/>
              </w:rPr>
            </w:pPr>
            <w:r w:rsidDel="00000000" w:rsidR="00000000" w:rsidRPr="00000000">
              <w:rPr>
                <w:color w:val="888888"/>
                <w:sz w:val="18"/>
                <w:szCs w:val="18"/>
                <w:rtl w:val="0"/>
              </w:rPr>
              <w:t xml:space="preserve">URL: https://www.ijraset.com/research-paper/wearable-vibration-assist-device-for-tic-management</w:t>
            </w:r>
          </w:p>
          <w:p w:rsidR="00000000" w:rsidDel="00000000" w:rsidP="00000000" w:rsidRDefault="00000000" w:rsidRPr="00000000" w14:paraId="00000027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60" w:line="240" w:lineRule="auto"/>
              <w:ind w:left="0" w:right="0" w:firstLine="0"/>
              <w:jc w:val="left"/>
              <w:rPr>
                <w:color w:val="1a1a2e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1a7340"/>
                <w:sz w:val="21"/>
                <w:szCs w:val="21"/>
                <w:rtl w:val="0"/>
              </w:rPr>
              <w:t xml:space="preserve">Relevance: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8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afterAutospacing="0" w:before="60" w:line="240" w:lineRule="auto"/>
              <w:ind w:left="720" w:right="0" w:hanging="360"/>
              <w:jc w:val="left"/>
              <w:rPr>
                <w:color w:val="1a1a2e"/>
                <w:sz w:val="21"/>
                <w:szCs w:val="21"/>
                <w:u w:val="none"/>
              </w:rPr>
            </w:pPr>
            <w:r w:rsidDel="00000000" w:rsidR="00000000" w:rsidRPr="00000000">
              <w:rPr>
                <w:color w:val="1a1a2e"/>
                <w:sz w:val="21"/>
                <w:szCs w:val="21"/>
                <w:rtl w:val="0"/>
              </w:rPr>
              <w:t xml:space="preserve">Uses ESP32 as core MCU with BLE and Arduino-based firmware, plus FreeRTOS task scheduling</w:t>
            </w:r>
          </w:p>
          <w:p w:rsidR="00000000" w:rsidDel="00000000" w:rsidP="00000000" w:rsidRDefault="00000000" w:rsidRPr="00000000" w14:paraId="00000029">
            <w:pPr>
              <w:keepNext w:val="0"/>
              <w:keepLines w:val="0"/>
              <w:widowControl w:val="1"/>
              <w:numPr>
                <w:ilvl w:val="1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afterAutospacing="0" w:before="0" w:beforeAutospacing="0" w:line="240" w:lineRule="auto"/>
              <w:ind w:left="1440" w:right="0" w:hanging="360"/>
              <w:jc w:val="left"/>
              <w:rPr>
                <w:color w:val="1a1a2e"/>
                <w:sz w:val="21"/>
                <w:szCs w:val="21"/>
                <w:u w:val="none"/>
              </w:rPr>
            </w:pPr>
            <w:r w:rsidDel="00000000" w:rsidR="00000000" w:rsidRPr="00000000">
              <w:rPr>
                <w:color w:val="1a1a2e"/>
                <w:sz w:val="21"/>
                <w:szCs w:val="21"/>
                <w:rtl w:val="0"/>
              </w:rPr>
              <w:t xml:space="preserve">MPU6050 IMU for motion detection at 50 Hz; Kalman filter for noise reduction — same filtering approach applicable to PVDF ADC signal</w:t>
            </w:r>
          </w:p>
          <w:p w:rsidR="00000000" w:rsidDel="00000000" w:rsidP="00000000" w:rsidRDefault="00000000" w:rsidRPr="00000000" w14:paraId="0000002A">
            <w:pPr>
              <w:keepNext w:val="0"/>
              <w:keepLines w:val="0"/>
              <w:widowControl w:val="1"/>
              <w:numPr>
                <w:ilvl w:val="1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afterAutospacing="0" w:before="0" w:beforeAutospacing="0" w:line="240" w:lineRule="auto"/>
              <w:ind w:left="1440" w:right="0" w:hanging="360"/>
              <w:jc w:val="left"/>
              <w:rPr>
                <w:color w:val="1a1a2e"/>
                <w:sz w:val="21"/>
                <w:szCs w:val="21"/>
                <w:u w:val="none"/>
              </w:rPr>
            </w:pPr>
            <w:r w:rsidDel="00000000" w:rsidR="00000000" w:rsidRPr="00000000">
              <w:rPr>
                <w:color w:val="1a1a2e"/>
                <w:sz w:val="21"/>
                <w:szCs w:val="21"/>
                <w:rtl w:val="0"/>
              </w:rPr>
              <w:t xml:space="preserve">Detection latency of ~200 ms from event to vibration feedback, with Bluetooth data logging (provides a validated latency benchmark for our system)</w:t>
            </w:r>
          </w:p>
          <w:p w:rsidR="00000000" w:rsidDel="00000000" w:rsidP="00000000" w:rsidRDefault="00000000" w:rsidRPr="00000000" w14:paraId="0000002B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afterAutospacing="0" w:before="0" w:beforeAutospacing="0" w:line="240" w:lineRule="auto"/>
              <w:ind w:left="720" w:right="0" w:hanging="360"/>
              <w:jc w:val="left"/>
              <w:rPr>
                <w:color w:val="1a1a2e"/>
                <w:sz w:val="21"/>
                <w:szCs w:val="21"/>
                <w:u w:val="none"/>
              </w:rPr>
            </w:pPr>
            <w:r w:rsidDel="00000000" w:rsidR="00000000" w:rsidRPr="00000000">
              <w:rPr>
                <w:color w:val="1a1a2e"/>
                <w:sz w:val="21"/>
                <w:szCs w:val="21"/>
                <w:rtl w:val="0"/>
              </w:rPr>
              <w:t xml:space="preserve">ERM vibration motor driven via a BC547 NPN transistor switch (DIRECTLY shows transistor + PWM circuit we need to drive our motors from ESP32 GPIO</w:t>
            </w:r>
          </w:p>
          <w:p w:rsidR="00000000" w:rsidDel="00000000" w:rsidP="00000000" w:rsidRDefault="00000000" w:rsidRPr="00000000" w14:paraId="0000002C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0" w:beforeAutospacing="0" w:line="240" w:lineRule="auto"/>
              <w:ind w:left="720" w:right="0" w:hanging="360"/>
              <w:jc w:val="left"/>
              <w:rPr>
                <w:color w:val="1a1a2e"/>
                <w:sz w:val="21"/>
                <w:szCs w:val="21"/>
                <w:u w:val="none"/>
              </w:rPr>
            </w:pPr>
            <w:r w:rsidDel="00000000" w:rsidR="00000000" w:rsidRPr="00000000">
              <w:rPr>
                <w:color w:val="1a1a2e"/>
                <w:sz w:val="21"/>
                <w:szCs w:val="21"/>
                <w:rtl w:val="0"/>
              </w:rPr>
              <w:t xml:space="preserve">Reference this source for block diagrams, transistor motor-drive circuit, FreeRTOS task structure, and BLE data logging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tbl>
      <w:tblPr>
        <w:tblStyle w:val="Table8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eef5fa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spacing w:after="60" w:before="240" w:lineRule="auto"/>
              <w:rPr>
                <w:b w:val="1"/>
                <w:bCs w:val="1"/>
                <w:color w:val="0077b6"/>
              </w:rPr>
            </w:pPr>
            <w:r w:rsidDel="00000000" w:rsidR="00000000" w:rsidRPr="00000000">
              <w:rPr>
                <w:b w:val="1"/>
                <w:bCs w:val="1"/>
                <w:color w:val="0077b6"/>
                <w:rtl w:val="0"/>
              </w:rPr>
              <w:t xml:space="preserve">Development and in-vitro validation of an intraoral wearable biofeedback system for bruxism management</w:t>
            </w:r>
          </w:p>
          <w:p w:rsidR="00000000" w:rsidDel="00000000" w:rsidP="00000000" w:rsidRDefault="00000000" w:rsidRPr="00000000" w14:paraId="0000002F">
            <w:pPr>
              <w:spacing w:after="60" w:before="240" w:lineRule="auto"/>
              <w:rPr>
                <w:i w:val="1"/>
                <w:iCs w:val="1"/>
                <w:color w:val="444444"/>
                <w:sz w:val="20"/>
                <w:szCs w:val="20"/>
              </w:rPr>
            </w:pPr>
            <w:r w:rsidDel="00000000" w:rsidR="00000000" w:rsidRPr="00000000">
              <w:rPr>
                <w:i w:val="1"/>
                <w:iCs w:val="1"/>
                <w:color w:val="444444"/>
                <w:sz w:val="20"/>
                <w:szCs w:val="20"/>
                <w:rtl w:val="0"/>
              </w:rPr>
              <w:t xml:space="preserve">Al-Hamad</w:t>
            </w:r>
            <w:r w:rsidDel="00000000" w:rsidR="00000000" w:rsidRPr="00000000">
              <w:rPr>
                <w:i w:val="1"/>
                <w:iCs w:val="1"/>
                <w:color w:val="444444"/>
                <w:sz w:val="20"/>
                <w:szCs w:val="20"/>
                <w:rtl w:val="0"/>
              </w:rPr>
              <w:t xml:space="preserve"> et al. | Frontiers in Bioengineering and Biotechnology, 2025</w:t>
            </w:r>
          </w:p>
          <w:p w:rsidR="00000000" w:rsidDel="00000000" w:rsidP="00000000" w:rsidRDefault="00000000" w:rsidRPr="00000000" w14:paraId="00000030">
            <w:pPr>
              <w:spacing w:after="60" w:before="240" w:lineRule="auto"/>
              <w:rPr>
                <w:color w:val="888888"/>
                <w:sz w:val="18"/>
                <w:szCs w:val="18"/>
              </w:rPr>
            </w:pPr>
            <w:r w:rsidDel="00000000" w:rsidR="00000000" w:rsidRPr="00000000">
              <w:rPr>
                <w:color w:val="888888"/>
                <w:sz w:val="18"/>
                <w:szCs w:val="18"/>
                <w:rtl w:val="0"/>
              </w:rPr>
              <w:t xml:space="preserve">URL: https://doi.org/10.3389/fbioe.2025.1572970 </w:t>
            </w:r>
          </w:p>
          <w:p w:rsidR="00000000" w:rsidDel="00000000" w:rsidP="00000000" w:rsidRDefault="00000000" w:rsidRPr="00000000" w14:paraId="00000031">
            <w:pPr>
              <w:spacing w:after="240" w:before="60" w:line="240" w:lineRule="auto"/>
              <w:rPr>
                <w:color w:val="1a1a2e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1a7340"/>
                <w:sz w:val="21"/>
                <w:szCs w:val="21"/>
                <w:rtl w:val="0"/>
              </w:rPr>
              <w:t xml:space="preserve">Relevance: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2">
            <w:pPr>
              <w:numPr>
                <w:ilvl w:val="0"/>
                <w:numId w:val="1"/>
              </w:numPr>
              <w:spacing w:after="0" w:afterAutospacing="0" w:before="60" w:line="240" w:lineRule="auto"/>
              <w:ind w:left="720" w:hanging="360"/>
              <w:rPr>
                <w:color w:val="1a1a2e"/>
                <w:sz w:val="21"/>
                <w:szCs w:val="21"/>
              </w:rPr>
            </w:pPr>
            <w:r w:rsidDel="00000000" w:rsidR="00000000" w:rsidRPr="00000000">
              <w:rPr>
                <w:color w:val="1a1a2e"/>
                <w:sz w:val="21"/>
                <w:szCs w:val="21"/>
                <w:rtl w:val="0"/>
              </w:rPr>
              <w:t xml:space="preserve">Bite guard with integrated stress and vibration sensors + microcontroller and DAQ for bruxism detection. Force/piezo signals processed with AI algorithms to classify occlusal force levels.</w:t>
            </w:r>
          </w:p>
          <w:p w:rsidR="00000000" w:rsidDel="00000000" w:rsidP="00000000" w:rsidRDefault="00000000" w:rsidRPr="00000000" w14:paraId="00000033">
            <w:pPr>
              <w:numPr>
                <w:ilvl w:val="1"/>
                <w:numId w:val="1"/>
              </w:numPr>
              <w:spacing w:after="240" w:before="0" w:beforeAutospacing="0" w:line="240" w:lineRule="auto"/>
              <w:ind w:left="1440" w:hanging="360"/>
              <w:rPr>
                <w:color w:val="1a1a2e"/>
                <w:sz w:val="21"/>
                <w:szCs w:val="21"/>
                <w:u w:val="none"/>
              </w:rPr>
            </w:pPr>
            <w:r w:rsidDel="00000000" w:rsidR="00000000" w:rsidRPr="00000000">
              <w:rPr>
                <w:color w:val="1a1a2e"/>
                <w:sz w:val="21"/>
                <w:szCs w:val="21"/>
                <w:rtl w:val="0"/>
              </w:rPr>
              <w:t xml:space="preserve">Shows how to establish sensing thresholds for jaw-force classification</w:t>
            </w:r>
          </w:p>
        </w:tc>
      </w:tr>
    </w:tbl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tbl>
      <w:tblPr>
        <w:tblStyle w:val="Table9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eef5fa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spacing w:after="60" w:before="240" w:lineRule="auto"/>
              <w:rPr>
                <w:b w:val="1"/>
                <w:bCs w:val="1"/>
                <w:color w:val="0077b6"/>
              </w:rPr>
            </w:pPr>
            <w:r w:rsidDel="00000000" w:rsidR="00000000" w:rsidRPr="00000000">
              <w:rPr>
                <w:b w:val="1"/>
                <w:bCs w:val="1"/>
                <w:color w:val="0077b6"/>
                <w:rtl w:val="0"/>
              </w:rPr>
              <w:t xml:space="preserve">Vibrotactile biofeedback devices in Parkinson's disease: a narrative review</w:t>
            </w:r>
          </w:p>
          <w:p w:rsidR="00000000" w:rsidDel="00000000" w:rsidP="00000000" w:rsidRDefault="00000000" w:rsidRPr="00000000" w14:paraId="00000036">
            <w:pPr>
              <w:spacing w:after="60" w:before="240" w:lineRule="auto"/>
              <w:rPr>
                <w:i w:val="1"/>
                <w:iCs w:val="1"/>
                <w:color w:val="444444"/>
                <w:sz w:val="20"/>
                <w:szCs w:val="20"/>
              </w:rPr>
            </w:pPr>
            <w:r w:rsidDel="00000000" w:rsidR="00000000" w:rsidRPr="00000000">
              <w:rPr>
                <w:i w:val="1"/>
                <w:iCs w:val="1"/>
                <w:color w:val="444444"/>
                <w:sz w:val="20"/>
                <w:szCs w:val="20"/>
                <w:rtl w:val="0"/>
              </w:rPr>
              <w:t xml:space="preserve">Gonçalves</w:t>
            </w:r>
            <w:r w:rsidDel="00000000" w:rsidR="00000000" w:rsidRPr="00000000">
              <w:rPr>
                <w:i w:val="1"/>
                <w:iCs w:val="1"/>
                <w:color w:val="444444"/>
                <w:sz w:val="20"/>
                <w:szCs w:val="20"/>
                <w:rtl w:val="0"/>
              </w:rPr>
              <w:t xml:space="preserve"> et al. | Medical &amp; Biological Engineering &amp; Computing, 2021</w:t>
            </w:r>
          </w:p>
          <w:p w:rsidR="00000000" w:rsidDel="00000000" w:rsidP="00000000" w:rsidRDefault="00000000" w:rsidRPr="00000000" w14:paraId="00000037">
            <w:pPr>
              <w:spacing w:after="60" w:before="240" w:lineRule="auto"/>
              <w:rPr>
                <w:color w:val="888888"/>
                <w:sz w:val="18"/>
                <w:szCs w:val="18"/>
              </w:rPr>
            </w:pPr>
            <w:r w:rsidDel="00000000" w:rsidR="00000000" w:rsidRPr="00000000">
              <w:rPr>
                <w:color w:val="888888"/>
                <w:sz w:val="18"/>
                <w:szCs w:val="18"/>
                <w:rtl w:val="0"/>
              </w:rPr>
              <w:t xml:space="preserve">URL: https://link.springer.com/article/10.1007/s11517-021-02365-3</w:t>
            </w:r>
          </w:p>
          <w:p w:rsidR="00000000" w:rsidDel="00000000" w:rsidP="00000000" w:rsidRDefault="00000000" w:rsidRPr="00000000" w14:paraId="00000038">
            <w:pPr>
              <w:spacing w:after="240" w:before="60" w:line="240" w:lineRule="auto"/>
              <w:rPr>
                <w:color w:val="1a1a2e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1a7340"/>
                <w:sz w:val="21"/>
                <w:szCs w:val="21"/>
                <w:rtl w:val="0"/>
              </w:rPr>
              <w:t xml:space="preserve">Relevance: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9">
            <w:pPr>
              <w:numPr>
                <w:ilvl w:val="0"/>
                <w:numId w:val="1"/>
              </w:numPr>
              <w:spacing w:after="0" w:afterAutospacing="0" w:before="60" w:line="240" w:lineRule="auto"/>
              <w:ind w:left="720" w:hanging="360"/>
              <w:rPr>
                <w:color w:val="1a1a2e"/>
                <w:sz w:val="21"/>
                <w:szCs w:val="21"/>
              </w:rPr>
            </w:pPr>
            <w:r w:rsidDel="00000000" w:rsidR="00000000" w:rsidRPr="00000000">
              <w:rPr>
                <w:color w:val="1a1a2e"/>
                <w:sz w:val="21"/>
                <w:szCs w:val="21"/>
                <w:rtl w:val="0"/>
              </w:rPr>
              <w:t xml:space="preserve">Narrative review of wearable vibrotactile systems using ERM and LRA motors on belts and harnesses (surveys design patterns across dozens of published devices)</w:t>
            </w:r>
          </w:p>
          <w:p w:rsidR="00000000" w:rsidDel="00000000" w:rsidP="00000000" w:rsidRDefault="00000000" w:rsidRPr="00000000" w14:paraId="0000003A">
            <w:pPr>
              <w:numPr>
                <w:ilvl w:val="0"/>
                <w:numId w:val="1"/>
              </w:numPr>
              <w:spacing w:after="0" w:afterAutospacing="0" w:before="0" w:beforeAutospacing="0" w:line="240" w:lineRule="auto"/>
              <w:ind w:left="720" w:hanging="360"/>
              <w:rPr>
                <w:color w:val="1a1a2e"/>
                <w:sz w:val="21"/>
                <w:szCs w:val="21"/>
                <w:u w:val="none"/>
              </w:rPr>
            </w:pPr>
            <w:r w:rsidDel="00000000" w:rsidR="00000000" w:rsidRPr="00000000">
              <w:rPr>
                <w:color w:val="1a1a2e"/>
                <w:sz w:val="21"/>
                <w:szCs w:val="21"/>
                <w:rtl w:val="0"/>
              </w:rPr>
              <w:t xml:space="preserve">Design rules: Actuator placement, motor count vs. cognitive load, vibration intensity and frequency ranges, and general biofeedback loop design guidelines</w:t>
            </w:r>
          </w:p>
          <w:p w:rsidR="00000000" w:rsidDel="00000000" w:rsidP="00000000" w:rsidRDefault="00000000" w:rsidRPr="00000000" w14:paraId="0000003B">
            <w:pPr>
              <w:numPr>
                <w:ilvl w:val="1"/>
                <w:numId w:val="1"/>
              </w:numPr>
              <w:spacing w:after="0" w:afterAutospacing="0" w:before="0" w:beforeAutospacing="0" w:line="240" w:lineRule="auto"/>
              <w:ind w:left="1440" w:hanging="360"/>
              <w:rPr>
                <w:color w:val="1a1a2e"/>
                <w:sz w:val="21"/>
                <w:szCs w:val="21"/>
                <w:u w:val="none"/>
              </w:rPr>
            </w:pPr>
            <w:r w:rsidDel="00000000" w:rsidR="00000000" w:rsidRPr="00000000">
              <w:rPr>
                <w:color w:val="1a1a2e"/>
                <w:sz w:val="21"/>
                <w:szCs w:val="21"/>
                <w:rtl w:val="0"/>
              </w:rPr>
              <w:t xml:space="preserve">Preference for miniaturized wearable actuators and sensors; biofeedback loop providing rescue strategies during or after event detection</w:t>
            </w:r>
          </w:p>
          <w:p w:rsidR="00000000" w:rsidDel="00000000" w:rsidP="00000000" w:rsidRDefault="00000000" w:rsidRPr="00000000" w14:paraId="0000003C">
            <w:pPr>
              <w:numPr>
                <w:ilvl w:val="1"/>
                <w:numId w:val="1"/>
              </w:numPr>
              <w:spacing w:after="0" w:afterAutospacing="0" w:before="0" w:beforeAutospacing="0" w:line="240" w:lineRule="auto"/>
              <w:ind w:left="1440" w:hanging="360"/>
              <w:rPr>
                <w:color w:val="1a1a2e"/>
                <w:sz w:val="21"/>
                <w:szCs w:val="21"/>
                <w:u w:val="none"/>
              </w:rPr>
            </w:pPr>
            <w:r w:rsidDel="00000000" w:rsidR="00000000" w:rsidRPr="00000000">
              <w:rPr>
                <w:color w:val="1a1a2e"/>
                <w:sz w:val="21"/>
                <w:szCs w:val="21"/>
                <w:rtl w:val="0"/>
              </w:rPr>
              <w:t xml:space="preserve">Vibrotactile cues proved suitable in any environment with positive patient adherence</w:t>
            </w:r>
          </w:p>
          <w:p w:rsidR="00000000" w:rsidDel="00000000" w:rsidP="00000000" w:rsidRDefault="00000000" w:rsidRPr="00000000" w14:paraId="0000003D">
            <w:pPr>
              <w:numPr>
                <w:ilvl w:val="0"/>
                <w:numId w:val="1"/>
              </w:numPr>
              <w:spacing w:after="240" w:before="0" w:beforeAutospacing="0" w:line="240" w:lineRule="auto"/>
              <w:ind w:left="720" w:hanging="360"/>
              <w:rPr>
                <w:color w:val="1a1a2e"/>
                <w:sz w:val="21"/>
                <w:szCs w:val="21"/>
                <w:u w:val="none"/>
              </w:rPr>
            </w:pPr>
            <w:r w:rsidDel="00000000" w:rsidR="00000000" w:rsidRPr="00000000">
              <w:rPr>
                <w:color w:val="1a1a2e"/>
                <w:sz w:val="21"/>
                <w:szCs w:val="21"/>
                <w:rtl w:val="0"/>
              </w:rPr>
              <w:t xml:space="preserve">Reviews studies across vibration frequencies; findings are applicable to choosing our ERM motor operating frequency for temporalis placement</w:t>
            </w:r>
          </w:p>
        </w:tc>
      </w:tr>
    </w:tbl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tbl>
      <w:tblPr>
        <w:tblStyle w:val="Table10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eef5fa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spacing w:after="60" w:before="240" w:lineRule="auto"/>
              <w:rPr>
                <w:b w:val="1"/>
                <w:bCs w:val="1"/>
                <w:color w:val="0077b6"/>
              </w:rPr>
            </w:pPr>
            <w:r w:rsidDel="00000000" w:rsidR="00000000" w:rsidRPr="00000000">
              <w:rPr>
                <w:b w:val="1"/>
                <w:bCs w:val="1"/>
                <w:color w:val="0077b6"/>
                <w:rtl w:val="0"/>
              </w:rPr>
              <w:t xml:space="preserve">User Participatory Design of a Wearable Focal Vibration Device for HomeBased Stroke Rehabilitation</w:t>
            </w:r>
          </w:p>
          <w:p w:rsidR="00000000" w:rsidDel="00000000" w:rsidP="00000000" w:rsidRDefault="00000000" w:rsidRPr="00000000" w14:paraId="00000040">
            <w:pPr>
              <w:spacing w:after="60" w:before="240" w:lineRule="auto"/>
              <w:rPr>
                <w:i w:val="1"/>
                <w:iCs w:val="1"/>
                <w:color w:val="444444"/>
                <w:sz w:val="20"/>
                <w:szCs w:val="20"/>
              </w:rPr>
            </w:pPr>
            <w:r w:rsidDel="00000000" w:rsidR="00000000" w:rsidRPr="00000000">
              <w:rPr>
                <w:i w:val="1"/>
                <w:iCs w:val="1"/>
                <w:color w:val="444444"/>
                <w:sz w:val="20"/>
                <w:szCs w:val="20"/>
                <w:rtl w:val="0"/>
              </w:rPr>
              <w:t xml:space="preserve">Wang</w:t>
            </w:r>
            <w:r w:rsidDel="00000000" w:rsidR="00000000" w:rsidRPr="00000000">
              <w:rPr>
                <w:i w:val="1"/>
                <w:iCs w:val="1"/>
                <w:color w:val="444444"/>
                <w:sz w:val="20"/>
                <w:szCs w:val="20"/>
                <w:rtl w:val="0"/>
              </w:rPr>
              <w:t xml:space="preserve"> et al. | Sensors, MDPI, 2022</w:t>
            </w:r>
          </w:p>
          <w:p w:rsidR="00000000" w:rsidDel="00000000" w:rsidP="00000000" w:rsidRDefault="00000000" w:rsidRPr="00000000" w14:paraId="00000041">
            <w:pPr>
              <w:spacing w:after="60" w:before="240" w:lineRule="auto"/>
              <w:rPr>
                <w:color w:val="888888"/>
                <w:sz w:val="18"/>
                <w:szCs w:val="18"/>
              </w:rPr>
            </w:pPr>
            <w:r w:rsidDel="00000000" w:rsidR="00000000" w:rsidRPr="00000000">
              <w:rPr>
                <w:color w:val="888888"/>
                <w:sz w:val="18"/>
                <w:szCs w:val="18"/>
                <w:rtl w:val="0"/>
              </w:rPr>
              <w:t xml:space="preserve">URL: https://www.mdpi.com/1424-8220/22/9/3308/review_report</w:t>
            </w:r>
          </w:p>
          <w:p w:rsidR="00000000" w:rsidDel="00000000" w:rsidP="00000000" w:rsidRDefault="00000000" w:rsidRPr="00000000" w14:paraId="00000042">
            <w:pPr>
              <w:spacing w:after="240" w:before="60" w:line="240" w:lineRule="auto"/>
              <w:rPr>
                <w:color w:val="1a1a2e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1a7340"/>
                <w:sz w:val="21"/>
                <w:szCs w:val="21"/>
                <w:rtl w:val="0"/>
              </w:rPr>
              <w:t xml:space="preserve">Relevance: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3">
            <w:pPr>
              <w:numPr>
                <w:ilvl w:val="0"/>
                <w:numId w:val="1"/>
              </w:numPr>
              <w:spacing w:after="0" w:afterAutospacing="0" w:before="60" w:line="240" w:lineRule="auto"/>
              <w:ind w:left="720" w:hanging="360"/>
              <w:rPr>
                <w:color w:val="1a1a2e"/>
                <w:sz w:val="21"/>
                <w:szCs w:val="21"/>
              </w:rPr>
            </w:pPr>
            <w:r w:rsidDel="00000000" w:rsidR="00000000" w:rsidRPr="00000000">
              <w:rPr>
                <w:color w:val="1a1a2e"/>
                <w:sz w:val="21"/>
                <w:szCs w:val="21"/>
                <w:rtl w:val="0"/>
              </w:rPr>
              <w:t xml:space="preserve">References for hardware design:</w:t>
            </w:r>
          </w:p>
          <w:p w:rsidR="00000000" w:rsidDel="00000000" w:rsidP="00000000" w:rsidRDefault="00000000" w:rsidRPr="00000000" w14:paraId="00000044">
            <w:pPr>
              <w:numPr>
                <w:ilvl w:val="1"/>
                <w:numId w:val="1"/>
              </w:numPr>
              <w:spacing w:after="0" w:afterAutospacing="0" w:before="0" w:beforeAutospacing="0" w:line="240" w:lineRule="auto"/>
              <w:ind w:left="1440" w:hanging="360"/>
              <w:rPr>
                <w:color w:val="1a1a2e"/>
                <w:sz w:val="21"/>
                <w:szCs w:val="21"/>
                <w:u w:val="none"/>
              </w:rPr>
            </w:pPr>
            <w:r w:rsidDel="00000000" w:rsidR="00000000" w:rsidRPr="00000000">
              <w:rPr>
                <w:color w:val="1a1a2e"/>
                <w:sz w:val="21"/>
                <w:szCs w:val="21"/>
                <w:rtl w:val="0"/>
              </w:rPr>
              <w:t xml:space="preserve">Motors draw ~80 mA (130 mA peak), confirms that we need a transistor or MOSFET driver, not direct GPIO drive</w:t>
            </w:r>
          </w:p>
          <w:p w:rsidR="00000000" w:rsidDel="00000000" w:rsidP="00000000" w:rsidRDefault="00000000" w:rsidRPr="00000000" w14:paraId="00000045">
            <w:pPr>
              <w:numPr>
                <w:ilvl w:val="1"/>
                <w:numId w:val="1"/>
              </w:numPr>
              <w:spacing w:after="0" w:afterAutospacing="0" w:before="0" w:beforeAutospacing="0" w:line="240" w:lineRule="auto"/>
              <w:ind w:left="1440" w:hanging="360"/>
              <w:rPr>
                <w:color w:val="1a1a2e"/>
                <w:sz w:val="21"/>
                <w:szCs w:val="21"/>
                <w:u w:val="none"/>
              </w:rPr>
            </w:pPr>
            <w:r w:rsidDel="00000000" w:rsidR="00000000" w:rsidRPr="00000000">
              <w:rPr>
                <w:color w:val="1a1a2e"/>
                <w:sz w:val="21"/>
                <w:szCs w:val="21"/>
                <w:rtl w:val="0"/>
              </w:rPr>
              <w:t xml:space="preserve">3D-printed PLA pods sealed with epoxy</w:t>
            </w:r>
          </w:p>
          <w:p w:rsidR="00000000" w:rsidDel="00000000" w:rsidP="00000000" w:rsidRDefault="00000000" w:rsidRPr="00000000" w14:paraId="00000046">
            <w:pPr>
              <w:numPr>
                <w:ilvl w:val="0"/>
                <w:numId w:val="1"/>
              </w:numPr>
              <w:spacing w:after="0" w:afterAutospacing="0" w:before="0" w:beforeAutospacing="0" w:line="240" w:lineRule="auto"/>
              <w:ind w:left="720" w:hanging="360"/>
              <w:rPr>
                <w:color w:val="1a1a2e"/>
                <w:sz w:val="21"/>
                <w:szCs w:val="21"/>
                <w:u w:val="none"/>
              </w:rPr>
            </w:pPr>
            <w:r w:rsidDel="00000000" w:rsidR="00000000" w:rsidRPr="00000000">
              <w:rPr>
                <w:color w:val="1a1a2e"/>
                <w:sz w:val="21"/>
                <w:szCs w:val="21"/>
                <w:rtl w:val="0"/>
              </w:rPr>
              <w:t xml:space="preserve">PWM intensity control compensates for battery voltage drop over discharge</w:t>
            </w:r>
          </w:p>
          <w:p w:rsidR="00000000" w:rsidDel="00000000" w:rsidP="00000000" w:rsidRDefault="00000000" w:rsidRPr="00000000" w14:paraId="00000047">
            <w:pPr>
              <w:numPr>
                <w:ilvl w:val="0"/>
                <w:numId w:val="1"/>
              </w:numPr>
              <w:spacing w:after="240" w:before="0" w:beforeAutospacing="0" w:line="240" w:lineRule="auto"/>
              <w:ind w:left="720" w:hanging="360"/>
              <w:rPr>
                <w:color w:val="1a1a2e"/>
                <w:sz w:val="21"/>
                <w:szCs w:val="21"/>
                <w:u w:val="none"/>
              </w:rPr>
            </w:pPr>
            <w:r w:rsidDel="00000000" w:rsidR="00000000" w:rsidRPr="00000000">
              <w:rPr>
                <w:color w:val="1a1a2e"/>
                <w:sz w:val="21"/>
                <w:szCs w:val="21"/>
                <w:rtl w:val="0"/>
              </w:rPr>
              <w:t xml:space="preserve">Single-cell 500 mAh LiPo with TP4056-style charging circuit and battery voltage monitoring via microcontroller</w:t>
            </w:r>
          </w:p>
        </w:tc>
      </w:tr>
    </w:tbl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tbl>
      <w:tblPr>
        <w:tblStyle w:val="Table1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eef5fa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spacing w:after="60" w:before="240" w:lineRule="auto"/>
              <w:rPr>
                <w:b w:val="1"/>
                <w:bCs w:val="1"/>
                <w:color w:val="0077b6"/>
              </w:rPr>
            </w:pPr>
            <w:r w:rsidDel="00000000" w:rsidR="00000000" w:rsidRPr="00000000">
              <w:rPr>
                <w:b w:val="1"/>
                <w:bCs w:val="1"/>
                <w:color w:val="0077b6"/>
                <w:rtl w:val="0"/>
              </w:rPr>
              <w:t xml:space="preserve">Soft skin-interfaced mechano-acoustic sensors and haptic actuators for wireless monitoring and treatment of TMJ disorders</w:t>
            </w:r>
          </w:p>
          <w:p w:rsidR="00000000" w:rsidDel="00000000" w:rsidP="00000000" w:rsidRDefault="00000000" w:rsidRPr="00000000" w14:paraId="0000004A">
            <w:pPr>
              <w:spacing w:after="60" w:before="240" w:lineRule="auto"/>
              <w:rPr>
                <w:i w:val="1"/>
                <w:iCs w:val="1"/>
                <w:color w:val="444444"/>
                <w:sz w:val="20"/>
                <w:szCs w:val="20"/>
              </w:rPr>
            </w:pPr>
            <w:r w:rsidDel="00000000" w:rsidR="00000000" w:rsidRPr="00000000">
              <w:rPr>
                <w:i w:val="1"/>
                <w:iCs w:val="1"/>
                <w:color w:val="444444"/>
                <w:sz w:val="20"/>
                <w:szCs w:val="20"/>
                <w:rtl w:val="0"/>
              </w:rPr>
              <w:t xml:space="preserve">K</w:t>
            </w:r>
            <w:r w:rsidDel="00000000" w:rsidR="00000000" w:rsidRPr="00000000">
              <w:rPr>
                <w:i w:val="1"/>
                <w:iCs w:val="1"/>
                <w:color w:val="444444"/>
                <w:sz w:val="20"/>
                <w:szCs w:val="20"/>
                <w:rtl w:val="0"/>
              </w:rPr>
              <w:t xml:space="preserve">ang et al. | npj Digital Medicine (Nature Publishing Group), 2022</w:t>
            </w:r>
          </w:p>
          <w:p w:rsidR="00000000" w:rsidDel="00000000" w:rsidP="00000000" w:rsidRDefault="00000000" w:rsidRPr="00000000" w14:paraId="0000004B">
            <w:pPr>
              <w:spacing w:after="60" w:before="240" w:lineRule="auto"/>
              <w:rPr>
                <w:color w:val="888888"/>
                <w:sz w:val="18"/>
                <w:szCs w:val="18"/>
              </w:rPr>
            </w:pPr>
            <w:r w:rsidDel="00000000" w:rsidR="00000000" w:rsidRPr="00000000">
              <w:rPr>
                <w:color w:val="888888"/>
                <w:sz w:val="18"/>
                <w:szCs w:val="18"/>
                <w:rtl w:val="0"/>
              </w:rPr>
              <w:t xml:space="preserve">URL: https://www.nature.com/articles/s41746-022-00691-w</w:t>
            </w:r>
          </w:p>
          <w:p w:rsidR="00000000" w:rsidDel="00000000" w:rsidP="00000000" w:rsidRDefault="00000000" w:rsidRPr="00000000" w14:paraId="0000004C">
            <w:pPr>
              <w:spacing w:after="240" w:before="60" w:line="240" w:lineRule="auto"/>
              <w:rPr>
                <w:color w:val="1a1a2e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1a7340"/>
                <w:sz w:val="21"/>
                <w:szCs w:val="21"/>
                <w:rtl w:val="0"/>
              </w:rPr>
              <w:t xml:space="preserve">Relevance: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D">
            <w:pPr>
              <w:numPr>
                <w:ilvl w:val="0"/>
                <w:numId w:val="1"/>
              </w:numPr>
              <w:spacing w:after="0" w:afterAutospacing="0" w:before="60" w:line="240" w:lineRule="auto"/>
              <w:ind w:left="720" w:hanging="360"/>
              <w:rPr>
                <w:color w:val="1a1a2e"/>
                <w:sz w:val="21"/>
                <w:szCs w:val="21"/>
              </w:rPr>
            </w:pPr>
            <w:r w:rsidDel="00000000" w:rsidR="00000000" w:rsidRPr="00000000">
              <w:rPr>
                <w:color w:val="1a1a2e"/>
                <w:sz w:val="21"/>
                <w:szCs w:val="21"/>
                <w:rtl w:val="0"/>
              </w:rPr>
              <w:t xml:space="preserve">Dual IMUs + mechano-acoustic sensing for jaw monitoring; BLE streaming to GUI with real-time analytics -&gt; demonstrates clinical feasibility of external wearable jaw sensing</w:t>
            </w:r>
          </w:p>
          <w:p w:rsidR="00000000" w:rsidDel="00000000" w:rsidP="00000000" w:rsidRDefault="00000000" w:rsidRPr="00000000" w14:paraId="0000004E">
            <w:pPr>
              <w:numPr>
                <w:ilvl w:val="0"/>
                <w:numId w:val="1"/>
              </w:numPr>
              <w:spacing w:after="240" w:before="0" w:beforeAutospacing="0" w:line="240" w:lineRule="auto"/>
              <w:ind w:left="720" w:hanging="360"/>
              <w:rPr>
                <w:color w:val="1a1a2e"/>
                <w:sz w:val="21"/>
                <w:szCs w:val="21"/>
                <w:u w:val="none"/>
              </w:rPr>
            </w:pPr>
            <w:r w:rsidDel="00000000" w:rsidR="00000000" w:rsidRPr="00000000">
              <w:rPr>
                <w:color w:val="1a1a2e"/>
                <w:sz w:val="21"/>
                <w:szCs w:val="21"/>
                <w:rtl w:val="0"/>
              </w:rPr>
              <w:t xml:space="preserve">Flexible PCB with LiPo battery in a skin-conformal patch design provides reference for conformal wearable packaging on the head/jaw region</w:t>
            </w:r>
          </w:p>
        </w:tc>
      </w:tr>
    </w:tbl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tbl>
      <w:tblPr>
        <w:tblStyle w:val="Table1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eef5fa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spacing w:after="60" w:before="240" w:lineRule="auto"/>
              <w:rPr>
                <w:b w:val="1"/>
                <w:bCs w:val="1"/>
                <w:color w:val="0077b6"/>
              </w:rPr>
            </w:pPr>
            <w:r w:rsidDel="00000000" w:rsidR="00000000" w:rsidRPr="00000000">
              <w:rPr>
                <w:b w:val="1"/>
                <w:bCs w:val="1"/>
                <w:color w:val="0077b6"/>
                <w:rtl w:val="0"/>
              </w:rPr>
              <w:t xml:space="preserve">A self-powered flexible piezoelectric sensor patch for deep learning-assisted motion identification and rehabilitation training system</w:t>
            </w:r>
          </w:p>
          <w:p w:rsidR="00000000" w:rsidDel="00000000" w:rsidP="00000000" w:rsidRDefault="00000000" w:rsidRPr="00000000" w14:paraId="00000051">
            <w:pPr>
              <w:spacing w:after="60" w:before="240" w:lineRule="auto"/>
              <w:rPr>
                <w:i w:val="1"/>
                <w:iCs w:val="1"/>
                <w:color w:val="444444"/>
                <w:sz w:val="20"/>
                <w:szCs w:val="20"/>
              </w:rPr>
            </w:pPr>
            <w:r w:rsidDel="00000000" w:rsidR="00000000" w:rsidRPr="00000000">
              <w:rPr>
                <w:i w:val="1"/>
                <w:iCs w:val="1"/>
                <w:color w:val="444444"/>
                <w:sz w:val="20"/>
                <w:szCs w:val="20"/>
                <w:rtl w:val="0"/>
              </w:rPr>
              <w:t xml:space="preserve">Guo</w:t>
            </w:r>
            <w:r w:rsidDel="00000000" w:rsidR="00000000" w:rsidRPr="00000000">
              <w:rPr>
                <w:i w:val="1"/>
                <w:iCs w:val="1"/>
                <w:color w:val="444444"/>
                <w:sz w:val="20"/>
                <w:szCs w:val="20"/>
                <w:rtl w:val="0"/>
              </w:rPr>
              <w:t xml:space="preserve"> et al. | Nano Energy (Elsevier), 2024</w:t>
            </w:r>
          </w:p>
          <w:p w:rsidR="00000000" w:rsidDel="00000000" w:rsidP="00000000" w:rsidRDefault="00000000" w:rsidRPr="00000000" w14:paraId="00000052">
            <w:pPr>
              <w:spacing w:after="60" w:before="240" w:lineRule="auto"/>
              <w:rPr>
                <w:color w:val="888888"/>
                <w:sz w:val="18"/>
                <w:szCs w:val="18"/>
              </w:rPr>
            </w:pPr>
            <w:r w:rsidDel="00000000" w:rsidR="00000000" w:rsidRPr="00000000">
              <w:rPr>
                <w:color w:val="888888"/>
                <w:sz w:val="18"/>
                <w:szCs w:val="18"/>
                <w:rtl w:val="0"/>
              </w:rPr>
              <w:t xml:space="preserve">URL: https://doi.org/10.1016/j.nanoen.2024.109427</w:t>
            </w:r>
          </w:p>
          <w:p w:rsidR="00000000" w:rsidDel="00000000" w:rsidP="00000000" w:rsidRDefault="00000000" w:rsidRPr="00000000" w14:paraId="00000053">
            <w:pPr>
              <w:spacing w:after="240" w:before="60" w:line="240" w:lineRule="auto"/>
              <w:rPr>
                <w:color w:val="1a1a2e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1a7340"/>
                <w:sz w:val="21"/>
                <w:szCs w:val="21"/>
                <w:rtl w:val="0"/>
              </w:rPr>
              <w:t xml:space="preserve">Relevance: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4">
            <w:pPr>
              <w:numPr>
                <w:ilvl w:val="0"/>
                <w:numId w:val="1"/>
              </w:numPr>
              <w:spacing w:after="0" w:afterAutospacing="0" w:before="60" w:line="240" w:lineRule="auto"/>
              <w:ind w:left="720" w:hanging="360"/>
              <w:rPr>
                <w:color w:val="1a1a2e"/>
                <w:sz w:val="21"/>
                <w:szCs w:val="21"/>
              </w:rPr>
            </w:pPr>
            <w:r w:rsidDel="00000000" w:rsidR="00000000" w:rsidRPr="00000000">
              <w:rPr>
                <w:color w:val="1a1a2e"/>
                <w:sz w:val="21"/>
                <w:szCs w:val="21"/>
                <w:rtl w:val="0"/>
              </w:rPr>
              <w:t xml:space="preserve">Uses PVDF fibrous film as a flexible piezoelectric sensor patch for joint motion monitoring and provides signal characteristics (voltage output, sensitivity, frequency response) &lt;- directly applicable to our PVDF sensor on the temporalis</w:t>
            </w:r>
          </w:p>
          <w:p w:rsidR="00000000" w:rsidDel="00000000" w:rsidP="00000000" w:rsidRDefault="00000000" w:rsidRPr="00000000" w14:paraId="00000055">
            <w:pPr>
              <w:numPr>
                <w:ilvl w:val="0"/>
                <w:numId w:val="1"/>
              </w:numPr>
              <w:spacing w:after="0" w:afterAutospacing="0" w:before="0" w:beforeAutospacing="0" w:line="240" w:lineRule="auto"/>
              <w:ind w:left="720" w:hanging="360"/>
              <w:rPr>
                <w:color w:val="1a1a2e"/>
                <w:sz w:val="21"/>
                <w:szCs w:val="21"/>
                <w:u w:val="none"/>
              </w:rPr>
            </w:pPr>
            <w:r w:rsidDel="00000000" w:rsidR="00000000" w:rsidRPr="00000000">
              <w:rPr>
                <w:color w:val="1a1a2e"/>
                <w:sz w:val="21"/>
                <w:szCs w:val="21"/>
                <w:rtl w:val="0"/>
              </w:rPr>
              <w:t xml:space="preserve">Signal processing path: Piezoelectric signal -&gt; feature extraction -&gt; LSTM deep learning classifier for motion identification</w:t>
            </w:r>
          </w:p>
          <w:p w:rsidR="00000000" w:rsidDel="00000000" w:rsidP="00000000" w:rsidRDefault="00000000" w:rsidRPr="00000000" w14:paraId="00000056">
            <w:pPr>
              <w:numPr>
                <w:ilvl w:val="0"/>
                <w:numId w:val="1"/>
              </w:numPr>
              <w:spacing w:after="240" w:before="0" w:beforeAutospacing="0" w:line="240" w:lineRule="auto"/>
              <w:ind w:left="720" w:hanging="360"/>
              <w:rPr>
                <w:color w:val="1a1a2e"/>
                <w:sz w:val="21"/>
                <w:szCs w:val="21"/>
                <w:u w:val="none"/>
              </w:rPr>
            </w:pPr>
            <w:r w:rsidDel="00000000" w:rsidR="00000000" w:rsidRPr="00000000">
              <w:rPr>
                <w:color w:val="1a1a2e"/>
                <w:sz w:val="21"/>
                <w:szCs w:val="21"/>
                <w:rtl w:val="0"/>
              </w:rPr>
              <w:t xml:space="preserve">Quantitative sensitivity and noise floor data for PVDF on joints (useful for setting our ADC threshold and understanding what signal amplitude to expect from the temporalis muscle)</w:t>
            </w:r>
          </w:p>
        </w:tc>
      </w:tr>
    </w:tbl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❖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➢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➢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◆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  <w:style w:type="table" w:styleId="Table5">
    <w:basedOn w:val="TableNormal"/>
    <w:tblPr>
      <w:tblStyleRowBandSize w:val="1"/>
      <w:tblStyleColBandSize w:val="1"/>
      <w:tblCellMar/>
    </w:tblPr>
  </w:style>
  <w:style w:type="table" w:styleId="Table6">
    <w:basedOn w:val="TableNormal"/>
    <w:tblPr>
      <w:tblStyleRowBandSize w:val="1"/>
      <w:tblStyleColBandSize w:val="1"/>
      <w:tblCellMar/>
    </w:tblPr>
  </w:style>
  <w:style w:type="table" w:styleId="Table7">
    <w:basedOn w:val="TableNormal"/>
    <w:tblPr>
      <w:tblStyleRowBandSize w:val="1"/>
      <w:tblStyleColBandSize w:val="1"/>
    </w:tblPr>
  </w:style>
  <w:style w:type="table" w:styleId="Table8">
    <w:basedOn w:val="TableNormal"/>
    <w:tblPr>
      <w:tblStyleRowBandSize w:val="1"/>
      <w:tblStyleColBandSize w:val="1"/>
    </w:tblPr>
  </w:style>
  <w:style w:type="table" w:styleId="Table9">
    <w:basedOn w:val="TableNormal"/>
    <w:tblPr>
      <w:tblStyleRowBandSize w:val="1"/>
      <w:tblStyleColBandSize w:val="1"/>
    </w:tblPr>
  </w:style>
  <w:style w:type="table" w:styleId="Table10">
    <w:basedOn w:val="TableNormal"/>
    <w:tblPr>
      <w:tblStyleRowBandSize w:val="1"/>
      <w:tblStyleColBandSize w:val="1"/>
    </w:tblPr>
  </w:style>
  <w:style w:type="table" w:styleId="Table11">
    <w:basedOn w:val="TableNormal"/>
    <w:tblPr>
      <w:tblStyleRowBandSize w:val="1"/>
      <w:tblStyleColBandSize w:val="1"/>
    </w:tblPr>
  </w:style>
  <w:style w:type="table" w:styleId="Table1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