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240" w:lineRule="auto"/>
        <w:jc w:val="center"/>
        <w:rPr>
          <w:rFonts w:ascii="Times New Roman" w:cs="Times New Roman" w:eastAsia="Times New Roman" w:hAnsi="Times New Roman"/>
          <w:b w:val="1"/>
          <w:bCs w:val="1"/>
          <w:sz w:val="36"/>
          <w:szCs w:val="36"/>
        </w:rPr>
      </w:pPr>
      <w:r>
        <w:rPr>
          <w:rFonts w:ascii="Times New Roman" w:cs="Times New Roman" w:eastAsia="Times New Roman" w:hAnsi="Times New Roman"/>
          <w:b w:val="1"/>
          <w:bCs w:val="1"/>
          <w:sz w:val="36"/>
          <w:szCs w:val="36"/>
          <w:rtl w:val="0"/>
        </w:rPr>
        <w:t xml:space="preserve">SYSCO CORPORATION VALUATION</w:t>
      </w:r>
    </w:p>
    <w:p w:rsidR="00000000" w:rsidDel="00000000" w:rsidP="00000000" w:rsidRDefault="00000000" w:rsidRPr="00000000" w14:paraId="00000002">
      <w:pPr>
        <w:spacing w:after="240" w:lineRule="auto"/>
        <w:jc w:val="right"/>
        <w:rPr>
          <w:rFonts w:ascii="Times New Roman" w:cs="Times New Roman" w:eastAsia="Times New Roman" w:hAnsi="Times New Roman"/>
        </w:rPr>
      </w:pPr>
      <w:r>
        <w:rPr>
          <w:rFonts w:ascii="Times New Roman" w:cs="Times New Roman" w:eastAsia="Times New Roman" w:hAnsi="Times New Roman"/>
          <w:rtl w:val="0"/>
        </w:rPr>
        <w:t xml:space="preserve">April 2026</w:t>
      </w:r>
    </w:p>
    <w:p w:rsidR="00000000" w:rsidDel="00000000" w:rsidP="00000000" w:rsidRDefault="00000000" w:rsidRPr="00000000" w14:paraId="00000003">
      <w:pPr>
        <w:spacing w:after="80" w:before="8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Key Statistics</w:t>
      </w:r>
    </w:p>
    <w:tbl>
      <w:tblPr>
        <w:tblStyle w:val="Table1"/>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35"/>
        <w:tblGridChange w:id="0">
          <w:tblGrid>
            <w:gridCol w:w="4680"/>
            <w:gridCol w:w="4635"/>
          </w:tblGrid>
        </w:tblGridChange>
      </w:tblGrid>
      <w:tr>
        <w:trPr>
          <w:cantSplit w:val="0"/>
          <w:trHeight w:val="435" w:hRule="atLeast"/>
          <w:tblHeader w:val="0"/>
        </w:trPr>
        <w:tc>
          <w:tcPr>
            <w:tcBorders>
              <w:top w:color="aaaaaa" w:space="0" w:sz="8" w:val="single"/>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004">
            <w:pP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Current Market Price:</w:t>
            </w:r>
          </w:p>
        </w:tc>
        <w:tc>
          <w:tcPr>
            <w:tcBorders>
              <w:top w:color="aaaaaa" w:space="0" w:sz="8" w:val="single"/>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005">
            <w:pPr>
              <w:rPr>
                <w:rFonts w:ascii="Times New Roman" w:cs="Times New Roman" w:eastAsia="Times New Roman" w:hAnsi="Times New Roman"/>
              </w:rPr>
            </w:pPr>
            <w:r>
              <w:rPr>
                <w:rFonts w:ascii="Times New Roman" w:cs="Times New Roman" w:eastAsia="Times New Roman" w:hAnsi="Times New Roman"/>
                <w:rtl w:val="0"/>
              </w:rPr>
              <w:t xml:space="preserve">$73.24</w:t>
            </w:r>
          </w:p>
        </w:tc>
      </w:tr>
      <w:tr>
        <w:trPr>
          <w:cantSplit w:val="0"/>
          <w:trHeight w:val="435" w:hRule="atLeast"/>
          <w:tblHeader w:val="0"/>
        </w:trPr>
        <w:tc>
          <w:tcPr>
            <w:tcBorders>
              <w:top w:color="000000" w:space="0" w:sz="0" w:val="nil"/>
              <w:left w:color="aaaaaa" w:space="0" w:sz="8" w:val="single"/>
              <w:bottom w:color="aaaaaa" w:space="0" w:sz="8" w:val="single"/>
              <w:right w:color="aaaaaa"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006">
            <w:pP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Market Capitalization:</w:t>
            </w:r>
          </w:p>
        </w:tc>
        <w:tc>
          <w:tcPr>
            <w:tcBorders>
              <w:top w:color="000000" w:space="0" w:sz="0" w:val="nil"/>
              <w:left w:color="000000" w:space="0" w:sz="0" w:val="nil"/>
              <w:bottom w:color="aaaaaa" w:space="0" w:sz="8" w:val="single"/>
              <w:right w:color="aaaaaa"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007">
            <w:pPr>
              <w:rPr>
                <w:rFonts w:ascii="Times New Roman" w:cs="Times New Roman" w:eastAsia="Times New Roman" w:hAnsi="Times New Roman"/>
              </w:rPr>
            </w:pPr>
            <w:r>
              <w:rPr>
                <w:rFonts w:ascii="Times New Roman" w:cs="Times New Roman" w:eastAsia="Times New Roman" w:hAnsi="Times New Roman"/>
                <w:rtl w:val="0"/>
              </w:rPr>
              <w:t xml:space="preserve">$34,080.70 million</w:t>
            </w:r>
          </w:p>
        </w:tc>
      </w:tr>
      <w:tr>
        <w:trPr>
          <w:cantSplit w:val="0"/>
          <w:trHeight w:val="435" w:hRule="atLeast"/>
          <w:tblHeader w:val="0"/>
        </w:trPr>
        <w:tc>
          <w:tcPr>
            <w:tcBorders>
              <w:top w:color="000000" w:space="0" w:sz="0" w:val="nil"/>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008">
            <w:pP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Shares Outstanding:</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009">
            <w:pPr>
              <w:rPr>
                <w:rFonts w:ascii="Times New Roman" w:cs="Times New Roman" w:eastAsia="Times New Roman" w:hAnsi="Times New Roman"/>
              </w:rPr>
            </w:pPr>
            <w:r>
              <w:rPr>
                <w:rFonts w:ascii="Times New Roman" w:cs="Times New Roman" w:eastAsia="Times New Roman" w:hAnsi="Times New Roman"/>
                <w:rtl w:val="0"/>
              </w:rPr>
              <w:t xml:space="preserve">478.18 million</w:t>
            </w:r>
          </w:p>
        </w:tc>
      </w:tr>
      <w:tr>
        <w:trPr>
          <w:cantSplit w:val="0"/>
          <w:trHeight w:val="435" w:hRule="atLeast"/>
          <w:tblHeader w:val="0"/>
        </w:trPr>
        <w:tc>
          <w:tcPr>
            <w:tcBorders>
              <w:top w:color="000000" w:space="0" w:sz="0" w:val="nil"/>
              <w:left w:color="aaaaaa" w:space="0" w:sz="8" w:val="single"/>
              <w:bottom w:color="aaaaaa" w:space="0" w:sz="8" w:val="single"/>
              <w:right w:color="aaaaaa"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00A">
            <w:pP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Revenue (FY2025):</w:t>
            </w:r>
          </w:p>
        </w:tc>
        <w:tc>
          <w:tcPr>
            <w:tcBorders>
              <w:top w:color="000000" w:space="0" w:sz="0" w:val="nil"/>
              <w:left w:color="000000" w:space="0" w:sz="0" w:val="nil"/>
              <w:bottom w:color="aaaaaa" w:space="0" w:sz="8" w:val="single"/>
              <w:right w:color="aaaaaa"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00B">
            <w:pPr>
              <w:rPr>
                <w:rFonts w:ascii="Times New Roman" w:cs="Times New Roman" w:eastAsia="Times New Roman" w:hAnsi="Times New Roman"/>
              </w:rPr>
            </w:pPr>
            <w:r>
              <w:rPr>
                <w:rFonts w:ascii="Times New Roman" w:cs="Times New Roman" w:eastAsia="Times New Roman" w:hAnsi="Times New Roman"/>
                <w:rtl w:val="0"/>
              </w:rPr>
              <w:t xml:space="preserve">$76,324.68 million</w:t>
            </w:r>
          </w:p>
        </w:tc>
      </w:tr>
      <w:tr>
        <w:trPr>
          <w:cantSplit w:val="0"/>
          <w:trHeight w:val="435" w:hRule="atLeast"/>
          <w:tblHeader w:val="0"/>
        </w:trPr>
        <w:tc>
          <w:tcPr>
            <w:tcBorders>
              <w:top w:color="000000" w:space="0" w:sz="0" w:val="nil"/>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00C">
            <w:pP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Industry:</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00D">
            <w:pPr>
              <w:rPr>
                <w:rFonts w:ascii="Times New Roman" w:cs="Times New Roman" w:eastAsia="Times New Roman" w:hAnsi="Times New Roman"/>
              </w:rPr>
            </w:pPr>
            <w:r>
              <w:rPr>
                <w:rFonts w:ascii="Times New Roman" w:cs="Times New Roman" w:eastAsia="Times New Roman" w:hAnsi="Times New Roman"/>
                <w:rtl w:val="0"/>
              </w:rPr>
              <w:t xml:space="preserve">Foodservice Distribution</w:t>
            </w:r>
          </w:p>
        </w:tc>
      </w:tr>
      <w:tr>
        <w:trPr>
          <w:cantSplit w:val="0"/>
          <w:trHeight w:val="435" w:hRule="atLeast"/>
          <w:tblHeader w:val="0"/>
        </w:trPr>
        <w:tc>
          <w:tcPr>
            <w:tcBorders>
              <w:top w:color="000000" w:space="0" w:sz="0" w:val="nil"/>
              <w:left w:color="aaaaaa" w:space="0" w:sz="8" w:val="single"/>
              <w:bottom w:color="aaaaaa" w:space="0" w:sz="8" w:val="single"/>
              <w:right w:color="aaaaaa"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00E">
            <w:pP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Ticker / Exchange:</w:t>
            </w:r>
          </w:p>
        </w:tc>
        <w:tc>
          <w:tcPr>
            <w:tcBorders>
              <w:top w:color="000000" w:space="0" w:sz="0" w:val="nil"/>
              <w:left w:color="000000" w:space="0" w:sz="0" w:val="nil"/>
              <w:bottom w:color="aaaaaa" w:space="0" w:sz="8" w:val="single"/>
              <w:right w:color="aaaaaa"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00F">
            <w:pPr>
              <w:rPr>
                <w:rFonts w:ascii="Times New Roman" w:cs="Times New Roman" w:eastAsia="Times New Roman" w:hAnsi="Times New Roman"/>
              </w:rPr>
            </w:pPr>
            <w:r>
              <w:rPr>
                <w:rFonts w:ascii="Times New Roman" w:cs="Times New Roman" w:eastAsia="Times New Roman" w:hAnsi="Times New Roman"/>
                <w:rtl w:val="0"/>
              </w:rPr>
              <w:t xml:space="preserve">SYY / NYSE</w:t>
            </w:r>
          </w:p>
        </w:tc>
      </w:tr>
    </w:tbl>
    <w:p w:rsidR="00000000" w:rsidDel="00000000" w:rsidP="00000000" w:rsidRDefault="00000000" w:rsidRPr="00000000" w14:paraId="00000010">
      <w:pPr>
        <w:spacing w:before="240" w:lineRule="auto"/>
        <w:rPr>
          <w:rFonts w:ascii="Times New Roman" w:cs="Times New Roman" w:eastAsia="Times New Roman" w:hAnsi="Times New Roman"/>
        </w:rPr>
      </w:pPr>
      <w:r>
        <w:rPr>
          <w:rFonts w:ascii="Times New Roman" w:cs="Times New Roman" w:eastAsia="Times New Roman" w:hAnsi="Times New Roman"/>
          <w:rtl w:val="0"/>
        </w:rPr>
        <w:t xml:space="preserve"> </w:t>
      </w:r>
    </w:p>
    <w:p w:rsidR="00000000" w:rsidDel="00000000" w:rsidP="00000000" w:rsidRDefault="00000000" w:rsidRPr="00000000" w14:paraId="00000011">
      <w:pPr>
        <w:spacing w:before="240" w:lineRule="auto"/>
        <w:rPr>
          <w:rFonts w:ascii="Times New Roman" w:cs="Times New Roman" w:eastAsia="Times New Roman" w:hAnsi="Times New Roman"/>
          <w:b w:val="1"/>
          <w:bCs w:val="1"/>
          <w:sz w:val="46"/>
          <w:szCs w:val="46"/>
        </w:rPr>
      </w:pPr>
      <w:r>
        <w:rPr>
          <w:rFonts w:ascii="Times New Roman" w:cs="Times New Roman" w:eastAsia="Times New Roman" w:hAnsi="Times New Roman"/>
          <w:b w:val="1"/>
          <w:bCs w:val="1"/>
          <w:sz w:val="46"/>
          <w:szCs w:val="46"/>
          <w:rtl w:val="0"/>
        </w:rPr>
        <w:t xml:space="preserve">I.  Introduction</w:t>
      </w:r>
    </w:p>
    <w:p w:rsidR="00000000" w:rsidDel="00000000" w:rsidP="00000000" w:rsidRDefault="00000000" w:rsidRPr="00000000" w14:paraId="0000001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kcku1bm5zd7n" w:id="0"/>
      <w:bookmarkEnd w:id="0"/>
      <w:r>
        <w:rPr>
          <w:rFonts w:ascii="Times New Roman" w:cs="Times New Roman" w:eastAsia="Times New Roman" w:hAnsi="Times New Roman"/>
          <w:b w:val="1"/>
          <w:bCs w:val="1"/>
          <w:sz w:val="34"/>
          <w:szCs w:val="34"/>
          <w:rtl w:val="0"/>
        </w:rPr>
        <w:t xml:space="preserve">I.I  Business Description</w:t>
      </w:r>
    </w:p>
    <w:p w:rsidR="00000000" w:rsidDel="00000000" w:rsidP="00000000" w:rsidRDefault="00000000" w:rsidRPr="00000000" w14:paraId="00000013">
      <w:pPr>
        <w:spacing w:after="80" w:before="80" w:lineRule="auto"/>
        <w:ind w:firstLine="20"/>
        <w:jc w:val="both"/>
        <w:rPr>
          <w:rFonts w:ascii="Times New Roman" w:cs="Times New Roman" w:eastAsia="Times New Roman" w:hAnsi="Times New Roman"/>
        </w:rPr>
      </w:pPr>
      <w:r>
        <w:rPr>
          <w:rFonts w:ascii="Times New Roman" w:cs="Times New Roman" w:eastAsia="Times New Roman" w:hAnsi="Times New Roman"/>
          <w:rtl w:val="0"/>
        </w:rPr>
        <w:t xml:space="preserve">Sysco was founded in 1967 and is headquartered in Houston, Texas. Its operations are based on the mission of "Connecting the World to Share Food and Care for One Another," by distributing beverages, food, and kitchen-related supplies to a wide range of industries. Sysco dominates the food distribution industry and accounts for 17% of the market share. The company has a market capitalization of $34,080.70 million and revenue of $76,324.68 million as of 2025. Its customers include small diners, large restaurant chains, healthcare facilities, education and government institutions, hotels, and caterers. While the company serves a broad range of industries, the restaurant sector accounts for over 60% of its revenue. Sysco employs approximately 75,000 individuals and serves 730,000 customers. Its network spans 90 countries with 337 distribution centers across North America and Europe.</w:t>
      </w:r>
    </w:p>
    <w:p w:rsidR="00000000" w:rsidDel="00000000" w:rsidP="00000000" w:rsidRDefault="00000000" w:rsidRPr="00000000" w14:paraId="00000014">
      <w:pPr>
        <w:spacing w:before="80" w:lineRule="auto"/>
        <w:rPr>
          <w:rFonts w:ascii="Times New Roman" w:cs="Times New Roman" w:eastAsia="Times New Roman" w:hAnsi="Times New Roman"/>
        </w:rPr>
      </w:pPr>
      <w:r>
        <w:rPr>
          <w:rFonts w:ascii="Times New Roman" w:cs="Times New Roman" w:eastAsia="Times New Roman" w:hAnsi="Times New Roman"/>
          <w:rtl w:val="0"/>
        </w:rPr>
        <w:t xml:space="preserve"> </w:t>
      </w:r>
    </w:p>
    <w:p w:rsidR="00000000" w:rsidDel="00000000" w:rsidP="00000000" w:rsidRDefault="00000000" w:rsidRPr="00000000" w14:paraId="00000015">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o6l4csj49b8w" w:id="1"/>
      <w:bookmarkEnd w:id="1"/>
      <w:r>
        <w:rPr>
          <w:rFonts w:ascii="Times New Roman" w:cs="Times New Roman" w:eastAsia="Times New Roman" w:hAnsi="Times New Roman"/>
          <w:b w:val="1"/>
          <w:bCs w:val="1"/>
          <w:sz w:val="34"/>
          <w:szCs w:val="34"/>
          <w:rtl w:val="0"/>
        </w:rPr>
        <w:t xml:space="preserve">I.II  Management Description and Corporate Governance</w:t>
      </w:r>
    </w:p>
    <w:p w:rsidR="00000000" w:rsidDel="00000000" w:rsidP="00000000" w:rsidRDefault="00000000" w:rsidRPr="00000000" w14:paraId="00000016">
      <w:pPr>
        <w:spacing w:after="80" w:before="80" w:lineRule="auto"/>
        <w:ind w:firstLine="20"/>
        <w:jc w:val="both"/>
        <w:rPr>
          <w:rFonts w:ascii="Times New Roman" w:cs="Times New Roman" w:eastAsia="Times New Roman" w:hAnsi="Times New Roman"/>
        </w:rPr>
      </w:pPr>
      <w:r>
        <w:rPr>
          <w:rFonts w:ascii="Times New Roman" w:cs="Times New Roman" w:eastAsia="Times New Roman" w:hAnsi="Times New Roman"/>
          <w:rtl w:val="0"/>
        </w:rPr>
        <w:t xml:space="preserve">Sysco has approximately 75,000 employees and a management executive team of approximately 6 to 10 key leaders, in addition to a board of directors with 13 members. The executive team is highly experienced in the industry and focuses on operational efficiency and margin expansion. The core strategies are to control costs and optimize the supply chain, as this is a low-margin business. Simultaneously, a key focus of the management team is to grow the business model and generate stronger revenue through acquisitions. Because the industry is high volume and low margin, a key goal of Sysco's management, and one of their primary strengths, is their scale and continued expansion of their customer base.</w:t>
      </w:r>
    </w:p>
    <w:p w:rsidR="00000000" w:rsidDel="00000000" w:rsidP="00000000" w:rsidRDefault="00000000" w:rsidRPr="00000000" w14:paraId="00000017">
      <w:pPr>
        <w:spacing w:after="80" w:before="80" w:lineRule="auto"/>
        <w:ind w:firstLine="20"/>
        <w:jc w:val="both"/>
        <w:rPr>
          <w:rFonts w:ascii="Times New Roman" w:cs="Times New Roman" w:eastAsia="Times New Roman" w:hAnsi="Times New Roman"/>
        </w:rPr>
      </w:pPr>
      <w:r>
        <w:rPr>
          <w:rFonts w:ascii="Times New Roman" w:cs="Times New Roman" w:eastAsia="Times New Roman" w:hAnsi="Times New Roman"/>
          <w:rtl w:val="0"/>
        </w:rPr>
        <w:t xml:space="preserve">Sysco is governed by a mostly independent board of directors that oversees management and protects the interests of shareholders. The key committees are audit, which reviews the financials; compensation, which determines executive pay; and governance, which controls the corporate structure. Notably, the CEO of Sysco also serves as Chair of the Board, which can compromise the separation of power. The CEO and Chair of the Board, Kevin Hourican, studied economics and supply chain management at Penn State. He previously served as the President of CVS, an $85 billion retail business. Since becoming CEO in 2020, he has focused on a major transformation strategy to improve customer experience, improve supply chain efficiency, and expand into high-growth segments.</w:t>
      </w:r>
    </w:p>
    <w:p w:rsidR="00000000" w:rsidDel="00000000" w:rsidP="00000000" w:rsidRDefault="00000000" w:rsidRPr="00000000" w14:paraId="00000018">
      <w:pPr>
        <w:spacing w:before="80" w:lineRule="auto"/>
        <w:rPr>
          <w:rFonts w:ascii="Times New Roman" w:cs="Times New Roman" w:eastAsia="Times New Roman" w:hAnsi="Times New Roman"/>
        </w:rPr>
      </w:pPr>
      <w:r>
        <w:rPr>
          <w:rFonts w:ascii="Times New Roman" w:cs="Times New Roman" w:eastAsia="Times New Roman" w:hAnsi="Times New Roman"/>
          <w:rtl w:val="0"/>
        </w:rPr>
        <w:t xml:space="preserve"> </w:t>
      </w:r>
    </w:p>
    <w:p w:rsidR="00000000" w:rsidDel="00000000" w:rsidP="00000000" w:rsidRDefault="00000000" w:rsidRPr="00000000" w14:paraId="0000001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js0g6wdw2c75" w:id="2"/>
      <w:bookmarkEnd w:id="2"/>
      <w:r>
        <w:rPr>
          <w:rFonts w:ascii="Times New Roman" w:cs="Times New Roman" w:eastAsia="Times New Roman" w:hAnsi="Times New Roman"/>
          <w:b w:val="1"/>
          <w:bCs w:val="1"/>
          <w:sz w:val="34"/>
          <w:szCs w:val="34"/>
          <w:rtl w:val="0"/>
        </w:rPr>
        <w:t xml:space="preserve">I.III  Industry Overview</w:t>
      </w:r>
    </w:p>
    <w:p w:rsidR="00000000" w:rsidDel="00000000" w:rsidP="00000000" w:rsidRDefault="00000000" w:rsidRPr="00000000" w14:paraId="0000001A">
      <w:pPr>
        <w:spacing w:after="80" w:before="80" w:lineRule="auto"/>
        <w:ind w:firstLine="20"/>
        <w:jc w:val="both"/>
        <w:rPr>
          <w:rFonts w:ascii="Times New Roman" w:cs="Times New Roman" w:eastAsia="Times New Roman" w:hAnsi="Times New Roman"/>
        </w:rPr>
      </w:pPr>
      <w:r>
        <w:rPr>
          <w:rFonts w:ascii="Times New Roman" w:cs="Times New Roman" w:eastAsia="Times New Roman" w:hAnsi="Times New Roman"/>
          <w:rtl w:val="0"/>
        </w:rPr>
        <w:t xml:space="preserve">Sysco operates in the foodservice distribution industry, which supplies food, beverages, and kitchen products to restaurants, hospitals, schools, and hotels across the country and world. The company acts as the intermediary between food producers and end customers. This industry is very high volume and low margin, meaning that profits are thin, and success depends heavily on scale and efficiency. The market is highly fragmented, with a few large players like Sysco and US Foods alongside thousands of small regional distributors. Demand in this market is tied directly to food consumption; as long as people require food, demand in this industry will remain stable. The foodservice distribution industry is relatively resilient to economic cycles, though it is exposed to factors such as the impact of interest rates on the supply side and dining-in/out trends on the demand side. Growth potential in this industry lies primarily in the ability to expand through mergers and acquisitions and to improve operational efficiency and cost effectiveness. Key risks include fluctuations in food prices, fuel costs, and labor costs.</w:t>
      </w:r>
    </w:p>
    <w:p w:rsidR="00000000" w:rsidDel="00000000" w:rsidP="00000000" w:rsidRDefault="00000000" w:rsidRPr="00000000" w14:paraId="0000001B">
      <w:pPr>
        <w:spacing w:before="80" w:lineRule="auto"/>
        <w:rPr>
          <w:rFonts w:ascii="Times New Roman" w:cs="Times New Roman" w:eastAsia="Times New Roman" w:hAnsi="Times New Roman"/>
        </w:rPr>
      </w:pPr>
      <w:r>
        <w:rPr>
          <w:rFonts w:ascii="Times New Roman" w:cs="Times New Roman" w:eastAsia="Times New Roman" w:hAnsi="Times New Roman"/>
          <w:rtl w:val="0"/>
        </w:rPr>
        <w:t xml:space="preserve"> </w:t>
      </w:r>
    </w:p>
    <w:p w:rsidR="00000000" w:rsidDel="00000000" w:rsidP="00000000" w:rsidRDefault="00000000" w:rsidRPr="00000000" w14:paraId="0000001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pc3vfoe8szwh" w:id="3"/>
      <w:bookmarkEnd w:id="3"/>
      <w:r>
        <w:rPr>
          <w:rFonts w:ascii="Times New Roman" w:cs="Times New Roman" w:eastAsia="Times New Roman" w:hAnsi="Times New Roman"/>
          <w:b w:val="1"/>
          <w:bCs w:val="1"/>
          <w:sz w:val="34"/>
          <w:szCs w:val="34"/>
          <w:rtl w:val="0"/>
        </w:rPr>
        <w:t xml:space="preserve">I.IV  Investment Summary</w:t>
      </w:r>
    </w:p>
    <w:p w:rsidR="00000000" w:rsidDel="00000000" w:rsidP="00000000" w:rsidRDefault="00000000" w:rsidRPr="00000000" w14:paraId="0000001D">
      <w:pPr>
        <w:spacing w:after="80" w:before="80" w:lineRule="auto"/>
        <w:ind w:firstLine="20"/>
        <w:jc w:val="both"/>
        <w:rPr>
          <w:rFonts w:ascii="Times New Roman" w:cs="Times New Roman" w:eastAsia="Times New Roman" w:hAnsi="Times New Roman"/>
        </w:rPr>
      </w:pPr>
      <w:r>
        <w:rPr>
          <w:rFonts w:ascii="Times New Roman" w:cs="Times New Roman" w:eastAsia="Times New Roman" w:hAnsi="Times New Roman"/>
          <w:rtl w:val="0"/>
        </w:rPr>
        <w:t xml:space="preserve">Sysco is a Strong Buy. The company is a dominant and mature foodservice distributor controlling 17% of the U.S. market, generating over $76 billion in revenue with consistent and strong margins relative to its peers. The acquisition of Jetro Restaurant Depot, Sysco's largest ever, opens an entirely new distribution channel in the $60 to $70 billion cash and carry market that the company could not previously access. Using a discounted FCFF model with conservative assumptions, including organic growth in line with management guidance, conservative Jetro revenue projections, and a post-acquisition WACC of 6.19%, the model yields a fair value of $108.72 per share against a current price of $73.24, representing approximately 48.4% upside. Even in the downside scenario using a Dividend Discount Model that excludes all acquisition-driven growth, the stock remains fairly priced, affirming Sysco as a defensive, income-generating investment with significant additional upside tied to the Jetro integration.</w:t>
      </w:r>
    </w:p>
    <w:p w:rsidR="00000000" w:rsidDel="00000000" w:rsidP="00000000" w:rsidRDefault="00000000" w:rsidRPr="00000000" w14:paraId="0000001E">
      <w:pPr>
        <w:spacing w:before="240" w:lineRule="auto"/>
        <w:rPr>
          <w:rFonts w:ascii="Times New Roman" w:cs="Times New Roman" w:eastAsia="Times New Roman" w:hAnsi="Times New Roman"/>
        </w:rPr>
      </w:pPr>
      <w:r>
        <w:rPr>
          <w:rFonts w:ascii="Times New Roman" w:cs="Times New Roman" w:eastAsia="Times New Roman" w:hAnsi="Times New Roman"/>
          <w:rtl w:val="0"/>
        </w:rPr>
        <w:t xml:space="preserve"> </w:t>
      </w:r>
    </w:p>
    <w:p w:rsidR="00000000" w:rsidDel="00000000" w:rsidP="00000000" w:rsidRDefault="00000000" w:rsidRPr="00000000" w14:paraId="0000001F">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rwrdubd1wllm" w:id="4"/>
      <w:bookmarkEnd w:id="4"/>
      <w:r>
        <w:rPr>
          <w:rFonts w:ascii="Times New Roman" w:cs="Times New Roman" w:eastAsia="Times New Roman" w:hAnsi="Times New Roman"/>
          <w:b w:val="1"/>
          <w:bCs w:val="1"/>
          <w:sz w:val="46"/>
          <w:szCs w:val="46"/>
          <w:rtl w:val="0"/>
        </w:rPr>
        <w:t xml:space="preserve">II.  Financial Analysis</w:t>
      </w:r>
    </w:p>
    <w:p w:rsidR="00000000" w:rsidDel="00000000" w:rsidP="00000000" w:rsidRDefault="00000000" w:rsidRPr="00000000" w14:paraId="00000020">
      <w:pPr>
        <w:spacing w:after="80" w:before="80" w:lineRule="auto"/>
        <w:ind w:firstLine="20"/>
        <w:jc w:val="both"/>
        <w:rPr>
          <w:rFonts w:ascii="Times New Roman" w:cs="Times New Roman" w:eastAsia="Times New Roman" w:hAnsi="Times New Roman"/>
        </w:rPr>
      </w:pPr>
      <w:r>
        <w:rPr>
          <w:rFonts w:ascii="Times New Roman" w:cs="Times New Roman" w:eastAsia="Times New Roman" w:hAnsi="Times New Roman"/>
          <w:rtl w:val="0"/>
        </w:rPr>
        <w:t xml:space="preserve">The following analysis benchmarks Sysco against three foodservice distribution peers: US Food Holding Corp (USFD), Performance Food Group (PFGC), and United Natural Foods Inc (UNFI). While no perfect peer comparison exists given Sysco's dominant scale, these companies offer the most comparable business models available.</w:t>
      </w:r>
    </w:p>
    <w:p w:rsidR="00000000" w:rsidDel="00000000" w:rsidP="00000000" w:rsidRDefault="00000000" w:rsidRPr="00000000" w14:paraId="00000021">
      <w:pPr>
        <w:spacing w:before="80" w:lineRule="auto"/>
        <w:rPr>
          <w:rFonts w:ascii="Times New Roman" w:cs="Times New Roman" w:eastAsia="Times New Roman" w:hAnsi="Times New Roman"/>
        </w:rPr>
      </w:pPr>
      <w:r>
        <w:rPr>
          <w:rFonts w:ascii="Times New Roman" w:cs="Times New Roman" w:eastAsia="Times New Roman" w:hAnsi="Times New Roman"/>
          <w:rtl w:val="0"/>
        </w:rPr>
        <w:t xml:space="preserve"> </w:t>
      </w:r>
    </w:p>
    <w:p w:rsidR="00000000" w:rsidDel="00000000" w:rsidP="00000000" w:rsidRDefault="00000000" w:rsidRPr="00000000" w14:paraId="00000022">
      <w:pPr>
        <w:spacing w:after="60" w:before="80" w:lineRule="auto"/>
        <w:ind w:left="720" w:firstLine="20"/>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Table 1  Comparable Company Multiples</w:t>
      </w:r>
    </w:p>
    <w:p w:rsidR="00000000" w:rsidDel="00000000" w:rsidP="00000000" w:rsidRDefault="00000000" w:rsidRPr="00000000" w14:paraId="00000023">
      <w:pPr>
        <w:spacing w:after="60" w:before="80" w:lineRule="auto"/>
        <w:ind w:firstLine="20"/>
        <w:rPr>
          <w:rFonts w:ascii="Times New Roman" w:cs="Times New Roman" w:eastAsia="Times New Roman" w:hAnsi="Times New Roman"/>
          <w:b w:val="1"/>
          <w:bCs w:val="1"/>
        </w:rPr>
      </w:pPr>
      <w:r>
        <w:rPr>
          <w:rFonts w:ascii="Times New Roman" w:cs="Times New Roman" w:eastAsia="Times New Roman" w:hAnsi="Times New Roman"/>
          <w:b w:val="1"/>
          <w:bCs w:val="1"/>
        </w:rPr>
        <w:drawing>
          <wp:inline distB="114300" distT="114300" distL="114300" distR="114300">
            <wp:extent cx="3543300" cy="1752600"/>
            <wp:effectExtent b="0" l="0" r="0" t="0"/>
            <wp:docPr id="1" name="image4.jpg"/>
            <a:graphic>
              <a:graphicData uri="http://schemas.openxmlformats.org/drawingml/2006/picture">
                <pic:pic>
                  <pic:nvPicPr>
                    <pic:cNvPr id="0" name="image4.jpg"/>
                    <pic:cNvPicPr preferRelativeResize="0"/>
                  </pic:nvPicPr>
                  <pic:blipFill>
                    <a:blip r:embed="rId6"/>
                    <a:srcRect b="0" l="0" r="0" t="0"/>
                    <a:stretch>
                      <a:fillRect/>
                    </a:stretch>
                  </pic:blipFill>
                  <pic:spPr>
                    <a:xfrm>
                      <a:off x="0" y="0"/>
                      <a:ext cx="3543300" cy="1752600"/>
                    </a:xfrm>
                    <a:prstGeom prst="rect"/>
                    <a:ln/>
                  </pic:spPr>
                </pic:pic>
              </a:graphicData>
            </a:graphic>
          </wp:inline>
        </w:drawing>
      </w:r>
      <w:r>
        <w:rPr>
          <w:rtl w:val="0"/>
        </w:rPr>
      </w:r>
    </w:p>
    <w:p w:rsidR="00000000" w:rsidDel="00000000" w:rsidP="00000000" w:rsidRDefault="00000000" w:rsidRPr="00000000" w14:paraId="00000024">
      <w:pPr>
        <w:spacing w:after="60" w:before="80" w:lineRule="auto"/>
        <w:ind w:firstLine="20"/>
        <w:rPr>
          <w:rFonts w:ascii="Times New Roman" w:cs="Times New Roman" w:eastAsia="Times New Roman" w:hAnsi="Times New Roman"/>
        </w:rPr>
      </w:pPr>
      <w:r>
        <w:rPr>
          <w:rFonts w:ascii="Times New Roman" w:cs="Times New Roman" w:eastAsia="Times New Roman" w:hAnsi="Times New Roman"/>
          <w:b w:val="1"/>
          <w:bCs w:val="1"/>
        </w:rPr>
        <w:drawing>
          <wp:inline distB="114300" distT="114300" distL="114300" distR="114300">
            <wp:extent cx="3594100" cy="1752600"/>
            <wp:effectExtent b="0" l="0" r="0" t="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3594100" cy="1752600"/>
                    </a:xfrm>
                    <a:prstGeom prst="rect"/>
                    <a:ln/>
                  </pic:spPr>
                </pic:pic>
              </a:graphicData>
            </a:graphic>
          </wp:inline>
        </w:drawing>
      </w:r>
      <w:r>
        <w:rPr>
          <w:rFonts w:ascii="Times New Roman" w:cs="Times New Roman" w:eastAsia="Times New Roman" w:hAnsi="Times New Roman"/>
          <w:rtl w:val="0"/>
        </w:rPr>
        <w:t xml:space="preserve"> </w:t>
      </w:r>
    </w:p>
    <w:p w:rsidR="00000000" w:rsidDel="00000000" w:rsidP="00000000" w:rsidRDefault="00000000" w:rsidRPr="00000000" w14:paraId="00000025">
      <w:pPr>
        <w:spacing w:after="80" w:before="80" w:lineRule="auto"/>
        <w:ind w:firstLine="20"/>
        <w:jc w:val="both"/>
        <w:rPr>
          <w:rFonts w:ascii="Times New Roman" w:cs="Times New Roman" w:eastAsia="Times New Roman" w:hAnsi="Times New Roman"/>
        </w:rPr>
      </w:pPr>
      <w:r>
        <w:rPr>
          <w:rFonts w:ascii="Times New Roman" w:cs="Times New Roman" w:eastAsia="Times New Roman" w:hAnsi="Times New Roman"/>
          <w:rtl w:val="0"/>
        </w:rPr>
        <w:t xml:space="preserve">A comparable or multiple analysis is not a part of the core valuation, but rather it tells a broader story about Sysco's dominance in the food distribution market. The three comparable companies were chosen based on the extent to which their business models and capabilities parallel Sysco's. However, when calculating the mean and median multiples intended to represent the competitive industry, this valuation method is not an accurate measure of Sysco's intrinsic value. The comparable median for P/E is 30.58 while Sysco is 19.18; the comparable median for EV/EBITDA is 12.44 while Sysco is 10.88; and the comparable median for EV/EBIT is 20.67, while Sysco is 14.30. If Sysco were to be valued using the comparable median multiples, the market price of Sysco would appear extremely undervalued. However, this reflects an unrealistic valuation because Sysco has a market capitalization of $34,080.70 million and revenue of $76,324.68 million well above the rest of the competitors. This emphasizes Sysco's 17% market share dominance; it is not a true apples-to-apples comparison since the business is significantly larger. The comparable medians are higher because these companies are perceived to have considerably more room for growth. Sysco is better valued on revenue and cash flow generation, while these competitors can be valued based on potential for growth. Sysco has reached maturity and has limited areas for improvement in growth relative to the smaller market share companies and therefore trades at a lower multiple.</w:t>
      </w:r>
    </w:p>
    <w:p w:rsidR="00000000" w:rsidDel="00000000" w:rsidP="00000000" w:rsidRDefault="00000000" w:rsidRPr="00000000" w14:paraId="00000026">
      <w:pPr>
        <w:spacing w:before="80" w:lineRule="auto"/>
        <w:rPr>
          <w:rFonts w:ascii="Times New Roman" w:cs="Times New Roman" w:eastAsia="Times New Roman" w:hAnsi="Times New Roman"/>
        </w:rPr>
      </w:pPr>
      <w:r>
        <w:rPr>
          <w:rFonts w:ascii="Times New Roman" w:cs="Times New Roman" w:eastAsia="Times New Roman" w:hAnsi="Times New Roman"/>
          <w:rtl w:val="0"/>
        </w:rPr>
        <w:t xml:space="preserve"> </w:t>
      </w:r>
    </w:p>
    <w:p w:rsidR="00000000" w:rsidDel="00000000" w:rsidP="00000000" w:rsidRDefault="00000000" w:rsidRPr="00000000" w14:paraId="00000027">
      <w:pPr>
        <w:spacing w:after="60" w:before="80" w:lineRule="auto"/>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Table 2  Cross-Sectional Ratio Analysis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1680"/>
        <w:gridCol w:w="1680"/>
        <w:gridCol w:w="1680"/>
        <w:gridCol w:w="1680"/>
        <w:tblGridChange w:id="0">
          <w:tblGrid>
            <w:gridCol w:w="2640"/>
            <w:gridCol w:w="1680"/>
            <w:gridCol w:w="1680"/>
            <w:gridCol w:w="1680"/>
            <w:gridCol w:w="1680"/>
          </w:tblGrid>
        </w:tblGridChange>
      </w:tblGrid>
      <w:tr>
        <w:trPr>
          <w:cantSplit w:val="0"/>
          <w:trHeight w:val="450" w:hRule="atLeast"/>
          <w:tblHeader w:val="0"/>
        </w:trPr>
        <w:tc>
          <w:tcPr>
            <w:tcBorders>
              <w:top w:color="aaaaaa" w:space="0" w:sz="8" w:val="single"/>
              <w:left w:color="aaaaaa" w:space="0" w:sz="8" w:val="single"/>
              <w:bottom w:color="aaaaaa" w:space="0" w:sz="8" w:val="single"/>
              <w:right w:color="aaaaaa" w:space="0" w:sz="8" w:val="single"/>
            </w:tcBorders>
            <w:shd w:fill="d9d9d9" w:val="clear"/>
            <w:tcMar>
              <w:top w:w="80.0" w:type="dxa"/>
              <w:left w:w="120.0" w:type="dxa"/>
              <w:bottom w:w="80.0" w:type="dxa"/>
              <w:right w:w="120.0" w:type="dxa"/>
            </w:tcMar>
            <w:vAlign w:val="top"/>
          </w:tcPr>
          <w:p w:rsidR="00000000" w:rsidDel="00000000" w:rsidP="00000000" w:rsidRDefault="00000000" w:rsidRPr="00000000" w14:paraId="00000028">
            <w:pPr>
              <w:jc w:val="center"/>
              <w:rPr>
                <w:rFonts w:ascii="Times New Roman" w:cs="Times New Roman" w:eastAsia="Times New Roman" w:hAnsi="Times New Roman"/>
              </w:rPr>
            </w:pPr>
            <w:r>
              <w:rPr>
                <w:rFonts w:ascii="Times New Roman" w:cs="Times New Roman" w:eastAsia="Times New Roman" w:hAnsi="Times New Roman"/>
                <w:rtl w:val="0"/>
              </w:rPr>
              <w:t xml:space="preserve"> </w:t>
            </w:r>
          </w:p>
        </w:tc>
        <w:tc>
          <w:tcPr>
            <w:tcBorders>
              <w:top w:color="aaaaaa" w:space="0" w:sz="8" w:val="single"/>
              <w:left w:color="000000" w:space="0" w:sz="0" w:val="nil"/>
              <w:bottom w:color="aaaaaa" w:space="0" w:sz="8" w:val="single"/>
              <w:right w:color="aaaaaa" w:space="0" w:sz="8" w:val="single"/>
            </w:tcBorders>
            <w:shd w:fill="d9d9d9" w:val="clear"/>
            <w:tcMar>
              <w:top w:w="80.0" w:type="dxa"/>
              <w:left w:w="120.0" w:type="dxa"/>
              <w:bottom w:w="80.0" w:type="dxa"/>
              <w:right w:w="120.0" w:type="dxa"/>
            </w:tcMar>
            <w:vAlign w:val="top"/>
          </w:tcPr>
          <w:p w:rsidR="00000000" w:rsidDel="00000000" w:rsidP="00000000" w:rsidRDefault="00000000" w:rsidRPr="00000000" w14:paraId="00000029">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Sysco (SYY)</w:t>
            </w:r>
          </w:p>
        </w:tc>
        <w:tc>
          <w:tcPr>
            <w:tcBorders>
              <w:top w:color="aaaaaa" w:space="0" w:sz="8" w:val="single"/>
              <w:left w:color="000000" w:space="0" w:sz="0" w:val="nil"/>
              <w:bottom w:color="aaaaaa" w:space="0" w:sz="8" w:val="single"/>
              <w:right w:color="aaaaaa" w:space="0" w:sz="8" w:val="single"/>
            </w:tcBorders>
            <w:shd w:fill="d9d9d9" w:val="clear"/>
            <w:tcMar>
              <w:top w:w="80.0" w:type="dxa"/>
              <w:left w:w="120.0" w:type="dxa"/>
              <w:bottom w:w="80.0" w:type="dxa"/>
              <w:right w:w="120.0" w:type="dxa"/>
            </w:tcMar>
            <w:vAlign w:val="top"/>
          </w:tcPr>
          <w:p w:rsidR="00000000" w:rsidDel="00000000" w:rsidP="00000000" w:rsidRDefault="00000000" w:rsidRPr="00000000" w14:paraId="0000002A">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USFD</w:t>
            </w:r>
          </w:p>
        </w:tc>
        <w:tc>
          <w:tcPr>
            <w:tcBorders>
              <w:top w:color="aaaaaa" w:space="0" w:sz="8" w:val="single"/>
              <w:left w:color="000000" w:space="0" w:sz="0" w:val="nil"/>
              <w:bottom w:color="aaaaaa" w:space="0" w:sz="8" w:val="single"/>
              <w:right w:color="aaaaaa" w:space="0" w:sz="8" w:val="single"/>
            </w:tcBorders>
            <w:shd w:fill="d9d9d9" w:val="clear"/>
            <w:tcMar>
              <w:top w:w="80.0" w:type="dxa"/>
              <w:left w:w="120.0" w:type="dxa"/>
              <w:bottom w:w="80.0" w:type="dxa"/>
              <w:right w:w="120.0" w:type="dxa"/>
            </w:tcMar>
            <w:vAlign w:val="top"/>
          </w:tcPr>
          <w:p w:rsidR="00000000" w:rsidDel="00000000" w:rsidP="00000000" w:rsidRDefault="00000000" w:rsidRPr="00000000" w14:paraId="0000002B">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PFGC</w:t>
            </w:r>
          </w:p>
        </w:tc>
        <w:tc>
          <w:tcPr>
            <w:tcBorders>
              <w:top w:color="aaaaaa" w:space="0" w:sz="8" w:val="single"/>
              <w:left w:color="000000" w:space="0" w:sz="0" w:val="nil"/>
              <w:bottom w:color="aaaaaa" w:space="0" w:sz="8" w:val="single"/>
              <w:right w:color="aaaaaa" w:space="0" w:sz="8" w:val="single"/>
            </w:tcBorders>
            <w:shd w:fill="d9d9d9" w:val="clear"/>
            <w:tcMar>
              <w:top w:w="80.0" w:type="dxa"/>
              <w:left w:w="120.0" w:type="dxa"/>
              <w:bottom w:w="80.0" w:type="dxa"/>
              <w:right w:w="120.0" w:type="dxa"/>
            </w:tcMar>
            <w:vAlign w:val="top"/>
          </w:tcPr>
          <w:p w:rsidR="00000000" w:rsidDel="00000000" w:rsidP="00000000" w:rsidRDefault="00000000" w:rsidRPr="00000000" w14:paraId="0000002C">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UNFI</w:t>
            </w:r>
          </w:p>
        </w:tc>
      </w:tr>
      <w:tr>
        <w:trPr>
          <w:cantSplit w:val="0"/>
          <w:trHeight w:val="375" w:hRule="atLeast"/>
          <w:tblHeader w:val="0"/>
        </w:trPr>
        <w:tc>
          <w:tcPr>
            <w:gridSpan w:val="5"/>
            <w:tcBorders>
              <w:top w:color="000000" w:space="0" w:sz="0" w:val="nil"/>
              <w:left w:color="aaaaaa" w:space="0" w:sz="8" w:val="single"/>
              <w:bottom w:color="aaaaaa" w:space="0" w:sz="8" w:val="single"/>
              <w:right w:color="aaaaaa" w:space="0" w:sz="8" w:val="single"/>
            </w:tcBorders>
            <w:shd w:fill="e8e8e8" w:val="clear"/>
            <w:tcMar>
              <w:top w:w="60.0" w:type="dxa"/>
              <w:left w:w="120.0" w:type="dxa"/>
              <w:bottom w:w="60.0" w:type="dxa"/>
              <w:right w:w="120.0" w:type="dxa"/>
            </w:tcMar>
            <w:vAlign w:val="top"/>
          </w:tcPr>
          <w:p w:rsidR="00000000" w:rsidDel="00000000" w:rsidP="00000000" w:rsidRDefault="00000000" w:rsidRPr="00000000" w14:paraId="0000002D">
            <w:pP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Market Data</w:t>
            </w:r>
          </w:p>
        </w:tc>
      </w:tr>
      <w:tr>
        <w:trPr>
          <w:cantSplit w:val="0"/>
          <w:trHeight w:val="405" w:hRule="atLeast"/>
          <w:tblHeader w:val="0"/>
        </w:trPr>
        <w:tc>
          <w:tcPr>
            <w:tcBorders>
              <w:top w:color="000000" w:space="0" w:sz="0" w:val="nil"/>
              <w:left w:color="aaaaaa" w:space="0" w:sz="8" w:val="single"/>
              <w:bottom w:color="aaaaaa" w:space="0" w:sz="8" w:val="single"/>
              <w:right w:color="aaaaaa"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32">
            <w:pPr>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Market Cap (M)</w:t>
            </w:r>
          </w:p>
        </w:tc>
        <w:tc>
          <w:tcPr>
            <w:tcBorders>
              <w:top w:color="000000" w:space="0" w:sz="0" w:val="nil"/>
              <w:left w:color="000000" w:space="0" w:sz="0" w:val="nil"/>
              <w:bottom w:color="aaaaaa" w:space="0" w:sz="8" w:val="single"/>
              <w:right w:color="aaaaaa"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33">
            <w:pPr>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$34,080.70</w:t>
            </w:r>
          </w:p>
        </w:tc>
        <w:tc>
          <w:tcPr>
            <w:tcBorders>
              <w:top w:color="000000" w:space="0" w:sz="0" w:val="nil"/>
              <w:left w:color="000000" w:space="0" w:sz="0" w:val="nil"/>
              <w:bottom w:color="aaaaaa" w:space="0" w:sz="8" w:val="single"/>
              <w:right w:color="aaaaaa"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34">
            <w:pPr>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$19,828.93</w:t>
            </w:r>
          </w:p>
        </w:tc>
        <w:tc>
          <w:tcPr>
            <w:tcBorders>
              <w:top w:color="000000" w:space="0" w:sz="0" w:val="nil"/>
              <w:left w:color="000000" w:space="0" w:sz="0" w:val="nil"/>
              <w:bottom w:color="aaaaaa" w:space="0" w:sz="8" w:val="single"/>
              <w:right w:color="aaaaaa"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35">
            <w:pPr>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$13,917.88</w:t>
            </w:r>
          </w:p>
        </w:tc>
        <w:tc>
          <w:tcPr>
            <w:tcBorders>
              <w:top w:color="000000" w:space="0" w:sz="0" w:val="nil"/>
              <w:left w:color="000000" w:space="0" w:sz="0" w:val="nil"/>
              <w:bottom w:color="aaaaaa" w:space="0" w:sz="8" w:val="single"/>
              <w:right w:color="aaaaaa"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36">
            <w:pPr>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$2,724.12</w:t>
            </w:r>
          </w:p>
        </w:tc>
      </w:tr>
      <w:tr>
        <w:trPr>
          <w:cantSplit w:val="0"/>
          <w:trHeight w:val="405" w:hRule="atLeast"/>
          <w:tblHeader w:val="0"/>
        </w:trPr>
        <w:tc>
          <w:tcPr>
            <w:tcBorders>
              <w:top w:color="000000" w:space="0" w:sz="0" w:val="nil"/>
              <w:left w:color="aaaaaa" w:space="0" w:sz="8" w:val="single"/>
              <w:bottom w:color="aaaaaa" w:space="0" w:sz="8" w:val="single"/>
              <w:right w:color="aaaaaa" w:space="0" w:sz="8" w:val="single"/>
            </w:tcBorders>
            <w:shd w:fill="f5f5f5" w:val="clear"/>
            <w:tcMar>
              <w:top w:w="80.0" w:type="dxa"/>
              <w:left w:w="100.0" w:type="dxa"/>
              <w:bottom w:w="80.0" w:type="dxa"/>
              <w:right w:w="100.0" w:type="dxa"/>
            </w:tcMar>
            <w:vAlign w:val="top"/>
          </w:tcPr>
          <w:p w:rsidR="00000000" w:rsidDel="00000000" w:rsidP="00000000" w:rsidRDefault="00000000" w:rsidRPr="00000000" w14:paraId="00000037">
            <w:pPr>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Revenue (M)</w:t>
            </w:r>
          </w:p>
        </w:tc>
        <w:tc>
          <w:tcPr>
            <w:tcBorders>
              <w:top w:color="000000" w:space="0" w:sz="0" w:val="nil"/>
              <w:left w:color="000000" w:space="0" w:sz="0" w:val="nil"/>
              <w:bottom w:color="aaaaaa" w:space="0" w:sz="8" w:val="single"/>
              <w:right w:color="aaaaaa" w:space="0" w:sz="8" w:val="single"/>
            </w:tcBorders>
            <w:shd w:fill="f5f5f5" w:val="clear"/>
            <w:tcMar>
              <w:top w:w="80.0" w:type="dxa"/>
              <w:left w:w="100.0" w:type="dxa"/>
              <w:bottom w:w="80.0" w:type="dxa"/>
              <w:right w:w="100.0" w:type="dxa"/>
            </w:tcMar>
            <w:vAlign w:val="top"/>
          </w:tcPr>
          <w:p w:rsidR="00000000" w:rsidDel="00000000" w:rsidP="00000000" w:rsidRDefault="00000000" w:rsidRPr="00000000" w14:paraId="00000038">
            <w:pPr>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$76,324.68</w:t>
            </w:r>
          </w:p>
        </w:tc>
        <w:tc>
          <w:tcPr>
            <w:tcBorders>
              <w:top w:color="000000" w:space="0" w:sz="0" w:val="nil"/>
              <w:left w:color="000000" w:space="0" w:sz="0" w:val="nil"/>
              <w:bottom w:color="aaaaaa" w:space="0" w:sz="8" w:val="single"/>
              <w:right w:color="aaaaaa" w:space="0" w:sz="8" w:val="single"/>
            </w:tcBorders>
            <w:shd w:fill="f5f5f5" w:val="clear"/>
            <w:tcMar>
              <w:top w:w="80.0" w:type="dxa"/>
              <w:left w:w="100.0" w:type="dxa"/>
              <w:bottom w:w="80.0" w:type="dxa"/>
              <w:right w:w="100.0" w:type="dxa"/>
            </w:tcMar>
            <w:vAlign w:val="top"/>
          </w:tcPr>
          <w:p w:rsidR="00000000" w:rsidDel="00000000" w:rsidP="00000000" w:rsidRDefault="00000000" w:rsidRPr="00000000" w14:paraId="00000039">
            <w:pPr>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$35,597.00</w:t>
            </w:r>
          </w:p>
        </w:tc>
        <w:tc>
          <w:tcPr>
            <w:tcBorders>
              <w:top w:color="000000" w:space="0" w:sz="0" w:val="nil"/>
              <w:left w:color="000000" w:space="0" w:sz="0" w:val="nil"/>
              <w:bottom w:color="aaaaaa" w:space="0" w:sz="8" w:val="single"/>
              <w:right w:color="aaaaaa" w:space="0" w:sz="8" w:val="single"/>
            </w:tcBorders>
            <w:shd w:fill="f5f5f5" w:val="clear"/>
            <w:tcMar>
              <w:top w:w="80.0" w:type="dxa"/>
              <w:left w:w="100.0" w:type="dxa"/>
              <w:bottom w:w="80.0" w:type="dxa"/>
              <w:right w:w="100.0" w:type="dxa"/>
            </w:tcMar>
            <w:vAlign w:val="top"/>
          </w:tcPr>
          <w:p w:rsidR="00000000" w:rsidDel="00000000" w:rsidP="00000000" w:rsidRDefault="00000000" w:rsidRPr="00000000" w14:paraId="0000003A">
            <w:pPr>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$57,254.70</w:t>
            </w:r>
          </w:p>
        </w:tc>
        <w:tc>
          <w:tcPr>
            <w:tcBorders>
              <w:top w:color="000000" w:space="0" w:sz="0" w:val="nil"/>
              <w:left w:color="000000" w:space="0" w:sz="0" w:val="nil"/>
              <w:bottom w:color="aaaaaa" w:space="0" w:sz="8" w:val="single"/>
              <w:right w:color="aaaaaa" w:space="0" w:sz="8" w:val="single"/>
            </w:tcBorders>
            <w:shd w:fill="f5f5f5" w:val="clear"/>
            <w:tcMar>
              <w:top w:w="80.0" w:type="dxa"/>
              <w:left w:w="100.0" w:type="dxa"/>
              <w:bottom w:w="80.0" w:type="dxa"/>
              <w:right w:w="100.0" w:type="dxa"/>
            </w:tcMar>
            <w:vAlign w:val="top"/>
          </w:tcPr>
          <w:p w:rsidR="00000000" w:rsidDel="00000000" w:rsidP="00000000" w:rsidRDefault="00000000" w:rsidRPr="00000000" w14:paraId="0000003B">
            <w:pPr>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$30,272.00</w:t>
            </w:r>
          </w:p>
        </w:tc>
      </w:tr>
      <w:tr>
        <w:trPr>
          <w:cantSplit w:val="0"/>
          <w:trHeight w:val="375" w:hRule="atLeast"/>
          <w:tblHeader w:val="0"/>
        </w:trPr>
        <w:tc>
          <w:tcPr>
            <w:gridSpan w:val="5"/>
            <w:tcBorders>
              <w:top w:color="000000" w:space="0" w:sz="0" w:val="nil"/>
              <w:left w:color="aaaaaa" w:space="0" w:sz="8" w:val="single"/>
              <w:bottom w:color="aaaaaa" w:space="0" w:sz="8" w:val="single"/>
              <w:right w:color="aaaaaa" w:space="0" w:sz="8" w:val="single"/>
            </w:tcBorders>
            <w:shd w:fill="e8e8e8" w:val="clear"/>
            <w:tcMar>
              <w:top w:w="60.0" w:type="dxa"/>
              <w:left w:w="120.0" w:type="dxa"/>
              <w:bottom w:w="60.0" w:type="dxa"/>
              <w:right w:w="120.0" w:type="dxa"/>
            </w:tcMar>
            <w:vAlign w:val="top"/>
          </w:tcPr>
          <w:p w:rsidR="00000000" w:rsidDel="00000000" w:rsidP="00000000" w:rsidRDefault="00000000" w:rsidRPr="00000000" w14:paraId="0000003C">
            <w:pP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Profitability</w:t>
            </w:r>
          </w:p>
        </w:tc>
      </w:tr>
      <w:tr>
        <w:trPr>
          <w:cantSplit w:val="0"/>
          <w:trHeight w:val="405" w:hRule="atLeast"/>
          <w:tblHeader w:val="0"/>
        </w:trPr>
        <w:tc>
          <w:tcPr>
            <w:tcBorders>
              <w:top w:color="000000" w:space="0" w:sz="0" w:val="nil"/>
              <w:left w:color="aaaaaa" w:space="0" w:sz="8" w:val="single"/>
              <w:bottom w:color="aaaaaa" w:space="0" w:sz="8" w:val="single"/>
              <w:right w:color="aaaaaa"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41">
            <w:pPr>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P/S</w:t>
            </w:r>
          </w:p>
        </w:tc>
        <w:tc>
          <w:tcPr>
            <w:tcBorders>
              <w:top w:color="000000" w:space="0" w:sz="0" w:val="nil"/>
              <w:left w:color="000000" w:space="0" w:sz="0" w:val="nil"/>
              <w:bottom w:color="aaaaaa" w:space="0" w:sz="8" w:val="single"/>
              <w:right w:color="aaaaaa"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42">
            <w:pPr>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0.45</w:t>
            </w:r>
          </w:p>
        </w:tc>
        <w:tc>
          <w:tcPr>
            <w:tcBorders>
              <w:top w:color="000000" w:space="0" w:sz="0" w:val="nil"/>
              <w:left w:color="000000" w:space="0" w:sz="0" w:val="nil"/>
              <w:bottom w:color="aaaaaa" w:space="0" w:sz="8" w:val="single"/>
              <w:right w:color="aaaaaa"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43">
            <w:pPr>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0.56</w:t>
            </w:r>
          </w:p>
        </w:tc>
        <w:tc>
          <w:tcPr>
            <w:tcBorders>
              <w:top w:color="000000" w:space="0" w:sz="0" w:val="nil"/>
              <w:left w:color="000000" w:space="0" w:sz="0" w:val="nil"/>
              <w:bottom w:color="aaaaaa" w:space="0" w:sz="8" w:val="single"/>
              <w:right w:color="aaaaaa"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44">
            <w:pPr>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0.24</w:t>
            </w:r>
          </w:p>
        </w:tc>
        <w:tc>
          <w:tcPr>
            <w:tcBorders>
              <w:top w:color="000000" w:space="0" w:sz="0" w:val="nil"/>
              <w:left w:color="000000" w:space="0" w:sz="0" w:val="nil"/>
              <w:bottom w:color="aaaaaa" w:space="0" w:sz="8" w:val="single"/>
              <w:right w:color="aaaaaa"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45">
            <w:pPr>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0.09</w:t>
            </w:r>
          </w:p>
        </w:tc>
      </w:tr>
      <w:tr>
        <w:trPr>
          <w:cantSplit w:val="0"/>
          <w:trHeight w:val="405" w:hRule="atLeast"/>
          <w:tblHeader w:val="0"/>
        </w:trPr>
        <w:tc>
          <w:tcPr>
            <w:tcBorders>
              <w:top w:color="000000" w:space="0" w:sz="0" w:val="nil"/>
              <w:left w:color="aaaaaa" w:space="0" w:sz="8" w:val="single"/>
              <w:bottom w:color="aaaaaa" w:space="0" w:sz="8" w:val="single"/>
              <w:right w:color="aaaaaa" w:space="0" w:sz="8" w:val="single"/>
            </w:tcBorders>
            <w:shd w:fill="f5f5f5" w:val="clear"/>
            <w:tcMar>
              <w:top w:w="80.0" w:type="dxa"/>
              <w:left w:w="100.0" w:type="dxa"/>
              <w:bottom w:w="80.0" w:type="dxa"/>
              <w:right w:w="100.0" w:type="dxa"/>
            </w:tcMar>
            <w:vAlign w:val="top"/>
          </w:tcPr>
          <w:p w:rsidR="00000000" w:rsidDel="00000000" w:rsidP="00000000" w:rsidRDefault="00000000" w:rsidRPr="00000000" w14:paraId="00000046">
            <w:pPr>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Gross Margin</w:t>
            </w:r>
          </w:p>
        </w:tc>
        <w:tc>
          <w:tcPr>
            <w:tcBorders>
              <w:top w:color="000000" w:space="0" w:sz="0" w:val="nil"/>
              <w:left w:color="000000" w:space="0" w:sz="0" w:val="nil"/>
              <w:bottom w:color="aaaaaa" w:space="0" w:sz="8" w:val="single"/>
              <w:right w:color="aaaaaa" w:space="0" w:sz="8" w:val="single"/>
            </w:tcBorders>
            <w:shd w:fill="f5f5f5" w:val="clear"/>
            <w:tcMar>
              <w:top w:w="80.0" w:type="dxa"/>
              <w:left w:w="100.0" w:type="dxa"/>
              <w:bottom w:w="80.0" w:type="dxa"/>
              <w:right w:w="100.0" w:type="dxa"/>
            </w:tcMar>
            <w:vAlign w:val="top"/>
          </w:tcPr>
          <w:p w:rsidR="00000000" w:rsidDel="00000000" w:rsidP="00000000" w:rsidRDefault="00000000" w:rsidRPr="00000000" w14:paraId="00000047">
            <w:pPr>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18.35</w:t>
            </w:r>
          </w:p>
        </w:tc>
        <w:tc>
          <w:tcPr>
            <w:tcBorders>
              <w:top w:color="000000" w:space="0" w:sz="0" w:val="nil"/>
              <w:left w:color="000000" w:space="0" w:sz="0" w:val="nil"/>
              <w:bottom w:color="aaaaaa" w:space="0" w:sz="8" w:val="single"/>
              <w:right w:color="aaaaaa" w:space="0" w:sz="8" w:val="single"/>
            </w:tcBorders>
            <w:shd w:fill="f5f5f5" w:val="clear"/>
            <w:tcMar>
              <w:top w:w="80.0" w:type="dxa"/>
              <w:left w:w="100.0" w:type="dxa"/>
              <w:bottom w:w="80.0" w:type="dxa"/>
              <w:right w:w="100.0" w:type="dxa"/>
            </w:tcMar>
            <w:vAlign w:val="top"/>
          </w:tcPr>
          <w:p w:rsidR="00000000" w:rsidDel="00000000" w:rsidP="00000000" w:rsidRDefault="00000000" w:rsidRPr="00000000" w14:paraId="00000048">
            <w:pPr>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17.41</w:t>
            </w:r>
          </w:p>
        </w:tc>
        <w:tc>
          <w:tcPr>
            <w:tcBorders>
              <w:top w:color="000000" w:space="0" w:sz="0" w:val="nil"/>
              <w:left w:color="000000" w:space="0" w:sz="0" w:val="nil"/>
              <w:bottom w:color="aaaaaa" w:space="0" w:sz="8" w:val="single"/>
              <w:right w:color="aaaaaa" w:space="0" w:sz="8" w:val="single"/>
            </w:tcBorders>
            <w:shd w:fill="f5f5f5" w:val="clear"/>
            <w:tcMar>
              <w:top w:w="80.0" w:type="dxa"/>
              <w:left w:w="100.0" w:type="dxa"/>
              <w:bottom w:w="80.0" w:type="dxa"/>
              <w:right w:w="100.0" w:type="dxa"/>
            </w:tcMar>
            <w:vAlign w:val="top"/>
          </w:tcPr>
          <w:p w:rsidR="00000000" w:rsidDel="00000000" w:rsidP="00000000" w:rsidRDefault="00000000" w:rsidRPr="00000000" w14:paraId="00000049">
            <w:pPr>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10.69</w:t>
            </w:r>
          </w:p>
        </w:tc>
        <w:tc>
          <w:tcPr>
            <w:tcBorders>
              <w:top w:color="000000" w:space="0" w:sz="0" w:val="nil"/>
              <w:left w:color="000000" w:space="0" w:sz="0" w:val="nil"/>
              <w:bottom w:color="aaaaaa" w:space="0" w:sz="8" w:val="single"/>
              <w:right w:color="aaaaaa" w:space="0" w:sz="8" w:val="single"/>
            </w:tcBorders>
            <w:shd w:fill="f5f5f5" w:val="clear"/>
            <w:tcMar>
              <w:top w:w="80.0" w:type="dxa"/>
              <w:left w:w="100.0" w:type="dxa"/>
              <w:bottom w:w="80.0" w:type="dxa"/>
              <w:right w:w="100.0" w:type="dxa"/>
            </w:tcMar>
            <w:vAlign w:val="top"/>
          </w:tcPr>
          <w:p w:rsidR="00000000" w:rsidDel="00000000" w:rsidP="00000000" w:rsidRDefault="00000000" w:rsidRPr="00000000" w14:paraId="0000004A">
            <w:pPr>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12.47</w:t>
            </w:r>
          </w:p>
        </w:tc>
      </w:tr>
      <w:tr>
        <w:trPr>
          <w:cantSplit w:val="0"/>
          <w:trHeight w:val="405" w:hRule="atLeast"/>
          <w:tblHeader w:val="0"/>
        </w:trPr>
        <w:tc>
          <w:tcPr>
            <w:tcBorders>
              <w:top w:color="000000" w:space="0" w:sz="0" w:val="nil"/>
              <w:left w:color="aaaaaa" w:space="0" w:sz="8" w:val="single"/>
              <w:bottom w:color="aaaaaa" w:space="0" w:sz="8" w:val="single"/>
              <w:right w:color="aaaaaa"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4B">
            <w:pPr>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Operating Margin</w:t>
            </w:r>
          </w:p>
        </w:tc>
        <w:tc>
          <w:tcPr>
            <w:tcBorders>
              <w:top w:color="000000" w:space="0" w:sz="0" w:val="nil"/>
              <w:left w:color="000000" w:space="0" w:sz="0" w:val="nil"/>
              <w:bottom w:color="aaaaaa" w:space="0" w:sz="8" w:val="single"/>
              <w:right w:color="aaaaaa"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4C">
            <w:pPr>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4.20</w:t>
            </w:r>
          </w:p>
        </w:tc>
        <w:tc>
          <w:tcPr>
            <w:tcBorders>
              <w:top w:color="000000" w:space="0" w:sz="0" w:val="nil"/>
              <w:left w:color="000000" w:space="0" w:sz="0" w:val="nil"/>
              <w:bottom w:color="aaaaaa" w:space="0" w:sz="8" w:val="single"/>
              <w:right w:color="aaaaaa"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4D">
            <w:pPr>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3.37</w:t>
            </w:r>
          </w:p>
        </w:tc>
        <w:tc>
          <w:tcPr>
            <w:tcBorders>
              <w:top w:color="000000" w:space="0" w:sz="0" w:val="nil"/>
              <w:left w:color="000000" w:space="0" w:sz="0" w:val="nil"/>
              <w:bottom w:color="aaaaaa" w:space="0" w:sz="8" w:val="single"/>
              <w:right w:color="aaaaaa"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4E">
            <w:pPr>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1.36</w:t>
            </w:r>
          </w:p>
        </w:tc>
        <w:tc>
          <w:tcPr>
            <w:tcBorders>
              <w:top w:color="000000" w:space="0" w:sz="0" w:val="nil"/>
              <w:left w:color="000000" w:space="0" w:sz="0" w:val="nil"/>
              <w:bottom w:color="aaaaaa" w:space="0" w:sz="8" w:val="single"/>
              <w:right w:color="aaaaaa"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4F">
            <w:pPr>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0.78</w:t>
            </w:r>
          </w:p>
        </w:tc>
      </w:tr>
      <w:tr>
        <w:trPr>
          <w:cantSplit w:val="0"/>
          <w:trHeight w:val="405" w:hRule="atLeast"/>
          <w:tblHeader w:val="0"/>
        </w:trPr>
        <w:tc>
          <w:tcPr>
            <w:tcBorders>
              <w:top w:color="000000" w:space="0" w:sz="0" w:val="nil"/>
              <w:left w:color="aaaaaa" w:space="0" w:sz="8" w:val="single"/>
              <w:bottom w:color="aaaaaa" w:space="0" w:sz="8" w:val="single"/>
              <w:right w:color="aaaaaa" w:space="0" w:sz="8" w:val="single"/>
            </w:tcBorders>
            <w:shd w:fill="f5f5f5" w:val="clear"/>
            <w:tcMar>
              <w:top w:w="80.0" w:type="dxa"/>
              <w:left w:w="100.0" w:type="dxa"/>
              <w:bottom w:w="80.0" w:type="dxa"/>
              <w:right w:w="100.0" w:type="dxa"/>
            </w:tcMar>
            <w:vAlign w:val="top"/>
          </w:tcPr>
          <w:p w:rsidR="00000000" w:rsidDel="00000000" w:rsidP="00000000" w:rsidRDefault="00000000" w:rsidRPr="00000000" w14:paraId="00000050">
            <w:pPr>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Net Margin</w:t>
            </w:r>
          </w:p>
        </w:tc>
        <w:tc>
          <w:tcPr>
            <w:tcBorders>
              <w:top w:color="000000" w:space="0" w:sz="0" w:val="nil"/>
              <w:left w:color="000000" w:space="0" w:sz="0" w:val="nil"/>
              <w:bottom w:color="aaaaaa" w:space="0" w:sz="8" w:val="single"/>
              <w:right w:color="aaaaaa" w:space="0" w:sz="8" w:val="single"/>
            </w:tcBorders>
            <w:shd w:fill="f5f5f5" w:val="clear"/>
            <w:tcMar>
              <w:top w:w="80.0" w:type="dxa"/>
              <w:left w:w="100.0" w:type="dxa"/>
              <w:bottom w:w="80.0" w:type="dxa"/>
              <w:right w:w="100.0" w:type="dxa"/>
            </w:tcMar>
            <w:vAlign w:val="top"/>
          </w:tcPr>
          <w:p w:rsidR="00000000" w:rsidDel="00000000" w:rsidP="00000000" w:rsidRDefault="00000000" w:rsidRPr="00000000" w14:paraId="00000051">
            <w:pPr>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2.17</w:t>
            </w:r>
          </w:p>
        </w:tc>
        <w:tc>
          <w:tcPr>
            <w:tcBorders>
              <w:top w:color="000000" w:space="0" w:sz="0" w:val="nil"/>
              <w:left w:color="000000" w:space="0" w:sz="0" w:val="nil"/>
              <w:bottom w:color="aaaaaa" w:space="0" w:sz="8" w:val="single"/>
              <w:right w:color="aaaaaa" w:space="0" w:sz="8" w:val="single"/>
            </w:tcBorders>
            <w:shd w:fill="f5f5f5" w:val="clear"/>
            <w:tcMar>
              <w:top w:w="80.0" w:type="dxa"/>
              <w:left w:w="100.0" w:type="dxa"/>
              <w:bottom w:w="80.0" w:type="dxa"/>
              <w:right w:w="100.0" w:type="dxa"/>
            </w:tcMar>
            <w:vAlign w:val="top"/>
          </w:tcPr>
          <w:p w:rsidR="00000000" w:rsidDel="00000000" w:rsidP="00000000" w:rsidRDefault="00000000" w:rsidRPr="00000000" w14:paraId="00000052">
            <w:pPr>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1.71</w:t>
            </w:r>
          </w:p>
        </w:tc>
        <w:tc>
          <w:tcPr>
            <w:tcBorders>
              <w:top w:color="000000" w:space="0" w:sz="0" w:val="nil"/>
              <w:left w:color="000000" w:space="0" w:sz="0" w:val="nil"/>
              <w:bottom w:color="aaaaaa" w:space="0" w:sz="8" w:val="single"/>
              <w:right w:color="aaaaaa" w:space="0" w:sz="8" w:val="single"/>
            </w:tcBorders>
            <w:shd w:fill="f5f5f5" w:val="clear"/>
            <w:tcMar>
              <w:top w:w="80.0" w:type="dxa"/>
              <w:left w:w="100.0" w:type="dxa"/>
              <w:bottom w:w="80.0" w:type="dxa"/>
              <w:right w:w="100.0" w:type="dxa"/>
            </w:tcMar>
            <w:vAlign w:val="top"/>
          </w:tcPr>
          <w:p w:rsidR="00000000" w:rsidDel="00000000" w:rsidP="00000000" w:rsidRDefault="00000000" w:rsidRPr="00000000" w14:paraId="00000053">
            <w:pPr>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0.52</w:t>
            </w:r>
          </w:p>
        </w:tc>
        <w:tc>
          <w:tcPr>
            <w:tcBorders>
              <w:top w:color="000000" w:space="0" w:sz="0" w:val="nil"/>
              <w:left w:color="000000" w:space="0" w:sz="0" w:val="nil"/>
              <w:bottom w:color="aaaaaa" w:space="0" w:sz="8" w:val="single"/>
              <w:right w:color="aaaaaa" w:space="0" w:sz="8" w:val="single"/>
            </w:tcBorders>
            <w:shd w:fill="f5f5f5" w:val="clear"/>
            <w:tcMar>
              <w:top w:w="80.0" w:type="dxa"/>
              <w:left w:w="100.0" w:type="dxa"/>
              <w:bottom w:w="80.0" w:type="dxa"/>
              <w:right w:w="100.0" w:type="dxa"/>
            </w:tcMar>
            <w:vAlign w:val="top"/>
          </w:tcPr>
          <w:p w:rsidR="00000000" w:rsidDel="00000000" w:rsidP="00000000" w:rsidRDefault="00000000" w:rsidRPr="00000000" w14:paraId="00000054">
            <w:pPr>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(0.27)</w:t>
            </w:r>
          </w:p>
        </w:tc>
      </w:tr>
      <w:tr>
        <w:trPr>
          <w:cantSplit w:val="0"/>
          <w:trHeight w:val="405" w:hRule="atLeast"/>
          <w:tblHeader w:val="0"/>
        </w:trPr>
        <w:tc>
          <w:tcPr>
            <w:tcBorders>
              <w:top w:color="000000" w:space="0" w:sz="0" w:val="nil"/>
              <w:left w:color="aaaaaa" w:space="0" w:sz="8" w:val="single"/>
              <w:bottom w:color="aaaaaa" w:space="0" w:sz="8" w:val="single"/>
              <w:right w:color="aaaaaa"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55">
            <w:pPr>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Return on Assets</w:t>
            </w:r>
          </w:p>
        </w:tc>
        <w:tc>
          <w:tcPr>
            <w:tcBorders>
              <w:top w:color="000000" w:space="0" w:sz="0" w:val="nil"/>
              <w:left w:color="000000" w:space="0" w:sz="0" w:val="nil"/>
              <w:bottom w:color="aaaaaa" w:space="0" w:sz="8" w:val="single"/>
              <w:right w:color="aaaaaa"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56">
            <w:pPr>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6.85</w:t>
            </w:r>
          </w:p>
        </w:tc>
        <w:tc>
          <w:tcPr>
            <w:tcBorders>
              <w:top w:color="000000" w:space="0" w:sz="0" w:val="nil"/>
              <w:left w:color="000000" w:space="0" w:sz="0" w:val="nil"/>
              <w:bottom w:color="aaaaaa" w:space="0" w:sz="8" w:val="single"/>
              <w:right w:color="aaaaaa"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57">
            <w:pPr>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4.81</w:t>
            </w:r>
          </w:p>
        </w:tc>
        <w:tc>
          <w:tcPr>
            <w:tcBorders>
              <w:top w:color="000000" w:space="0" w:sz="0" w:val="nil"/>
              <w:left w:color="000000" w:space="0" w:sz="0" w:val="nil"/>
              <w:bottom w:color="aaaaaa" w:space="0" w:sz="8" w:val="single"/>
              <w:right w:color="aaaaaa"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58">
            <w:pPr>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1.93</w:t>
            </w:r>
          </w:p>
        </w:tc>
        <w:tc>
          <w:tcPr>
            <w:tcBorders>
              <w:top w:color="000000" w:space="0" w:sz="0" w:val="nil"/>
              <w:left w:color="000000" w:space="0" w:sz="0" w:val="nil"/>
              <w:bottom w:color="aaaaaa" w:space="0" w:sz="8" w:val="single"/>
              <w:right w:color="aaaaaa"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59">
            <w:pPr>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(1.13)</w:t>
            </w:r>
          </w:p>
        </w:tc>
      </w:tr>
      <w:tr>
        <w:trPr>
          <w:cantSplit w:val="0"/>
          <w:trHeight w:val="405" w:hRule="atLeast"/>
          <w:tblHeader w:val="0"/>
        </w:trPr>
        <w:tc>
          <w:tcPr>
            <w:tcBorders>
              <w:top w:color="000000" w:space="0" w:sz="0" w:val="nil"/>
              <w:left w:color="aaaaaa" w:space="0" w:sz="8" w:val="single"/>
              <w:bottom w:color="aaaaaa" w:space="0" w:sz="8" w:val="single"/>
              <w:right w:color="aaaaaa" w:space="0" w:sz="8" w:val="single"/>
            </w:tcBorders>
            <w:shd w:fill="f5f5f5" w:val="clear"/>
            <w:tcMar>
              <w:top w:w="80.0" w:type="dxa"/>
              <w:left w:w="100.0" w:type="dxa"/>
              <w:bottom w:w="80.0" w:type="dxa"/>
              <w:right w:w="100.0" w:type="dxa"/>
            </w:tcMar>
            <w:vAlign w:val="top"/>
          </w:tcPr>
          <w:p w:rsidR="00000000" w:rsidDel="00000000" w:rsidP="00000000" w:rsidRDefault="00000000" w:rsidRPr="00000000" w14:paraId="0000005A">
            <w:pPr>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Return on Equity</w:t>
            </w:r>
          </w:p>
        </w:tc>
        <w:tc>
          <w:tcPr>
            <w:tcBorders>
              <w:top w:color="000000" w:space="0" w:sz="0" w:val="nil"/>
              <w:left w:color="000000" w:space="0" w:sz="0" w:val="nil"/>
              <w:bottom w:color="aaaaaa" w:space="0" w:sz="8" w:val="single"/>
              <w:right w:color="aaaaaa" w:space="0" w:sz="8" w:val="single"/>
            </w:tcBorders>
            <w:shd w:fill="f5f5f5" w:val="clear"/>
            <w:tcMar>
              <w:top w:w="80.0" w:type="dxa"/>
              <w:left w:w="100.0" w:type="dxa"/>
              <w:bottom w:w="80.0" w:type="dxa"/>
              <w:right w:w="100.0" w:type="dxa"/>
            </w:tcMar>
            <w:vAlign w:val="top"/>
          </w:tcPr>
          <w:p w:rsidR="00000000" w:rsidDel="00000000" w:rsidP="00000000" w:rsidRDefault="00000000" w:rsidRPr="00000000" w14:paraId="0000005B">
            <w:pPr>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83.64</w:t>
            </w:r>
          </w:p>
        </w:tc>
        <w:tc>
          <w:tcPr>
            <w:tcBorders>
              <w:top w:color="000000" w:space="0" w:sz="0" w:val="nil"/>
              <w:left w:color="000000" w:space="0" w:sz="0" w:val="nil"/>
              <w:bottom w:color="aaaaaa" w:space="0" w:sz="8" w:val="single"/>
              <w:right w:color="aaaaaa" w:space="0" w:sz="8" w:val="single"/>
            </w:tcBorders>
            <w:shd w:fill="f5f5f5" w:val="clear"/>
            <w:tcMar>
              <w:top w:w="80.0" w:type="dxa"/>
              <w:left w:w="100.0" w:type="dxa"/>
              <w:bottom w:w="80.0" w:type="dxa"/>
              <w:right w:w="100.0" w:type="dxa"/>
            </w:tcMar>
            <w:vAlign w:val="top"/>
          </w:tcPr>
          <w:p w:rsidR="00000000" w:rsidDel="00000000" w:rsidP="00000000" w:rsidRDefault="00000000" w:rsidRPr="00000000" w14:paraId="0000005C">
            <w:pPr>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15.30</w:t>
            </w:r>
          </w:p>
        </w:tc>
        <w:tc>
          <w:tcPr>
            <w:tcBorders>
              <w:top w:color="000000" w:space="0" w:sz="0" w:val="nil"/>
              <w:left w:color="000000" w:space="0" w:sz="0" w:val="nil"/>
              <w:bottom w:color="aaaaaa" w:space="0" w:sz="8" w:val="single"/>
              <w:right w:color="aaaaaa" w:space="0" w:sz="8" w:val="single"/>
            </w:tcBorders>
            <w:shd w:fill="f5f5f5" w:val="clear"/>
            <w:tcMar>
              <w:top w:w="80.0" w:type="dxa"/>
              <w:left w:w="100.0" w:type="dxa"/>
              <w:bottom w:w="80.0" w:type="dxa"/>
              <w:right w:w="100.0" w:type="dxa"/>
            </w:tcMar>
            <w:vAlign w:val="top"/>
          </w:tcPr>
          <w:p w:rsidR="00000000" w:rsidDel="00000000" w:rsidP="00000000" w:rsidRDefault="00000000" w:rsidRPr="00000000" w14:paraId="0000005D">
            <w:pPr>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7.75</w:t>
            </w:r>
          </w:p>
        </w:tc>
        <w:tc>
          <w:tcPr>
            <w:tcBorders>
              <w:top w:color="000000" w:space="0" w:sz="0" w:val="nil"/>
              <w:left w:color="000000" w:space="0" w:sz="0" w:val="nil"/>
              <w:bottom w:color="aaaaaa" w:space="0" w:sz="8" w:val="single"/>
              <w:right w:color="aaaaaa" w:space="0" w:sz="8" w:val="single"/>
            </w:tcBorders>
            <w:shd w:fill="f5f5f5" w:val="clear"/>
            <w:tcMar>
              <w:top w:w="80.0" w:type="dxa"/>
              <w:left w:w="100.0" w:type="dxa"/>
              <w:bottom w:w="80.0" w:type="dxa"/>
              <w:right w:w="100.0" w:type="dxa"/>
            </w:tcMar>
            <w:vAlign w:val="top"/>
          </w:tcPr>
          <w:p w:rsidR="00000000" w:rsidDel="00000000" w:rsidP="00000000" w:rsidRDefault="00000000" w:rsidRPr="00000000" w14:paraId="0000005E">
            <w:pPr>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(5.40)</w:t>
            </w:r>
          </w:p>
        </w:tc>
      </w:tr>
      <w:tr>
        <w:trPr>
          <w:cantSplit w:val="0"/>
          <w:trHeight w:val="405" w:hRule="atLeast"/>
          <w:tblHeader w:val="0"/>
        </w:trPr>
        <w:tc>
          <w:tcPr>
            <w:tcBorders>
              <w:top w:color="000000" w:space="0" w:sz="0" w:val="nil"/>
              <w:left w:color="aaaaaa" w:space="0" w:sz="8" w:val="single"/>
              <w:bottom w:color="aaaaaa" w:space="0" w:sz="8" w:val="single"/>
              <w:right w:color="aaaaaa"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5F">
            <w:pPr>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Return on Invested Capital</w:t>
            </w:r>
          </w:p>
        </w:tc>
        <w:tc>
          <w:tcPr>
            <w:tcBorders>
              <w:top w:color="000000" w:space="0" w:sz="0" w:val="nil"/>
              <w:left w:color="000000" w:space="0" w:sz="0" w:val="nil"/>
              <w:bottom w:color="aaaaaa" w:space="0" w:sz="8" w:val="single"/>
              <w:right w:color="aaaaaa"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60">
            <w:pPr>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11.86</w:t>
            </w:r>
          </w:p>
        </w:tc>
        <w:tc>
          <w:tcPr>
            <w:tcBorders>
              <w:top w:color="000000" w:space="0" w:sz="0" w:val="nil"/>
              <w:left w:color="000000" w:space="0" w:sz="0" w:val="nil"/>
              <w:bottom w:color="aaaaaa" w:space="0" w:sz="8" w:val="single"/>
              <w:right w:color="aaaaaa"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61">
            <w:pPr>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7.02</w:t>
            </w:r>
          </w:p>
        </w:tc>
        <w:tc>
          <w:tcPr>
            <w:tcBorders>
              <w:top w:color="000000" w:space="0" w:sz="0" w:val="nil"/>
              <w:left w:color="000000" w:space="0" w:sz="0" w:val="nil"/>
              <w:bottom w:color="aaaaaa" w:space="0" w:sz="8" w:val="single"/>
              <w:right w:color="aaaaaa"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62">
            <w:pPr>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2.86</w:t>
            </w:r>
          </w:p>
        </w:tc>
        <w:tc>
          <w:tcPr>
            <w:tcBorders>
              <w:top w:color="000000" w:space="0" w:sz="0" w:val="nil"/>
              <w:left w:color="000000" w:space="0" w:sz="0" w:val="nil"/>
              <w:bottom w:color="aaaaaa" w:space="0" w:sz="8" w:val="single"/>
              <w:right w:color="aaaaaa"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63">
            <w:pPr>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11.43</w:t>
            </w:r>
          </w:p>
        </w:tc>
      </w:tr>
      <w:tr>
        <w:trPr>
          <w:cantSplit w:val="0"/>
          <w:trHeight w:val="375" w:hRule="atLeast"/>
          <w:tblHeader w:val="0"/>
        </w:trPr>
        <w:tc>
          <w:tcPr>
            <w:gridSpan w:val="5"/>
            <w:tcBorders>
              <w:top w:color="000000" w:space="0" w:sz="0" w:val="nil"/>
              <w:left w:color="aaaaaa" w:space="0" w:sz="8" w:val="single"/>
              <w:bottom w:color="aaaaaa" w:space="0" w:sz="8" w:val="single"/>
              <w:right w:color="aaaaaa" w:space="0" w:sz="8" w:val="single"/>
            </w:tcBorders>
            <w:shd w:fill="e8e8e8" w:val="clear"/>
            <w:tcMar>
              <w:top w:w="60.0" w:type="dxa"/>
              <w:left w:w="120.0" w:type="dxa"/>
              <w:bottom w:w="60.0" w:type="dxa"/>
              <w:right w:w="120.0" w:type="dxa"/>
            </w:tcMar>
            <w:vAlign w:val="top"/>
          </w:tcPr>
          <w:p w:rsidR="00000000" w:rsidDel="00000000" w:rsidP="00000000" w:rsidRDefault="00000000" w:rsidRPr="00000000" w14:paraId="00000064">
            <w:pP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Operating Efficiency</w:t>
            </w:r>
          </w:p>
        </w:tc>
      </w:tr>
      <w:tr>
        <w:trPr>
          <w:cantSplit w:val="0"/>
          <w:trHeight w:val="405" w:hRule="atLeast"/>
          <w:tblHeader w:val="0"/>
        </w:trPr>
        <w:tc>
          <w:tcPr>
            <w:tcBorders>
              <w:top w:color="000000" w:space="0" w:sz="0" w:val="nil"/>
              <w:left w:color="aaaaaa" w:space="0" w:sz="8" w:val="single"/>
              <w:bottom w:color="aaaaaa" w:space="0" w:sz="8" w:val="single"/>
              <w:right w:color="aaaaaa" w:space="0" w:sz="8" w:val="single"/>
            </w:tcBorders>
            <w:shd w:fill="f5f5f5" w:val="clear"/>
            <w:tcMar>
              <w:top w:w="80.0" w:type="dxa"/>
              <w:left w:w="100.0" w:type="dxa"/>
              <w:bottom w:w="80.0" w:type="dxa"/>
              <w:right w:w="100.0" w:type="dxa"/>
            </w:tcMar>
            <w:vAlign w:val="top"/>
          </w:tcPr>
          <w:p w:rsidR="00000000" w:rsidDel="00000000" w:rsidP="00000000" w:rsidRDefault="00000000" w:rsidRPr="00000000" w14:paraId="00000069">
            <w:pPr>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Days of Sales Outstanding</w:t>
            </w:r>
          </w:p>
        </w:tc>
        <w:tc>
          <w:tcPr>
            <w:tcBorders>
              <w:top w:color="000000" w:space="0" w:sz="0" w:val="nil"/>
              <w:left w:color="000000" w:space="0" w:sz="0" w:val="nil"/>
              <w:bottom w:color="aaaaaa" w:space="0" w:sz="8" w:val="single"/>
              <w:right w:color="aaaaaa" w:space="0" w:sz="8" w:val="single"/>
            </w:tcBorders>
            <w:shd w:fill="f5f5f5" w:val="clear"/>
            <w:tcMar>
              <w:top w:w="80.0" w:type="dxa"/>
              <w:left w:w="100.0" w:type="dxa"/>
              <w:bottom w:w="80.0" w:type="dxa"/>
              <w:right w:w="100.0" w:type="dxa"/>
            </w:tcMar>
            <w:vAlign w:val="top"/>
          </w:tcPr>
          <w:p w:rsidR="00000000" w:rsidDel="00000000" w:rsidP="00000000" w:rsidRDefault="00000000" w:rsidRPr="00000000" w14:paraId="0000006A">
            <w:pPr>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24.04</w:t>
            </w:r>
          </w:p>
        </w:tc>
        <w:tc>
          <w:tcPr>
            <w:tcBorders>
              <w:top w:color="000000" w:space="0" w:sz="0" w:val="nil"/>
              <w:left w:color="000000" w:space="0" w:sz="0" w:val="nil"/>
              <w:bottom w:color="aaaaaa" w:space="0" w:sz="8" w:val="single"/>
              <w:right w:color="aaaaaa" w:space="0" w:sz="8" w:val="single"/>
            </w:tcBorders>
            <w:shd w:fill="f5f5f5" w:val="clear"/>
            <w:tcMar>
              <w:top w:w="80.0" w:type="dxa"/>
              <w:left w:w="100.0" w:type="dxa"/>
              <w:bottom w:w="80.0" w:type="dxa"/>
              <w:right w:w="100.0" w:type="dxa"/>
            </w:tcMar>
            <w:vAlign w:val="top"/>
          </w:tcPr>
          <w:p w:rsidR="00000000" w:rsidDel="00000000" w:rsidP="00000000" w:rsidRDefault="00000000" w:rsidRPr="00000000" w14:paraId="0000006B">
            <w:pPr>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20.50</w:t>
            </w:r>
          </w:p>
        </w:tc>
        <w:tc>
          <w:tcPr>
            <w:tcBorders>
              <w:top w:color="000000" w:space="0" w:sz="0" w:val="nil"/>
              <w:left w:color="000000" w:space="0" w:sz="0" w:val="nil"/>
              <w:bottom w:color="aaaaaa" w:space="0" w:sz="8" w:val="single"/>
              <w:right w:color="aaaaaa" w:space="0" w:sz="8" w:val="single"/>
            </w:tcBorders>
            <w:shd w:fill="f5f5f5" w:val="clear"/>
            <w:tcMar>
              <w:top w:w="80.0" w:type="dxa"/>
              <w:left w:w="100.0" w:type="dxa"/>
              <w:bottom w:w="80.0" w:type="dxa"/>
              <w:right w:w="100.0" w:type="dxa"/>
            </w:tcMar>
            <w:vAlign w:val="top"/>
          </w:tcPr>
          <w:p w:rsidR="00000000" w:rsidDel="00000000" w:rsidP="00000000" w:rsidRDefault="00000000" w:rsidRPr="00000000" w14:paraId="0000006C">
            <w:pPr>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15.24</w:t>
            </w:r>
          </w:p>
        </w:tc>
        <w:tc>
          <w:tcPr>
            <w:tcBorders>
              <w:top w:color="000000" w:space="0" w:sz="0" w:val="nil"/>
              <w:left w:color="000000" w:space="0" w:sz="0" w:val="nil"/>
              <w:bottom w:color="aaaaaa" w:space="0" w:sz="8" w:val="single"/>
              <w:right w:color="aaaaaa" w:space="0" w:sz="8" w:val="single"/>
            </w:tcBorders>
            <w:shd w:fill="f5f5f5" w:val="clear"/>
            <w:tcMar>
              <w:top w:w="80.0" w:type="dxa"/>
              <w:left w:w="100.0" w:type="dxa"/>
              <w:bottom w:w="80.0" w:type="dxa"/>
              <w:right w:w="100.0" w:type="dxa"/>
            </w:tcMar>
            <w:vAlign w:val="top"/>
          </w:tcPr>
          <w:p w:rsidR="00000000" w:rsidDel="00000000" w:rsidP="00000000" w:rsidRDefault="00000000" w:rsidRPr="00000000" w14:paraId="0000006D">
            <w:pPr>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11.91</w:t>
            </w:r>
          </w:p>
        </w:tc>
      </w:tr>
      <w:tr>
        <w:trPr>
          <w:cantSplit w:val="0"/>
          <w:trHeight w:val="645" w:hRule="atLeast"/>
          <w:tblHeader w:val="0"/>
        </w:trPr>
        <w:tc>
          <w:tcPr>
            <w:tcBorders>
              <w:top w:color="000000" w:space="0" w:sz="0" w:val="nil"/>
              <w:left w:color="aaaaaa" w:space="0" w:sz="8" w:val="single"/>
              <w:bottom w:color="aaaaaa" w:space="0" w:sz="8" w:val="single"/>
              <w:right w:color="aaaaaa"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6E">
            <w:pPr>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Days of Payables Outstanding</w:t>
            </w:r>
          </w:p>
        </w:tc>
        <w:tc>
          <w:tcPr>
            <w:tcBorders>
              <w:top w:color="000000" w:space="0" w:sz="0" w:val="nil"/>
              <w:left w:color="000000" w:space="0" w:sz="0" w:val="nil"/>
              <w:bottom w:color="aaaaaa" w:space="0" w:sz="8" w:val="single"/>
              <w:right w:color="aaaaaa"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6F">
            <w:pPr>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31.80</w:t>
            </w:r>
          </w:p>
        </w:tc>
        <w:tc>
          <w:tcPr>
            <w:tcBorders>
              <w:top w:color="000000" w:space="0" w:sz="0" w:val="nil"/>
              <w:left w:color="000000" w:space="0" w:sz="0" w:val="nil"/>
              <w:bottom w:color="aaaaaa" w:space="0" w:sz="8" w:val="single"/>
              <w:right w:color="aaaaaa"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70">
            <w:pPr>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26.15</w:t>
            </w:r>
          </w:p>
        </w:tc>
        <w:tc>
          <w:tcPr>
            <w:tcBorders>
              <w:top w:color="000000" w:space="0" w:sz="0" w:val="nil"/>
              <w:left w:color="000000" w:space="0" w:sz="0" w:val="nil"/>
              <w:bottom w:color="aaaaaa" w:space="0" w:sz="8" w:val="single"/>
              <w:right w:color="aaaaaa"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71">
            <w:pPr>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19.27</w:t>
            </w:r>
          </w:p>
        </w:tc>
        <w:tc>
          <w:tcPr>
            <w:tcBorders>
              <w:top w:color="000000" w:space="0" w:sz="0" w:val="nil"/>
              <w:left w:color="000000" w:space="0" w:sz="0" w:val="nil"/>
              <w:bottom w:color="aaaaaa" w:space="0" w:sz="8" w:val="single"/>
              <w:right w:color="aaaaaa"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72">
            <w:pPr>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24.25</w:t>
            </w:r>
          </w:p>
        </w:tc>
      </w:tr>
      <w:tr>
        <w:trPr>
          <w:cantSplit w:val="0"/>
          <w:trHeight w:val="405" w:hRule="atLeast"/>
          <w:tblHeader w:val="0"/>
        </w:trPr>
        <w:tc>
          <w:tcPr>
            <w:tcBorders>
              <w:top w:color="000000" w:space="0" w:sz="0" w:val="nil"/>
              <w:left w:color="aaaaaa" w:space="0" w:sz="8" w:val="single"/>
              <w:bottom w:color="aaaaaa" w:space="0" w:sz="8" w:val="single"/>
              <w:right w:color="aaaaaa" w:space="0" w:sz="8" w:val="single"/>
            </w:tcBorders>
            <w:shd w:fill="f5f5f5" w:val="clear"/>
            <w:tcMar>
              <w:top w:w="80.0" w:type="dxa"/>
              <w:left w:w="100.0" w:type="dxa"/>
              <w:bottom w:w="80.0" w:type="dxa"/>
              <w:right w:w="100.0" w:type="dxa"/>
            </w:tcMar>
            <w:vAlign w:val="top"/>
          </w:tcPr>
          <w:p w:rsidR="00000000" w:rsidDel="00000000" w:rsidP="00000000" w:rsidRDefault="00000000" w:rsidRPr="00000000" w14:paraId="00000073">
            <w:pPr>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Net Operating Cycle</w:t>
            </w:r>
          </w:p>
        </w:tc>
        <w:tc>
          <w:tcPr>
            <w:tcBorders>
              <w:top w:color="000000" w:space="0" w:sz="0" w:val="nil"/>
              <w:left w:color="000000" w:space="0" w:sz="0" w:val="nil"/>
              <w:bottom w:color="aaaaaa" w:space="0" w:sz="8" w:val="single"/>
              <w:right w:color="aaaaaa" w:space="0" w:sz="8" w:val="single"/>
            </w:tcBorders>
            <w:shd w:fill="f5f5f5" w:val="clear"/>
            <w:tcMar>
              <w:top w:w="80.0" w:type="dxa"/>
              <w:left w:w="100.0" w:type="dxa"/>
              <w:bottom w:w="80.0" w:type="dxa"/>
              <w:right w:w="100.0" w:type="dxa"/>
            </w:tcMar>
            <w:vAlign w:val="top"/>
          </w:tcPr>
          <w:p w:rsidR="00000000" w:rsidDel="00000000" w:rsidP="00000000" w:rsidRDefault="00000000" w:rsidRPr="00000000" w14:paraId="00000074">
            <w:pPr>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20.12</w:t>
            </w:r>
          </w:p>
        </w:tc>
        <w:tc>
          <w:tcPr>
            <w:tcBorders>
              <w:top w:color="000000" w:space="0" w:sz="0" w:val="nil"/>
              <w:left w:color="000000" w:space="0" w:sz="0" w:val="nil"/>
              <w:bottom w:color="aaaaaa" w:space="0" w:sz="8" w:val="single"/>
              <w:right w:color="aaaaaa" w:space="0" w:sz="8" w:val="single"/>
            </w:tcBorders>
            <w:shd w:fill="f5f5f5" w:val="clear"/>
            <w:tcMar>
              <w:top w:w="80.0" w:type="dxa"/>
              <w:left w:w="100.0" w:type="dxa"/>
              <w:bottom w:w="80.0" w:type="dxa"/>
              <w:right w:w="100.0" w:type="dxa"/>
            </w:tcMar>
            <w:vAlign w:val="top"/>
          </w:tcPr>
          <w:p w:rsidR="00000000" w:rsidDel="00000000" w:rsidP="00000000" w:rsidRDefault="00000000" w:rsidRPr="00000000" w14:paraId="00000075">
            <w:pPr>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13.05</w:t>
            </w:r>
          </w:p>
        </w:tc>
        <w:tc>
          <w:tcPr>
            <w:tcBorders>
              <w:top w:color="000000" w:space="0" w:sz="0" w:val="nil"/>
              <w:left w:color="000000" w:space="0" w:sz="0" w:val="nil"/>
              <w:bottom w:color="aaaaaa" w:space="0" w:sz="8" w:val="single"/>
              <w:right w:color="aaaaaa" w:space="0" w:sz="8" w:val="single"/>
            </w:tcBorders>
            <w:shd w:fill="f5f5f5" w:val="clear"/>
            <w:tcMar>
              <w:top w:w="80.0" w:type="dxa"/>
              <w:left w:w="100.0" w:type="dxa"/>
              <w:bottom w:w="80.0" w:type="dxa"/>
              <w:right w:w="100.0" w:type="dxa"/>
            </w:tcMar>
            <w:vAlign w:val="top"/>
          </w:tcPr>
          <w:p w:rsidR="00000000" w:rsidDel="00000000" w:rsidP="00000000" w:rsidRDefault="00000000" w:rsidRPr="00000000" w14:paraId="00000076">
            <w:pPr>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21.39</w:t>
            </w:r>
          </w:p>
        </w:tc>
        <w:tc>
          <w:tcPr>
            <w:tcBorders>
              <w:top w:color="000000" w:space="0" w:sz="0" w:val="nil"/>
              <w:left w:color="000000" w:space="0" w:sz="0" w:val="nil"/>
              <w:bottom w:color="aaaaaa" w:space="0" w:sz="8" w:val="single"/>
              <w:right w:color="aaaaaa" w:space="0" w:sz="8" w:val="single"/>
            </w:tcBorders>
            <w:shd w:fill="f5f5f5" w:val="clear"/>
            <w:tcMar>
              <w:top w:w="80.0" w:type="dxa"/>
              <w:left w:w="100.0" w:type="dxa"/>
              <w:bottom w:w="80.0" w:type="dxa"/>
              <w:right w:w="100.0" w:type="dxa"/>
            </w:tcMar>
            <w:vAlign w:val="top"/>
          </w:tcPr>
          <w:p w:rsidR="00000000" w:rsidDel="00000000" w:rsidP="00000000" w:rsidRDefault="00000000" w:rsidRPr="00000000" w14:paraId="00000077">
            <w:pPr>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16.40</w:t>
            </w:r>
          </w:p>
        </w:tc>
      </w:tr>
      <w:tr>
        <w:trPr>
          <w:cantSplit w:val="0"/>
          <w:trHeight w:val="375" w:hRule="atLeast"/>
          <w:tblHeader w:val="0"/>
        </w:trPr>
        <w:tc>
          <w:tcPr>
            <w:gridSpan w:val="5"/>
            <w:tcBorders>
              <w:top w:color="000000" w:space="0" w:sz="0" w:val="nil"/>
              <w:left w:color="aaaaaa" w:space="0" w:sz="8" w:val="single"/>
              <w:bottom w:color="aaaaaa" w:space="0" w:sz="8" w:val="single"/>
              <w:right w:color="aaaaaa" w:space="0" w:sz="8" w:val="single"/>
            </w:tcBorders>
            <w:shd w:fill="e8e8e8" w:val="clear"/>
            <w:tcMar>
              <w:top w:w="60.0" w:type="dxa"/>
              <w:left w:w="120.0" w:type="dxa"/>
              <w:bottom w:w="60.0" w:type="dxa"/>
              <w:right w:w="120.0" w:type="dxa"/>
            </w:tcMar>
            <w:vAlign w:val="top"/>
          </w:tcPr>
          <w:p w:rsidR="00000000" w:rsidDel="00000000" w:rsidP="00000000" w:rsidRDefault="00000000" w:rsidRPr="00000000" w14:paraId="00000078">
            <w:pP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Leverage and Coverage</w:t>
            </w:r>
          </w:p>
        </w:tc>
      </w:tr>
      <w:tr>
        <w:trPr>
          <w:cantSplit w:val="0"/>
          <w:trHeight w:val="645" w:hRule="atLeast"/>
          <w:tblHeader w:val="0"/>
        </w:trPr>
        <w:tc>
          <w:tcPr>
            <w:tcBorders>
              <w:top w:color="000000" w:space="0" w:sz="0" w:val="nil"/>
              <w:left w:color="aaaaaa" w:space="0" w:sz="8" w:val="single"/>
              <w:bottom w:color="aaaaaa" w:space="0" w:sz="8" w:val="single"/>
              <w:right w:color="aaaaaa"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7D">
            <w:pPr>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Total Debt / Total Assets (%)</w:t>
            </w:r>
          </w:p>
        </w:tc>
        <w:tc>
          <w:tcPr>
            <w:tcBorders>
              <w:top w:color="000000" w:space="0" w:sz="0" w:val="nil"/>
              <w:left w:color="000000" w:space="0" w:sz="0" w:val="nil"/>
              <w:bottom w:color="aaaaaa" w:space="0" w:sz="8" w:val="single"/>
              <w:right w:color="aaaaaa"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7E">
            <w:pPr>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55.07</w:t>
            </w:r>
          </w:p>
        </w:tc>
        <w:tc>
          <w:tcPr>
            <w:tcBorders>
              <w:top w:color="000000" w:space="0" w:sz="0" w:val="nil"/>
              <w:left w:color="000000" w:space="0" w:sz="0" w:val="nil"/>
              <w:bottom w:color="aaaaaa" w:space="0" w:sz="8" w:val="single"/>
              <w:right w:color="aaaaaa"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7F">
            <w:pPr>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39.99</w:t>
            </w:r>
          </w:p>
        </w:tc>
        <w:tc>
          <w:tcPr>
            <w:tcBorders>
              <w:top w:color="000000" w:space="0" w:sz="0" w:val="nil"/>
              <w:left w:color="000000" w:space="0" w:sz="0" w:val="nil"/>
              <w:bottom w:color="aaaaaa" w:space="0" w:sz="8" w:val="single"/>
              <w:right w:color="aaaaaa"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80">
            <w:pPr>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43.32</w:t>
            </w:r>
          </w:p>
        </w:tc>
        <w:tc>
          <w:tcPr>
            <w:tcBorders>
              <w:top w:color="000000" w:space="0" w:sz="0" w:val="nil"/>
              <w:left w:color="000000" w:space="0" w:sz="0" w:val="nil"/>
              <w:bottom w:color="aaaaaa" w:space="0" w:sz="8" w:val="single"/>
              <w:right w:color="aaaaaa"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81">
            <w:pPr>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45.08</w:t>
            </w:r>
          </w:p>
        </w:tc>
      </w:tr>
      <w:tr>
        <w:trPr>
          <w:cantSplit w:val="0"/>
          <w:trHeight w:val="645" w:hRule="atLeast"/>
          <w:tblHeader w:val="0"/>
        </w:trPr>
        <w:tc>
          <w:tcPr>
            <w:tcBorders>
              <w:top w:color="000000" w:space="0" w:sz="0" w:val="nil"/>
              <w:left w:color="aaaaaa" w:space="0" w:sz="8" w:val="single"/>
              <w:bottom w:color="aaaaaa" w:space="0" w:sz="8" w:val="single"/>
              <w:right w:color="aaaaaa" w:space="0" w:sz="8" w:val="single"/>
            </w:tcBorders>
            <w:shd w:fill="f5f5f5" w:val="clear"/>
            <w:tcMar>
              <w:top w:w="80.0" w:type="dxa"/>
              <w:left w:w="100.0" w:type="dxa"/>
              <w:bottom w:w="80.0" w:type="dxa"/>
              <w:right w:w="100.0" w:type="dxa"/>
            </w:tcMar>
            <w:vAlign w:val="top"/>
          </w:tcPr>
          <w:p w:rsidR="00000000" w:rsidDel="00000000" w:rsidP="00000000" w:rsidRDefault="00000000" w:rsidRPr="00000000" w14:paraId="00000082">
            <w:pPr>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(EBITDA Capex) / Interest Expense</w:t>
            </w:r>
          </w:p>
        </w:tc>
        <w:tc>
          <w:tcPr>
            <w:tcBorders>
              <w:top w:color="000000" w:space="0" w:sz="0" w:val="nil"/>
              <w:left w:color="000000" w:space="0" w:sz="0" w:val="nil"/>
              <w:bottom w:color="aaaaaa" w:space="0" w:sz="8" w:val="single"/>
              <w:right w:color="aaaaaa" w:space="0" w:sz="8" w:val="single"/>
            </w:tcBorders>
            <w:shd w:fill="f5f5f5" w:val="clear"/>
            <w:tcMar>
              <w:top w:w="80.0" w:type="dxa"/>
              <w:left w:w="100.0" w:type="dxa"/>
              <w:bottom w:w="80.0" w:type="dxa"/>
              <w:right w:w="100.0" w:type="dxa"/>
            </w:tcMar>
            <w:vAlign w:val="top"/>
          </w:tcPr>
          <w:p w:rsidR="00000000" w:rsidDel="00000000" w:rsidP="00000000" w:rsidRDefault="00000000" w:rsidRPr="00000000" w14:paraId="00000083">
            <w:pPr>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6.32</w:t>
            </w:r>
          </w:p>
        </w:tc>
        <w:tc>
          <w:tcPr>
            <w:tcBorders>
              <w:top w:color="000000" w:space="0" w:sz="0" w:val="nil"/>
              <w:left w:color="000000" w:space="0" w:sz="0" w:val="nil"/>
              <w:bottom w:color="aaaaaa" w:space="0" w:sz="8" w:val="single"/>
              <w:right w:color="aaaaaa" w:space="0" w:sz="8" w:val="single"/>
            </w:tcBorders>
            <w:shd w:fill="f5f5f5" w:val="clear"/>
            <w:tcMar>
              <w:top w:w="80.0" w:type="dxa"/>
              <w:left w:w="100.0" w:type="dxa"/>
              <w:bottom w:w="80.0" w:type="dxa"/>
              <w:right w:w="100.0" w:type="dxa"/>
            </w:tcMar>
            <w:vAlign w:val="top"/>
          </w:tcPr>
          <w:p w:rsidR="00000000" w:rsidDel="00000000" w:rsidP="00000000" w:rsidRDefault="00000000" w:rsidRPr="00000000" w14:paraId="00000084">
            <w:pPr>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5.88</w:t>
            </w:r>
          </w:p>
        </w:tc>
        <w:tc>
          <w:tcPr>
            <w:tcBorders>
              <w:top w:color="000000" w:space="0" w:sz="0" w:val="nil"/>
              <w:left w:color="000000" w:space="0" w:sz="0" w:val="nil"/>
              <w:bottom w:color="aaaaaa" w:space="0" w:sz="8" w:val="single"/>
              <w:right w:color="aaaaaa" w:space="0" w:sz="8" w:val="single"/>
            </w:tcBorders>
            <w:shd w:fill="f5f5f5" w:val="clear"/>
            <w:tcMar>
              <w:top w:w="80.0" w:type="dxa"/>
              <w:left w:w="100.0" w:type="dxa"/>
              <w:bottom w:w="80.0" w:type="dxa"/>
              <w:right w:w="100.0" w:type="dxa"/>
            </w:tcMar>
            <w:vAlign w:val="top"/>
          </w:tcPr>
          <w:p w:rsidR="00000000" w:rsidDel="00000000" w:rsidP="00000000" w:rsidRDefault="00000000" w:rsidRPr="00000000" w14:paraId="00000085">
            <w:pPr>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2.94</w:t>
            </w:r>
          </w:p>
        </w:tc>
        <w:tc>
          <w:tcPr>
            <w:tcBorders>
              <w:top w:color="000000" w:space="0" w:sz="0" w:val="nil"/>
              <w:left w:color="000000" w:space="0" w:sz="0" w:val="nil"/>
              <w:bottom w:color="aaaaaa" w:space="0" w:sz="8" w:val="single"/>
              <w:right w:color="aaaaaa" w:space="0" w:sz="8" w:val="single"/>
            </w:tcBorders>
            <w:shd w:fill="f5f5f5" w:val="clear"/>
            <w:tcMar>
              <w:top w:w="80.0" w:type="dxa"/>
              <w:left w:w="100.0" w:type="dxa"/>
              <w:bottom w:w="80.0" w:type="dxa"/>
              <w:right w:w="100.0" w:type="dxa"/>
            </w:tcMar>
            <w:vAlign w:val="top"/>
          </w:tcPr>
          <w:p w:rsidR="00000000" w:rsidDel="00000000" w:rsidP="00000000" w:rsidRDefault="00000000" w:rsidRPr="00000000" w14:paraId="00000086">
            <w:pPr>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2.62</w:t>
            </w:r>
          </w:p>
        </w:tc>
      </w:tr>
      <w:tr>
        <w:trPr>
          <w:cantSplit w:val="0"/>
          <w:trHeight w:val="405" w:hRule="atLeast"/>
          <w:tblHeader w:val="0"/>
        </w:trPr>
        <w:tc>
          <w:tcPr>
            <w:tcBorders>
              <w:top w:color="000000" w:space="0" w:sz="0" w:val="nil"/>
              <w:left w:color="aaaaaa" w:space="0" w:sz="8" w:val="single"/>
              <w:bottom w:color="aaaaaa" w:space="0" w:sz="8" w:val="single"/>
              <w:right w:color="aaaaaa"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87">
            <w:pPr>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Net Debt / (EBITDA Capex)</w:t>
            </w:r>
          </w:p>
        </w:tc>
        <w:tc>
          <w:tcPr>
            <w:tcBorders>
              <w:top w:color="000000" w:space="0" w:sz="0" w:val="nil"/>
              <w:left w:color="000000" w:space="0" w:sz="0" w:val="nil"/>
              <w:bottom w:color="aaaaaa" w:space="0" w:sz="8" w:val="single"/>
              <w:right w:color="aaaaaa"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88">
            <w:pPr>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3.73</w:t>
            </w:r>
          </w:p>
        </w:tc>
        <w:tc>
          <w:tcPr>
            <w:tcBorders>
              <w:top w:color="000000" w:space="0" w:sz="0" w:val="nil"/>
              <w:left w:color="000000" w:space="0" w:sz="0" w:val="nil"/>
              <w:bottom w:color="aaaaaa" w:space="0" w:sz="8" w:val="single"/>
              <w:right w:color="aaaaaa"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89">
            <w:pPr>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4.11</w:t>
            </w:r>
          </w:p>
        </w:tc>
        <w:tc>
          <w:tcPr>
            <w:tcBorders>
              <w:top w:color="000000" w:space="0" w:sz="0" w:val="nil"/>
              <w:left w:color="000000" w:space="0" w:sz="0" w:val="nil"/>
              <w:bottom w:color="aaaaaa" w:space="0" w:sz="8" w:val="single"/>
              <w:right w:color="aaaaaa"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8A">
            <w:pPr>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6.76</w:t>
            </w:r>
          </w:p>
        </w:tc>
        <w:tc>
          <w:tcPr>
            <w:tcBorders>
              <w:top w:color="000000" w:space="0" w:sz="0" w:val="nil"/>
              <w:left w:color="000000" w:space="0" w:sz="0" w:val="nil"/>
              <w:bottom w:color="aaaaaa" w:space="0" w:sz="8" w:val="single"/>
              <w:right w:color="aaaaaa"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8B">
            <w:pPr>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8.81</w:t>
            </w:r>
          </w:p>
        </w:tc>
      </w:tr>
    </w:tbl>
    <w:p w:rsidR="00000000" w:rsidDel="00000000" w:rsidP="00000000" w:rsidRDefault="00000000" w:rsidRPr="00000000" w14:paraId="0000008C">
      <w:pPr>
        <w:spacing w:before="80" w:lineRule="auto"/>
        <w:rPr>
          <w:rFonts w:ascii="Times New Roman" w:cs="Times New Roman" w:eastAsia="Times New Roman" w:hAnsi="Times New Roman"/>
        </w:rPr>
      </w:pPr>
      <w:r>
        <w:rPr>
          <w:rFonts w:ascii="Times New Roman" w:cs="Times New Roman" w:eastAsia="Times New Roman" w:hAnsi="Times New Roman"/>
          <w:rtl w:val="0"/>
        </w:rPr>
        <w:t xml:space="preserve"> </w:t>
      </w:r>
    </w:p>
    <w:p w:rsidR="00000000" w:rsidDel="00000000" w:rsidP="00000000" w:rsidRDefault="00000000" w:rsidRPr="00000000" w14:paraId="0000008D">
      <w:pPr>
        <w:spacing w:after="80" w:before="80" w:lineRule="auto"/>
        <w:ind w:firstLine="20"/>
        <w:jc w:val="both"/>
        <w:rPr>
          <w:rFonts w:ascii="Times New Roman" w:cs="Times New Roman" w:eastAsia="Times New Roman" w:hAnsi="Times New Roman"/>
        </w:rPr>
      </w:pPr>
      <w:r>
        <w:rPr>
          <w:rFonts w:ascii="Times New Roman" w:cs="Times New Roman" w:eastAsia="Times New Roman" w:hAnsi="Times New Roman"/>
          <w:rtl w:val="0"/>
        </w:rPr>
        <w:t xml:space="preserve">While a multiple analysis is not ideal, a ratio analysis provides a better benchmark against competitors.</w:t>
      </w:r>
    </w:p>
    <w:p w:rsidR="00000000" w:rsidDel="00000000" w:rsidP="00000000" w:rsidRDefault="00000000" w:rsidRPr="00000000" w14:paraId="0000008E">
      <w:pPr>
        <w:spacing w:before="60" w:lineRule="auto"/>
        <w:rPr>
          <w:rFonts w:ascii="Times New Roman" w:cs="Times New Roman" w:eastAsia="Times New Roman" w:hAnsi="Times New Roman"/>
        </w:rPr>
      </w:pPr>
      <w:r>
        <w:rPr>
          <w:rFonts w:ascii="Times New Roman" w:cs="Times New Roman" w:eastAsia="Times New Roman" w:hAnsi="Times New Roman"/>
          <w:rtl w:val="0"/>
        </w:rPr>
        <w:t xml:space="preserve"> </w:t>
      </w:r>
    </w:p>
    <w:p w:rsidR="00000000" w:rsidDel="00000000" w:rsidP="00000000" w:rsidRDefault="00000000" w:rsidRPr="00000000" w14:paraId="0000008F">
      <w:pPr>
        <w:spacing w:after="80" w:before="80" w:lineRule="auto"/>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P/S:  </w:t>
      </w:r>
      <w:r>
        <w:rPr>
          <w:rFonts w:ascii="Times New Roman" w:cs="Times New Roman" w:eastAsia="Times New Roman" w:hAnsi="Times New Roman"/>
          <w:rtl w:val="0"/>
        </w:rPr>
        <w:t xml:space="preserve">The P/S ratio shows the market price relative to sales. The lower the ratio, the more it indicates there could be undervaluation. This is a useful metric considering food distributors operate on low margins. Sysco is the largest revenue-generating company and has a P/S ratio of 0.45, the second largest among the peer group. The ratio is below 1, which suggests investors may be willing to pay more. The competitors also have ratios below 1, but they are already seen as growth-oriented companies, so a mature and established company like Sysco should receive this metric as a positive signal.</w:t>
      </w:r>
    </w:p>
    <w:p w:rsidR="00000000" w:rsidDel="00000000" w:rsidP="00000000" w:rsidRDefault="00000000" w:rsidRPr="00000000" w14:paraId="00000090">
      <w:pPr>
        <w:spacing w:before="60" w:lineRule="auto"/>
        <w:rPr>
          <w:rFonts w:ascii="Times New Roman" w:cs="Times New Roman" w:eastAsia="Times New Roman" w:hAnsi="Times New Roman"/>
        </w:rPr>
      </w:pPr>
      <w:r>
        <w:rPr>
          <w:rFonts w:ascii="Times New Roman" w:cs="Times New Roman" w:eastAsia="Times New Roman" w:hAnsi="Times New Roman"/>
          <w:rtl w:val="0"/>
        </w:rPr>
        <w:t xml:space="preserve"> </w:t>
      </w:r>
    </w:p>
    <w:p w:rsidR="00000000" w:rsidDel="00000000" w:rsidP="00000000" w:rsidRDefault="00000000" w:rsidRPr="00000000" w14:paraId="00000091">
      <w:pPr>
        <w:spacing w:after="80" w:before="80" w:lineRule="auto"/>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Gross Margin, Operating Margin, and Net Margin:  </w:t>
      </w:r>
      <w:r>
        <w:rPr>
          <w:rFonts w:ascii="Times New Roman" w:cs="Times New Roman" w:eastAsia="Times New Roman" w:hAnsi="Times New Roman"/>
          <w:rtl w:val="0"/>
        </w:rPr>
        <w:t xml:space="preserve">The gross margin of SYY is 18.35%, which is above the rest, with USFD coming in second at 17.41%. This metric shows how much profit a firm retains after paying the cost of goods sold; SYY generates $0.1835 of profit for every $1 of revenue. Similarly, operating margin shows the profit retained after cost of goods sold and other operating expenses; SYY has an operating margin of 4.20%, with USFD coming in second at 3.37%. These values indicate that SYY is able to operate more efficiently. The net margin of 2.17% for SYY is also the highest among peers, and this below-the-line metric demonstrates the ability for revenue to flow through the entire income statement after all costs, including taxes and interest.</w:t>
      </w:r>
    </w:p>
    <w:p w:rsidR="00000000" w:rsidDel="00000000" w:rsidP="00000000" w:rsidRDefault="00000000" w:rsidRPr="00000000" w14:paraId="00000092">
      <w:pPr>
        <w:spacing w:before="60" w:lineRule="auto"/>
        <w:rPr>
          <w:rFonts w:ascii="Times New Roman" w:cs="Times New Roman" w:eastAsia="Times New Roman" w:hAnsi="Times New Roman"/>
        </w:rPr>
      </w:pPr>
      <w:r>
        <w:rPr>
          <w:rFonts w:ascii="Times New Roman" w:cs="Times New Roman" w:eastAsia="Times New Roman" w:hAnsi="Times New Roman"/>
          <w:rtl w:val="0"/>
        </w:rPr>
        <w:t xml:space="preserve"> </w:t>
      </w:r>
    </w:p>
    <w:p w:rsidR="00000000" w:rsidDel="00000000" w:rsidP="00000000" w:rsidRDefault="00000000" w:rsidRPr="00000000" w14:paraId="00000093">
      <w:pPr>
        <w:spacing w:after="80" w:before="80" w:lineRule="auto"/>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ROA, ROE, and ROIC:  </w:t>
      </w:r>
      <w:r>
        <w:rPr>
          <w:rFonts w:ascii="Times New Roman" w:cs="Times New Roman" w:eastAsia="Times New Roman" w:hAnsi="Times New Roman"/>
          <w:rtl w:val="0"/>
        </w:rPr>
        <w:t xml:space="preserve">Food distribution is a capital-intensive industry, so analyzing whether a company can generate profit per $1 of asset investment is key to financial stability. SYY has the highest ROA of 6.85%, while UNFI has a ROA of (1.13)%, which is likely due to the expensive technology investments the company has chosen to undertake and has not yet generated sufficient profit to cover. ROE for SYY is significantly above its competitors; however, the magnitude is inflated due to high debt levels, which reduce the equity denominator and boost the ratio outcome. Therefore, ROA is a more accurate measure in isolation. ROIC is the most comprehensive measure because it accounts for both debt and equity in relation to NOPAT, and reflects how much profit is generated for every $1 invested. A company is healthy when ROIC exceeds the cost of capital. SYY has the highest ROIC of 11.86%, against a projected WACC of 6.19%, serving as a strong efficiency and value indicator.</w:t>
      </w:r>
    </w:p>
    <w:p w:rsidR="00000000" w:rsidDel="00000000" w:rsidP="00000000" w:rsidRDefault="00000000" w:rsidRPr="00000000" w14:paraId="00000094">
      <w:pPr>
        <w:spacing w:before="60" w:lineRule="auto"/>
        <w:rPr>
          <w:rFonts w:ascii="Times New Roman" w:cs="Times New Roman" w:eastAsia="Times New Roman" w:hAnsi="Times New Roman"/>
        </w:rPr>
      </w:pPr>
      <w:r>
        <w:rPr>
          <w:rFonts w:ascii="Times New Roman" w:cs="Times New Roman" w:eastAsia="Times New Roman" w:hAnsi="Times New Roman"/>
          <w:rtl w:val="0"/>
        </w:rPr>
        <w:t xml:space="preserve"> </w:t>
      </w:r>
    </w:p>
    <w:p w:rsidR="00000000" w:rsidDel="00000000" w:rsidP="00000000" w:rsidRDefault="00000000" w:rsidRPr="00000000" w14:paraId="00000095">
      <w:pPr>
        <w:spacing w:after="80" w:before="80" w:lineRule="auto"/>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DSO, DPO, and Net Operating Cycle:  </w:t>
      </w:r>
      <w:r>
        <w:rPr>
          <w:rFonts w:ascii="Times New Roman" w:cs="Times New Roman" w:eastAsia="Times New Roman" w:hAnsi="Times New Roman"/>
          <w:rtl w:val="0"/>
        </w:rPr>
        <w:t xml:space="preserve">For an industry dealing with suppliers and customers, the operating cycle is a critical measure of efficiency and financial health. SYY has a DSO of 24.04 days and DPO of 31.80 days with a net operating cycle of 20.12 days. It is a positive signal when DPO exceeds DSO, as it indicates the company has greater purchasing power over suppliers and does not need to pay them before customers pay. The DPO to DSO spread of 7.76 days for SYY compares favorably to USFD at 5.65 days and PFGC at 4.03 days, showing a stronger position. While UNFI has a sizable spread of 12.34 days, its other ratios, including net margin, ROA, and ROE, are all negative, which outweighs the benefit of its operating cycle position.</w:t>
      </w:r>
    </w:p>
    <w:p w:rsidR="00000000" w:rsidDel="00000000" w:rsidP="00000000" w:rsidRDefault="00000000" w:rsidRPr="00000000" w14:paraId="00000096">
      <w:pPr>
        <w:spacing w:before="60" w:lineRule="auto"/>
        <w:rPr>
          <w:rFonts w:ascii="Times New Roman" w:cs="Times New Roman" w:eastAsia="Times New Roman" w:hAnsi="Times New Roman"/>
        </w:rPr>
      </w:pPr>
      <w:r>
        <w:rPr>
          <w:rFonts w:ascii="Times New Roman" w:cs="Times New Roman" w:eastAsia="Times New Roman" w:hAnsi="Times New Roman"/>
          <w:rtl w:val="0"/>
        </w:rPr>
        <w:t xml:space="preserve"> </w:t>
      </w:r>
    </w:p>
    <w:p w:rsidR="00000000" w:rsidDel="00000000" w:rsidP="00000000" w:rsidRDefault="00000000" w:rsidRPr="00000000" w14:paraId="00000097">
      <w:pPr>
        <w:spacing w:after="80" w:before="80" w:lineRule="auto"/>
        <w:jc w:val="both"/>
        <w:rPr>
          <w:rFonts w:ascii="Times New Roman" w:cs="Times New Roman" w:eastAsia="Times New Roman" w:hAnsi="Times New Roman"/>
        </w:rPr>
      </w:pPr>
      <w:r>
        <w:rPr>
          <w:rFonts w:ascii="Times New Roman" w:cs="Times New Roman" w:eastAsia="Times New Roman" w:hAnsi="Times New Roman"/>
          <w:b w:val="1"/>
          <w:bCs w:val="1"/>
          <w:rtl w:val="0"/>
        </w:rPr>
        <w:t xml:space="preserve">Leverage and Coverage:  </w:t>
      </w:r>
      <w:r>
        <w:rPr>
          <w:rFonts w:ascii="Times New Roman" w:cs="Times New Roman" w:eastAsia="Times New Roman" w:hAnsi="Times New Roman"/>
          <w:rtl w:val="0"/>
        </w:rPr>
        <w:t xml:space="preserve">SYY has a greater percentage of debt to assets than its competitors at 55.07%, compared to USFD at 39.99%, PFGC at 43.32%, and UNFI at 45.08%. While higher debt is typically seen as greater risk, SYY has the financial strength and cash flow stability to service its obligations and still generate excess returns. SYY's interest coverage ratio of 6.32x is the highest among peers, with USFD in second at 5.88x. The net debt coverage ratio of 3.73 years is also the shortest timeline to repay all debt, compared to USFD at 4.11 years, PFGC at 6.76 years, and UNFI at 8.81 years. As the Jetro acquisition brings additional debt onto the balance sheet, it is important to note that SYY has the mature cash flows and historical track record to absorb this debt load without significant risk.</w:t>
      </w:r>
    </w:p>
    <w:p w:rsidR="00000000" w:rsidDel="00000000" w:rsidP="00000000" w:rsidRDefault="00000000" w:rsidRPr="00000000" w14:paraId="00000098">
      <w:pPr>
        <w:spacing w:before="240" w:lineRule="auto"/>
        <w:rPr>
          <w:rFonts w:ascii="Times New Roman" w:cs="Times New Roman" w:eastAsia="Times New Roman" w:hAnsi="Times New Roman"/>
        </w:rPr>
      </w:pPr>
      <w:r>
        <w:rPr>
          <w:rFonts w:ascii="Times New Roman" w:cs="Times New Roman" w:eastAsia="Times New Roman" w:hAnsi="Times New Roman"/>
          <w:rtl w:val="0"/>
        </w:rPr>
        <w:t xml:space="preserve"> </w:t>
      </w:r>
    </w:p>
    <w:p w:rsidR="00000000" w:rsidDel="00000000" w:rsidP="00000000" w:rsidRDefault="00000000" w:rsidRPr="00000000" w14:paraId="00000099">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kry0ears4vlt" w:id="5"/>
      <w:bookmarkEnd w:id="5"/>
      <w:r>
        <w:rPr>
          <w:rFonts w:ascii="Times New Roman" w:cs="Times New Roman" w:eastAsia="Times New Roman" w:hAnsi="Times New Roman"/>
          <w:b w:val="1"/>
          <w:bCs w:val="1"/>
          <w:sz w:val="46"/>
          <w:szCs w:val="46"/>
          <w:rtl w:val="0"/>
        </w:rPr>
        <w:t xml:space="preserve">III.  Valuation</w:t>
      </w:r>
    </w:p>
    <w:p w:rsidR="00000000" w:rsidDel="00000000" w:rsidP="00000000" w:rsidRDefault="00000000" w:rsidRPr="00000000" w14:paraId="0000009A">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liaqwcto6nio" w:id="6"/>
      <w:bookmarkEnd w:id="6"/>
      <w:r>
        <w:rPr>
          <w:rFonts w:ascii="Times New Roman" w:cs="Times New Roman" w:eastAsia="Times New Roman" w:hAnsi="Times New Roman"/>
          <w:b w:val="1"/>
          <w:bCs w:val="1"/>
          <w:sz w:val="34"/>
          <w:szCs w:val="34"/>
          <w:rtl w:val="0"/>
        </w:rPr>
        <w:t xml:space="preserve">III.I  Valuation Methodology and Investment Thesis</w:t>
      </w:r>
    </w:p>
    <w:p w:rsidR="00000000" w:rsidDel="00000000" w:rsidP="00000000" w:rsidRDefault="00000000" w:rsidRPr="00000000" w14:paraId="0000009B">
      <w:pPr>
        <w:spacing w:after="80" w:before="80" w:lineRule="auto"/>
        <w:ind w:firstLine="20"/>
        <w:jc w:val="both"/>
        <w:rPr>
          <w:rFonts w:ascii="Times New Roman" w:cs="Times New Roman" w:eastAsia="Times New Roman" w:hAnsi="Times New Roman"/>
        </w:rPr>
      </w:pPr>
      <w:r>
        <w:rPr>
          <w:rFonts w:ascii="Times New Roman" w:cs="Times New Roman" w:eastAsia="Times New Roman" w:hAnsi="Times New Roman"/>
          <w:rtl w:val="0"/>
        </w:rPr>
        <w:t xml:space="preserve">The main valuation methodology used to find the intrinsic value of Sysco's equity value per share was a Discounted Free Cash Flow to Firm (FCFF) model, projecting key financial inputs for the five years from 2026 through 2030 and a terminal value, both discounted using the WACC. Sysco is a Dividend King with positive dividend growth for 55 consecutive years, and has also been active and consistent with treasury share buybacks. However, given Sysco's recent acquisition of Jetro and management guidance that dividend growth will be modest over the next few years, and that share buybacks will be paused to address significant acquisition debt, the free cash flow method is the best approach to capture the company's value as a stable business with significant growth driven by the Jetro acquisition.</w:t>
      </w:r>
    </w:p>
    <w:p w:rsidR="00000000" w:rsidDel="00000000" w:rsidP="00000000" w:rsidRDefault="00000000" w:rsidRPr="00000000" w14:paraId="0000009C">
      <w:pPr>
        <w:spacing w:after="80" w:before="80" w:lineRule="auto"/>
        <w:ind w:firstLine="20"/>
        <w:jc w:val="both"/>
        <w:rPr>
          <w:rFonts w:ascii="Times New Roman" w:cs="Times New Roman" w:eastAsia="Times New Roman" w:hAnsi="Times New Roman"/>
        </w:rPr>
      </w:pPr>
      <w:r>
        <w:rPr>
          <w:rFonts w:ascii="Times New Roman" w:cs="Times New Roman" w:eastAsia="Times New Roman" w:hAnsi="Times New Roman"/>
          <w:rtl w:val="0"/>
        </w:rPr>
        <w:t xml:space="preserve">The core investment thesis is that Sysco is a very stable and consistent company already holding approximately 17% of the U.S. market as a global foodservice distributor. The acquisition of Jetro will allow an already strong company to expand through its largest acquisition ever, gaining access to a completely different customer segment and creating a whole new distribution channel.</w:t>
      </w:r>
    </w:p>
    <w:p w:rsidR="00000000" w:rsidDel="00000000" w:rsidP="00000000" w:rsidRDefault="00000000" w:rsidRPr="00000000" w14:paraId="0000009D">
      <w:pPr>
        <w:spacing w:before="80" w:lineRule="auto"/>
        <w:rPr>
          <w:rFonts w:ascii="Times New Roman" w:cs="Times New Roman" w:eastAsia="Times New Roman" w:hAnsi="Times New Roman"/>
        </w:rPr>
      </w:pPr>
      <w:r>
        <w:rPr>
          <w:rFonts w:ascii="Times New Roman" w:cs="Times New Roman" w:eastAsia="Times New Roman" w:hAnsi="Times New Roman"/>
          <w:rtl w:val="0"/>
        </w:rPr>
        <w:t xml:space="preserve"> </w:t>
      </w:r>
    </w:p>
    <w:p w:rsidR="00000000" w:rsidDel="00000000" w:rsidP="00000000" w:rsidRDefault="00000000" w:rsidRPr="00000000" w14:paraId="0000009E">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pohr9izhtccz" w:id="7"/>
      <w:bookmarkEnd w:id="7"/>
      <w:r>
        <w:rPr>
          <w:rFonts w:ascii="Times New Roman" w:cs="Times New Roman" w:eastAsia="Times New Roman" w:hAnsi="Times New Roman"/>
          <w:b w:val="1"/>
          <w:bCs w:val="1"/>
          <w:sz w:val="34"/>
          <w:szCs w:val="34"/>
          <w:rtl w:val="0"/>
        </w:rPr>
        <w:t xml:space="preserve">III.II  The Jetro Acquisition</w:t>
      </w:r>
    </w:p>
    <w:p w:rsidR="00000000" w:rsidDel="00000000" w:rsidP="00000000" w:rsidRDefault="00000000" w:rsidRPr="00000000" w14:paraId="0000009F">
      <w:pPr>
        <w:spacing w:after="80" w:before="80" w:lineRule="auto"/>
        <w:ind w:firstLine="20"/>
        <w:jc w:val="both"/>
        <w:rPr>
          <w:rFonts w:ascii="Times New Roman" w:cs="Times New Roman" w:eastAsia="Times New Roman" w:hAnsi="Times New Roman"/>
        </w:rPr>
      </w:pPr>
      <w:r>
        <w:rPr>
          <w:rFonts w:ascii="Times New Roman" w:cs="Times New Roman" w:eastAsia="Times New Roman" w:hAnsi="Times New Roman"/>
          <w:rtl w:val="0"/>
        </w:rPr>
        <w:t xml:space="preserve">The Jetro acquisition is considered the key value driver for the company going forward. The full deal price is $29.1 billion, and the transaction is expected to close in 2027.</w:t>
      </w:r>
      <w:r>
        <w:rPr>
          <w:rFonts w:ascii="Times New Roman" w:cs="Times New Roman" w:eastAsia="Times New Roman" w:hAnsi="Times New Roman"/>
          <w:vertAlign w:val="superscript"/>
          <w:rtl w:val="0"/>
        </w:rPr>
        <w:t xml:space="preserve">1</w:t>
      </w:r>
      <w:r>
        <w:rPr>
          <w:rFonts w:ascii="Times New Roman" w:cs="Times New Roman" w:eastAsia="Times New Roman" w:hAnsi="Times New Roman"/>
          <w:rtl w:val="0"/>
        </w:rPr>
        <w:t xml:space="preserve"> Jetro Restaurant Depot operates in the cash and carry wholesale foodservice space, a $60 to $70 billion market that Sysco could not access before with its delivery-based model. Jetro holds an estimated 23 to 27% share of the cash and carry market.</w:t>
      </w:r>
    </w:p>
    <w:p w:rsidR="00000000" w:rsidDel="00000000" w:rsidP="00000000" w:rsidRDefault="00000000" w:rsidRPr="00000000" w14:paraId="000000A0">
      <w:pPr>
        <w:spacing w:after="80" w:before="80" w:lineRule="auto"/>
        <w:ind w:firstLine="20"/>
        <w:jc w:val="both"/>
        <w:rPr>
          <w:rFonts w:ascii="Times New Roman" w:cs="Times New Roman" w:eastAsia="Times New Roman" w:hAnsi="Times New Roman"/>
        </w:rPr>
      </w:pPr>
      <w:r>
        <w:rPr>
          <w:rFonts w:ascii="Times New Roman" w:cs="Times New Roman" w:eastAsia="Times New Roman" w:hAnsi="Times New Roman"/>
          <w:rtl w:val="0"/>
        </w:rPr>
        <w:t xml:space="preserve">Jetro operates 166 large-format warehouse stores across 35 states, serving more than 725,000 independent restaurants and foodservice operators. These are customers who prefer to hand-pick their own inventory and avoid delivery fees, largely a segment Sysco could not reach before with its existing business model. Jetro will operate as a standalone segment within Sysco, maintaining its existing operating model and leadership. Sysco and Jetro also plan to open more than 125 new locations over the next two decades.</w:t>
      </w:r>
    </w:p>
    <w:p w:rsidR="00000000" w:rsidDel="00000000" w:rsidP="00000000" w:rsidRDefault="00000000" w:rsidRPr="00000000" w14:paraId="000000A1">
      <w:pPr>
        <w:spacing w:after="80" w:before="80" w:lineRule="auto"/>
        <w:ind w:firstLine="20"/>
        <w:jc w:val="both"/>
        <w:rPr>
          <w:rFonts w:ascii="Times New Roman" w:cs="Times New Roman" w:eastAsia="Times New Roman" w:hAnsi="Times New Roman"/>
        </w:rPr>
      </w:pPr>
      <w:r>
        <w:rPr>
          <w:rFonts w:ascii="Times New Roman" w:cs="Times New Roman" w:eastAsia="Times New Roman" w:hAnsi="Times New Roman"/>
          <w:rtl w:val="0"/>
        </w:rPr>
        <w:t xml:space="preserve">Because the cash and carry model targets a different customer base than Sysco's traditional delivery service, the acquisition adds to, rather than competes with, Sysco's existing business. The deal is also expected to generate approximately $250 million in annualized net cost synergies after closing, based on company guidance.</w:t>
      </w:r>
      <w:r>
        <w:rPr>
          <w:rFonts w:ascii="Times New Roman" w:cs="Times New Roman" w:eastAsia="Times New Roman" w:hAnsi="Times New Roman"/>
          <w:vertAlign w:val="superscript"/>
          <w:rtl w:val="0"/>
        </w:rPr>
        <w:t xml:space="preserve">2</w:t>
      </w:r>
      <w:r>
        <w:rPr>
          <w:rFonts w:ascii="Times New Roman" w:cs="Times New Roman" w:eastAsia="Times New Roman" w:hAnsi="Times New Roman"/>
          <w:rtl w:val="0"/>
        </w:rPr>
        <w:t xml:space="preserve"> This is Sysco's largest acquisition by a significant margin.</w:t>
      </w:r>
    </w:p>
    <w:p w:rsidR="00000000" w:rsidDel="00000000" w:rsidP="00000000" w:rsidRDefault="00000000" w:rsidRPr="00000000" w14:paraId="000000A2">
      <w:pPr>
        <w:spacing w:before="80" w:lineRule="auto"/>
        <w:rPr>
          <w:rFonts w:ascii="Times New Roman" w:cs="Times New Roman" w:eastAsia="Times New Roman" w:hAnsi="Times New Roman"/>
        </w:rPr>
      </w:pPr>
      <w:r>
        <w:rPr>
          <w:rFonts w:ascii="Times New Roman" w:cs="Times New Roman" w:eastAsia="Times New Roman" w:hAnsi="Times New Roman"/>
          <w:rtl w:val="0"/>
        </w:rPr>
        <w:t xml:space="preserve"> </w:t>
      </w:r>
    </w:p>
    <w:p w:rsidR="00000000" w:rsidDel="00000000" w:rsidP="00000000" w:rsidRDefault="00000000" w:rsidRPr="00000000" w14:paraId="000000A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5gry0ca7d9rg" w:id="8"/>
      <w:bookmarkEnd w:id="8"/>
      <w:r>
        <w:rPr>
          <w:rFonts w:ascii="Times New Roman" w:cs="Times New Roman" w:eastAsia="Times New Roman" w:hAnsi="Times New Roman"/>
          <w:b w:val="1"/>
          <w:bCs w:val="1"/>
          <w:sz w:val="34"/>
          <w:szCs w:val="34"/>
          <w:rtl w:val="0"/>
        </w:rPr>
        <w:t xml:space="preserve">III.III  Base Case Scenario Assumptions</w:t>
      </w:r>
    </w:p>
    <w:p w:rsidR="00000000" w:rsidDel="00000000" w:rsidP="00000000" w:rsidRDefault="00000000" w:rsidRPr="00000000" w14:paraId="000000A4">
      <w:pPr>
        <w:spacing w:before="60" w:lineRule="auto"/>
        <w:rPr>
          <w:rFonts w:ascii="Times New Roman" w:cs="Times New Roman" w:eastAsia="Times New Roman" w:hAnsi="Times New Roman"/>
        </w:rPr>
      </w:pPr>
      <w:r>
        <w:rPr>
          <w:rFonts w:ascii="Times New Roman" w:cs="Times New Roman" w:eastAsia="Times New Roman" w:hAnsi="Times New Roman"/>
          <w:rtl w:val="0"/>
        </w:rPr>
        <w:t xml:space="preserve"> </w:t>
      </w:r>
    </w:p>
    <w:tbl>
      <w:tblPr>
        <w:tblStyle w:val="Table3"/>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35"/>
        <w:gridCol w:w="2355"/>
        <w:gridCol w:w="3525"/>
        <w:tblGridChange w:id="0">
          <w:tblGrid>
            <w:gridCol w:w="3435"/>
            <w:gridCol w:w="2355"/>
            <w:gridCol w:w="3525"/>
          </w:tblGrid>
        </w:tblGridChange>
      </w:tblGrid>
      <w:tr>
        <w:trPr>
          <w:cantSplit w:val="0"/>
          <w:trHeight w:val="435" w:hRule="atLeast"/>
          <w:tblHeader w:val="0"/>
        </w:trPr>
        <w:tc>
          <w:tcPr>
            <w:tcBorders>
              <w:top w:color="aaaaaa" w:space="0" w:sz="8" w:val="single"/>
              <w:left w:color="aaaaaa" w:space="0" w:sz="8" w:val="single"/>
              <w:bottom w:color="aaaaaa" w:space="0" w:sz="8" w:val="single"/>
              <w:right w:color="aaaaaa" w:space="0" w:sz="8" w:val="single"/>
            </w:tcBorders>
            <w:shd w:fill="d9d9d9" w:val="clear"/>
            <w:tcMar>
              <w:top w:w="80.0" w:type="dxa"/>
              <w:left w:w="120.0" w:type="dxa"/>
              <w:bottom w:w="80.0" w:type="dxa"/>
              <w:right w:w="120.0" w:type="dxa"/>
            </w:tcMar>
            <w:vAlign w:val="top"/>
          </w:tcPr>
          <w:p w:rsidR="00000000" w:rsidDel="00000000" w:rsidP="00000000" w:rsidRDefault="00000000" w:rsidRPr="00000000" w14:paraId="000000A5">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Assumption</w:t>
            </w:r>
          </w:p>
        </w:tc>
        <w:tc>
          <w:tcPr>
            <w:tcBorders>
              <w:top w:color="aaaaaa" w:space="0" w:sz="8" w:val="single"/>
              <w:left w:color="000000" w:space="0" w:sz="0" w:val="nil"/>
              <w:bottom w:color="aaaaaa" w:space="0" w:sz="8" w:val="single"/>
              <w:right w:color="aaaaaa" w:space="0" w:sz="8" w:val="single"/>
            </w:tcBorders>
            <w:shd w:fill="d9d9d9" w:val="clear"/>
            <w:tcMar>
              <w:top w:w="80.0" w:type="dxa"/>
              <w:left w:w="120.0" w:type="dxa"/>
              <w:bottom w:w="80.0" w:type="dxa"/>
              <w:right w:w="120.0" w:type="dxa"/>
            </w:tcMar>
            <w:vAlign w:val="top"/>
          </w:tcPr>
          <w:p w:rsidR="00000000" w:rsidDel="00000000" w:rsidP="00000000" w:rsidRDefault="00000000" w:rsidRPr="00000000" w14:paraId="000000A6">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Value</w:t>
            </w:r>
          </w:p>
        </w:tc>
        <w:tc>
          <w:tcPr>
            <w:tcBorders>
              <w:top w:color="aaaaaa" w:space="0" w:sz="8" w:val="single"/>
              <w:left w:color="000000" w:space="0" w:sz="0" w:val="nil"/>
              <w:bottom w:color="aaaaaa" w:space="0" w:sz="8" w:val="single"/>
              <w:right w:color="aaaaaa" w:space="0" w:sz="8" w:val="single"/>
            </w:tcBorders>
            <w:shd w:fill="d9d9d9" w:val="clear"/>
            <w:tcMar>
              <w:top w:w="80.0" w:type="dxa"/>
              <w:left w:w="120.0" w:type="dxa"/>
              <w:bottom w:w="80.0" w:type="dxa"/>
              <w:right w:w="120.0" w:type="dxa"/>
            </w:tcMar>
            <w:vAlign w:val="top"/>
          </w:tcPr>
          <w:p w:rsidR="00000000" w:rsidDel="00000000" w:rsidP="00000000" w:rsidRDefault="00000000" w:rsidRPr="00000000" w14:paraId="000000A7">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Basis</w:t>
            </w:r>
          </w:p>
        </w:tc>
      </w:tr>
      <w:tr>
        <w:trPr>
          <w:cantSplit w:val="0"/>
          <w:trHeight w:val="705" w:hRule="atLeast"/>
          <w:tblHeader w:val="0"/>
        </w:trPr>
        <w:tc>
          <w:tcPr>
            <w:tcBorders>
              <w:top w:color="000000" w:space="0" w:sz="0" w:val="nil"/>
              <w:left w:color="aaaaaa" w:space="0" w:sz="8" w:val="single"/>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A8">
            <w:pP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SYY Organic Sales Growth</w:t>
            </w:r>
          </w:p>
        </w:tc>
        <w:tc>
          <w:tcPr>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A9">
            <w:pPr>
              <w:rPr>
                <w:rFonts w:ascii="Times New Roman" w:cs="Times New Roman" w:eastAsia="Times New Roman" w:hAnsi="Times New Roman"/>
              </w:rPr>
            </w:pPr>
            <w:r>
              <w:rPr>
                <w:rFonts w:ascii="Times New Roman" w:cs="Times New Roman" w:eastAsia="Times New Roman" w:hAnsi="Times New Roman"/>
                <w:rtl w:val="0"/>
              </w:rPr>
              <w:t xml:space="preserve">4.0% (2026), 4.5% per year (2027 to 2030)</w:t>
            </w:r>
          </w:p>
        </w:tc>
        <w:tc>
          <w:tcPr>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AA">
            <w:pPr>
              <w:rPr>
                <w:rFonts w:ascii="Times New Roman" w:cs="Times New Roman" w:eastAsia="Times New Roman" w:hAnsi="Times New Roman"/>
              </w:rPr>
            </w:pPr>
            <w:r>
              <w:rPr>
                <w:rFonts w:ascii="Times New Roman" w:cs="Times New Roman" w:eastAsia="Times New Roman" w:hAnsi="Times New Roman"/>
                <w:rtl w:val="0"/>
              </w:rPr>
              <w:t xml:space="preserve">Management guidance of 3 to 5%</w:t>
            </w:r>
          </w:p>
        </w:tc>
      </w:tr>
      <w:tr>
        <w:trPr>
          <w:cantSplit w:val="0"/>
          <w:trHeight w:val="1740" w:hRule="atLeast"/>
          <w:tblHeader w:val="0"/>
        </w:trPr>
        <w:tc>
          <w:tcPr>
            <w:tcBorders>
              <w:top w:color="000000" w:space="0" w:sz="0" w:val="nil"/>
              <w:left w:color="aaaaaa" w:space="0" w:sz="8" w:val="single"/>
              <w:bottom w:color="aaaaaa" w:space="0" w:sz="8" w:val="single"/>
              <w:right w:color="aaaaaa"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0AB">
            <w:pP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Jetro Revenue Forecast</w:t>
            </w:r>
          </w:p>
        </w:tc>
        <w:tc>
          <w:tcPr>
            <w:tcBorders>
              <w:top w:color="000000" w:space="0" w:sz="0" w:val="nil"/>
              <w:left w:color="000000" w:space="0" w:sz="0" w:val="nil"/>
              <w:bottom w:color="aaaaaa" w:space="0" w:sz="8" w:val="single"/>
              <w:right w:color="aaaaaa"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0AC">
            <w:pPr>
              <w:rPr>
                <w:rFonts w:ascii="Times New Roman" w:cs="Times New Roman" w:eastAsia="Times New Roman" w:hAnsi="Times New Roman"/>
              </w:rPr>
            </w:pPr>
            <w:r>
              <w:rPr>
                <w:rFonts w:ascii="Times New Roman" w:cs="Times New Roman" w:eastAsia="Times New Roman" w:hAnsi="Times New Roman"/>
                <w:rtl w:val="0"/>
              </w:rPr>
              <w:t xml:space="preserve">~$8B (2027), ~$16B (2028), +4% per year (2029 to 2030)</w:t>
            </w:r>
          </w:p>
        </w:tc>
        <w:tc>
          <w:tcPr>
            <w:tcBorders>
              <w:top w:color="000000" w:space="0" w:sz="0" w:val="nil"/>
              <w:left w:color="000000" w:space="0" w:sz="0" w:val="nil"/>
              <w:bottom w:color="aaaaaa" w:space="0" w:sz="8" w:val="single"/>
              <w:right w:color="aaaaaa"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0AD">
            <w:pPr>
              <w:rPr>
                <w:rFonts w:ascii="Times New Roman" w:cs="Times New Roman" w:eastAsia="Times New Roman" w:hAnsi="Times New Roman"/>
              </w:rPr>
            </w:pPr>
            <w:r>
              <w:rPr>
                <w:rFonts w:ascii="Times New Roman" w:cs="Times New Roman" w:eastAsia="Times New Roman" w:hAnsi="Times New Roman"/>
                <w:rtl w:val="0"/>
              </w:rPr>
              <w:t xml:space="preserve">Deal expected to close Q3 2027. Revenue recognized based on Jetro's 2025 annual revenue of ~$16B. 4% growth after, per management guidance for the cash and carry channel.</w:t>
            </w:r>
          </w:p>
        </w:tc>
      </w:tr>
      <w:tr>
        <w:trPr>
          <w:cantSplit w:val="0"/>
          <w:trHeight w:val="705" w:hRule="atLeast"/>
          <w:tblHeader w:val="0"/>
        </w:trPr>
        <w:tc>
          <w:tcPr>
            <w:tcBorders>
              <w:top w:color="000000" w:space="0" w:sz="0" w:val="nil"/>
              <w:left w:color="aaaaaa" w:space="0" w:sz="8" w:val="single"/>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AE">
            <w:pP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Terminal Cash Flow Growth Rate</w:t>
            </w:r>
          </w:p>
        </w:tc>
        <w:tc>
          <w:tcPr>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AF">
            <w:pPr>
              <w:rPr>
                <w:rFonts w:ascii="Times New Roman" w:cs="Times New Roman" w:eastAsia="Times New Roman" w:hAnsi="Times New Roman"/>
              </w:rPr>
            </w:pPr>
            <w:r>
              <w:rPr>
                <w:rFonts w:ascii="Times New Roman" w:cs="Times New Roman" w:eastAsia="Times New Roman" w:hAnsi="Times New Roman"/>
                <w:rtl w:val="0"/>
              </w:rPr>
              <w:t xml:space="preserve">1.8%</w:t>
            </w:r>
          </w:p>
        </w:tc>
        <w:tc>
          <w:tcPr>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B0">
            <w:pPr>
              <w:rPr>
                <w:rFonts w:ascii="Times New Roman" w:cs="Times New Roman" w:eastAsia="Times New Roman" w:hAnsi="Times New Roman"/>
              </w:rPr>
            </w:pPr>
            <w:r>
              <w:rPr>
                <w:rFonts w:ascii="Times New Roman" w:cs="Times New Roman" w:eastAsia="Times New Roman" w:hAnsi="Times New Roman"/>
                <w:rtl w:val="0"/>
              </w:rPr>
              <w:t xml:space="preserve">U.S. GDP growth rate (CBO, 2025 to 2035)</w:t>
            </w:r>
          </w:p>
        </w:tc>
      </w:tr>
      <w:tr>
        <w:trPr>
          <w:cantSplit w:val="0"/>
          <w:trHeight w:val="705" w:hRule="atLeast"/>
          <w:tblHeader w:val="0"/>
        </w:trPr>
        <w:tc>
          <w:tcPr>
            <w:tcBorders>
              <w:top w:color="000000" w:space="0" w:sz="0" w:val="nil"/>
              <w:left w:color="aaaaaa" w:space="0" w:sz="8" w:val="single"/>
              <w:bottom w:color="aaaaaa" w:space="0" w:sz="8" w:val="single"/>
              <w:right w:color="aaaaaa"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0B1">
            <w:pP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WACC</w:t>
            </w:r>
          </w:p>
        </w:tc>
        <w:tc>
          <w:tcPr>
            <w:tcBorders>
              <w:top w:color="000000" w:space="0" w:sz="0" w:val="nil"/>
              <w:left w:color="000000" w:space="0" w:sz="0" w:val="nil"/>
              <w:bottom w:color="aaaaaa" w:space="0" w:sz="8" w:val="single"/>
              <w:right w:color="aaaaaa"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0B2">
            <w:pPr>
              <w:rPr>
                <w:rFonts w:ascii="Times New Roman" w:cs="Times New Roman" w:eastAsia="Times New Roman" w:hAnsi="Times New Roman"/>
              </w:rPr>
            </w:pPr>
            <w:r>
              <w:rPr>
                <w:rFonts w:ascii="Times New Roman" w:cs="Times New Roman" w:eastAsia="Times New Roman" w:hAnsi="Times New Roman"/>
                <w:rtl w:val="0"/>
              </w:rPr>
              <w:t xml:space="preserve">6.19%</w:t>
            </w:r>
          </w:p>
        </w:tc>
        <w:tc>
          <w:tcPr>
            <w:tcBorders>
              <w:top w:color="000000" w:space="0" w:sz="0" w:val="nil"/>
              <w:left w:color="000000" w:space="0" w:sz="0" w:val="nil"/>
              <w:bottom w:color="aaaaaa" w:space="0" w:sz="8" w:val="single"/>
              <w:right w:color="aaaaaa"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0B3">
            <w:pPr>
              <w:rPr>
                <w:rFonts w:ascii="Times New Roman" w:cs="Times New Roman" w:eastAsia="Times New Roman" w:hAnsi="Times New Roman"/>
              </w:rPr>
            </w:pPr>
            <w:r>
              <w:rPr>
                <w:rFonts w:ascii="Times New Roman" w:cs="Times New Roman" w:eastAsia="Times New Roman" w:hAnsi="Times New Roman"/>
                <w:rtl w:val="0"/>
              </w:rPr>
              <w:t xml:space="preserve">See Section IV. Discount Rate Calculations.</w:t>
            </w:r>
          </w:p>
        </w:tc>
      </w:tr>
      <w:tr>
        <w:trPr>
          <w:cantSplit w:val="0"/>
          <w:trHeight w:val="705" w:hRule="atLeast"/>
          <w:tblHeader w:val="0"/>
        </w:trPr>
        <w:tc>
          <w:tcPr>
            <w:tcBorders>
              <w:top w:color="000000" w:space="0" w:sz="0" w:val="nil"/>
              <w:left w:color="aaaaaa" w:space="0" w:sz="8" w:val="single"/>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B4">
            <w:pP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Gross COGS</w:t>
            </w:r>
          </w:p>
        </w:tc>
        <w:tc>
          <w:tcPr>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B5">
            <w:pPr>
              <w:rPr>
                <w:rFonts w:ascii="Times New Roman" w:cs="Times New Roman" w:eastAsia="Times New Roman" w:hAnsi="Times New Roman"/>
              </w:rPr>
            </w:pPr>
            <w:r>
              <w:rPr>
                <w:rFonts w:ascii="Times New Roman" w:cs="Times New Roman" w:eastAsia="Times New Roman" w:hAnsi="Times New Roman"/>
                <w:rtl w:val="0"/>
              </w:rPr>
              <w:t xml:space="preserve">~82.3%</w:t>
            </w:r>
          </w:p>
        </w:tc>
        <w:tc>
          <w:tcPr>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B6">
            <w:pPr>
              <w:rPr>
                <w:rFonts w:ascii="Times New Roman" w:cs="Times New Roman" w:eastAsia="Times New Roman" w:hAnsi="Times New Roman"/>
              </w:rPr>
            </w:pPr>
            <w:r>
              <w:rPr>
                <w:rFonts w:ascii="Times New Roman" w:cs="Times New Roman" w:eastAsia="Times New Roman" w:hAnsi="Times New Roman"/>
                <w:rtl w:val="0"/>
              </w:rPr>
              <w:t xml:space="preserve">Historical average over the past five years of actuals.</w:t>
            </w:r>
          </w:p>
        </w:tc>
      </w:tr>
      <w:tr>
        <w:trPr>
          <w:cantSplit w:val="0"/>
          <w:trHeight w:val="705" w:hRule="atLeast"/>
          <w:tblHeader w:val="0"/>
        </w:trPr>
        <w:tc>
          <w:tcPr>
            <w:tcBorders>
              <w:top w:color="000000" w:space="0" w:sz="0" w:val="nil"/>
              <w:left w:color="aaaaaa" w:space="0" w:sz="8" w:val="single"/>
              <w:bottom w:color="aaaaaa" w:space="0" w:sz="8" w:val="single"/>
              <w:right w:color="aaaaaa"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0B7">
            <w:pP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Net Cost Synergies from Acquisition</w:t>
            </w:r>
          </w:p>
        </w:tc>
        <w:tc>
          <w:tcPr>
            <w:tcBorders>
              <w:top w:color="000000" w:space="0" w:sz="0" w:val="nil"/>
              <w:left w:color="000000" w:space="0" w:sz="0" w:val="nil"/>
              <w:bottom w:color="aaaaaa" w:space="0" w:sz="8" w:val="single"/>
              <w:right w:color="aaaaaa"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0B8">
            <w:pPr>
              <w:rPr>
                <w:rFonts w:ascii="Times New Roman" w:cs="Times New Roman" w:eastAsia="Times New Roman" w:hAnsi="Times New Roman"/>
              </w:rPr>
            </w:pPr>
            <w:r>
              <w:rPr>
                <w:rFonts w:ascii="Times New Roman" w:cs="Times New Roman" w:eastAsia="Times New Roman" w:hAnsi="Times New Roman"/>
                <w:rtl w:val="0"/>
              </w:rPr>
              <w:t xml:space="preserve">$250M per year beginning 2027</w:t>
            </w:r>
          </w:p>
        </w:tc>
        <w:tc>
          <w:tcPr>
            <w:tcBorders>
              <w:top w:color="000000" w:space="0" w:sz="0" w:val="nil"/>
              <w:left w:color="000000" w:space="0" w:sz="0" w:val="nil"/>
              <w:bottom w:color="aaaaaa" w:space="0" w:sz="8" w:val="single"/>
              <w:right w:color="aaaaaa"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0B9">
            <w:pPr>
              <w:rPr>
                <w:rFonts w:ascii="Times New Roman" w:cs="Times New Roman" w:eastAsia="Times New Roman" w:hAnsi="Times New Roman"/>
              </w:rPr>
            </w:pPr>
            <w:r>
              <w:rPr>
                <w:rFonts w:ascii="Times New Roman" w:cs="Times New Roman" w:eastAsia="Times New Roman" w:hAnsi="Times New Roman"/>
                <w:rtl w:val="0"/>
              </w:rPr>
              <w:t xml:space="preserve">Company guidance from acquisition.</w:t>
            </w:r>
          </w:p>
        </w:tc>
      </w:tr>
      <w:tr>
        <w:trPr>
          <w:cantSplit w:val="0"/>
          <w:trHeight w:val="435" w:hRule="atLeast"/>
          <w:tblHeader w:val="0"/>
        </w:trPr>
        <w:tc>
          <w:tcPr>
            <w:tcBorders>
              <w:top w:color="000000" w:space="0" w:sz="0" w:val="nil"/>
              <w:left w:color="aaaaaa" w:space="0" w:sz="8" w:val="single"/>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BA">
            <w:pP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SG&amp;A (excl. depreciation)</w:t>
            </w:r>
          </w:p>
        </w:tc>
        <w:tc>
          <w:tcPr>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BB">
            <w:pPr>
              <w:rPr>
                <w:rFonts w:ascii="Times New Roman" w:cs="Times New Roman" w:eastAsia="Times New Roman" w:hAnsi="Times New Roman"/>
              </w:rPr>
            </w:pPr>
            <w:r>
              <w:rPr>
                <w:rFonts w:ascii="Times New Roman" w:cs="Times New Roman" w:eastAsia="Times New Roman" w:hAnsi="Times New Roman"/>
                <w:rtl w:val="0"/>
              </w:rPr>
              <w:t xml:space="preserve">13.0%</w:t>
            </w:r>
          </w:p>
        </w:tc>
        <w:tc>
          <w:tcPr>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BC">
            <w:pPr>
              <w:rPr>
                <w:rFonts w:ascii="Times New Roman" w:cs="Times New Roman" w:eastAsia="Times New Roman" w:hAnsi="Times New Roman"/>
              </w:rPr>
            </w:pPr>
            <w:r>
              <w:rPr>
                <w:rFonts w:ascii="Times New Roman" w:cs="Times New Roman" w:eastAsia="Times New Roman" w:hAnsi="Times New Roman"/>
                <w:rtl w:val="0"/>
              </w:rPr>
              <w:t xml:space="preserve">Historical rates</w:t>
            </w:r>
          </w:p>
        </w:tc>
      </w:tr>
      <w:tr>
        <w:trPr>
          <w:cantSplit w:val="0"/>
          <w:trHeight w:val="435" w:hRule="atLeast"/>
          <w:tblHeader w:val="0"/>
        </w:trPr>
        <w:tc>
          <w:tcPr>
            <w:tcBorders>
              <w:top w:color="000000" w:space="0" w:sz="0" w:val="nil"/>
              <w:left w:color="aaaaaa" w:space="0" w:sz="8" w:val="single"/>
              <w:bottom w:color="aaaaaa" w:space="0" w:sz="8" w:val="single"/>
              <w:right w:color="aaaaaa"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0BD">
            <w:pP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Depreciation</w:t>
            </w:r>
          </w:p>
        </w:tc>
        <w:tc>
          <w:tcPr>
            <w:tcBorders>
              <w:top w:color="000000" w:space="0" w:sz="0" w:val="nil"/>
              <w:left w:color="000000" w:space="0" w:sz="0" w:val="nil"/>
              <w:bottom w:color="aaaaaa" w:space="0" w:sz="8" w:val="single"/>
              <w:right w:color="aaaaaa"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0BE">
            <w:pPr>
              <w:rPr>
                <w:rFonts w:ascii="Times New Roman" w:cs="Times New Roman" w:eastAsia="Times New Roman" w:hAnsi="Times New Roman"/>
              </w:rPr>
            </w:pPr>
            <w:r>
              <w:rPr>
                <w:rFonts w:ascii="Times New Roman" w:cs="Times New Roman" w:eastAsia="Times New Roman" w:hAnsi="Times New Roman"/>
                <w:rtl w:val="0"/>
              </w:rPr>
              <w:t xml:space="preserve">1.3%</w:t>
            </w:r>
          </w:p>
        </w:tc>
        <w:tc>
          <w:tcPr>
            <w:tcBorders>
              <w:top w:color="000000" w:space="0" w:sz="0" w:val="nil"/>
              <w:left w:color="000000" w:space="0" w:sz="0" w:val="nil"/>
              <w:bottom w:color="aaaaaa" w:space="0" w:sz="8" w:val="single"/>
              <w:right w:color="aaaaaa"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0BF">
            <w:pPr>
              <w:rPr>
                <w:rFonts w:ascii="Times New Roman" w:cs="Times New Roman" w:eastAsia="Times New Roman" w:hAnsi="Times New Roman"/>
              </w:rPr>
            </w:pPr>
            <w:r>
              <w:rPr>
                <w:rFonts w:ascii="Times New Roman" w:cs="Times New Roman" w:eastAsia="Times New Roman" w:hAnsi="Times New Roman"/>
                <w:rtl w:val="0"/>
              </w:rPr>
              <w:t xml:space="preserve">Historical rates</w:t>
            </w:r>
          </w:p>
        </w:tc>
      </w:tr>
      <w:tr>
        <w:trPr>
          <w:cantSplit w:val="0"/>
          <w:trHeight w:val="435" w:hRule="atLeast"/>
          <w:tblHeader w:val="0"/>
        </w:trPr>
        <w:tc>
          <w:tcPr>
            <w:tcBorders>
              <w:top w:color="000000" w:space="0" w:sz="0" w:val="nil"/>
              <w:left w:color="aaaaaa" w:space="0" w:sz="8" w:val="single"/>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C0">
            <w:pP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Capex</w:t>
            </w:r>
          </w:p>
        </w:tc>
        <w:tc>
          <w:tcPr>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C1">
            <w:pPr>
              <w:rPr>
                <w:rFonts w:ascii="Times New Roman" w:cs="Times New Roman" w:eastAsia="Times New Roman" w:hAnsi="Times New Roman"/>
              </w:rPr>
            </w:pPr>
            <w:r>
              <w:rPr>
                <w:rFonts w:ascii="Times New Roman" w:cs="Times New Roman" w:eastAsia="Times New Roman" w:hAnsi="Times New Roman"/>
                <w:rtl w:val="0"/>
              </w:rPr>
              <w:t xml:space="preserve">1.1%</w:t>
            </w:r>
          </w:p>
        </w:tc>
        <w:tc>
          <w:tcPr>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C2">
            <w:pPr>
              <w:rPr>
                <w:rFonts w:ascii="Times New Roman" w:cs="Times New Roman" w:eastAsia="Times New Roman" w:hAnsi="Times New Roman"/>
              </w:rPr>
            </w:pPr>
            <w:r>
              <w:rPr>
                <w:rFonts w:ascii="Times New Roman" w:cs="Times New Roman" w:eastAsia="Times New Roman" w:hAnsi="Times New Roman"/>
                <w:rtl w:val="0"/>
              </w:rPr>
              <w:t xml:space="preserve">Historical rates</w:t>
            </w:r>
          </w:p>
        </w:tc>
      </w:tr>
      <w:tr>
        <w:trPr>
          <w:cantSplit w:val="0"/>
          <w:trHeight w:val="435" w:hRule="atLeast"/>
          <w:tblHeader w:val="0"/>
        </w:trPr>
        <w:tc>
          <w:tcPr>
            <w:tcBorders>
              <w:top w:color="000000" w:space="0" w:sz="0" w:val="nil"/>
              <w:left w:color="aaaaaa" w:space="0" w:sz="8" w:val="single"/>
              <w:bottom w:color="aaaaaa" w:space="0" w:sz="8" w:val="single"/>
              <w:right w:color="aaaaaa"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0C3">
            <w:pP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Accounts Receivable</w:t>
            </w:r>
          </w:p>
        </w:tc>
        <w:tc>
          <w:tcPr>
            <w:tcBorders>
              <w:top w:color="000000" w:space="0" w:sz="0" w:val="nil"/>
              <w:left w:color="000000" w:space="0" w:sz="0" w:val="nil"/>
              <w:bottom w:color="aaaaaa" w:space="0" w:sz="8" w:val="single"/>
              <w:right w:color="aaaaaa"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0C4">
            <w:pPr>
              <w:rPr>
                <w:rFonts w:ascii="Times New Roman" w:cs="Times New Roman" w:eastAsia="Times New Roman" w:hAnsi="Times New Roman"/>
              </w:rPr>
            </w:pPr>
            <w:r>
              <w:rPr>
                <w:rFonts w:ascii="Times New Roman" w:cs="Times New Roman" w:eastAsia="Times New Roman" w:hAnsi="Times New Roman"/>
                <w:rtl w:val="0"/>
              </w:rPr>
              <w:t xml:space="preserve">6.8%</w:t>
            </w:r>
          </w:p>
        </w:tc>
        <w:tc>
          <w:tcPr>
            <w:tcBorders>
              <w:top w:color="000000" w:space="0" w:sz="0" w:val="nil"/>
              <w:left w:color="000000" w:space="0" w:sz="0" w:val="nil"/>
              <w:bottom w:color="aaaaaa" w:space="0" w:sz="8" w:val="single"/>
              <w:right w:color="aaaaaa"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0C5">
            <w:pPr>
              <w:rPr>
                <w:rFonts w:ascii="Times New Roman" w:cs="Times New Roman" w:eastAsia="Times New Roman" w:hAnsi="Times New Roman"/>
              </w:rPr>
            </w:pPr>
            <w:r>
              <w:rPr>
                <w:rFonts w:ascii="Times New Roman" w:cs="Times New Roman" w:eastAsia="Times New Roman" w:hAnsi="Times New Roman"/>
                <w:rtl w:val="0"/>
              </w:rPr>
              <w:t xml:space="preserve">Historical rates</w:t>
            </w:r>
          </w:p>
        </w:tc>
      </w:tr>
      <w:tr>
        <w:trPr>
          <w:cantSplit w:val="0"/>
          <w:trHeight w:val="435" w:hRule="atLeast"/>
          <w:tblHeader w:val="0"/>
        </w:trPr>
        <w:tc>
          <w:tcPr>
            <w:tcBorders>
              <w:top w:color="000000" w:space="0" w:sz="0" w:val="nil"/>
              <w:left w:color="aaaaaa" w:space="0" w:sz="8" w:val="single"/>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C6">
            <w:pP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Inventory</w:t>
            </w:r>
          </w:p>
        </w:tc>
        <w:tc>
          <w:tcPr>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C7">
            <w:pPr>
              <w:rPr>
                <w:rFonts w:ascii="Times New Roman" w:cs="Times New Roman" w:eastAsia="Times New Roman" w:hAnsi="Times New Roman"/>
              </w:rPr>
            </w:pPr>
            <w:r>
              <w:rPr>
                <w:rFonts w:ascii="Times New Roman" w:cs="Times New Roman" w:eastAsia="Times New Roman" w:hAnsi="Times New Roman"/>
                <w:rtl w:val="0"/>
              </w:rPr>
              <w:t xml:space="preserve">6.2%</w:t>
            </w:r>
          </w:p>
        </w:tc>
        <w:tc>
          <w:tcPr>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C8">
            <w:pPr>
              <w:rPr>
                <w:rFonts w:ascii="Times New Roman" w:cs="Times New Roman" w:eastAsia="Times New Roman" w:hAnsi="Times New Roman"/>
              </w:rPr>
            </w:pPr>
            <w:r>
              <w:rPr>
                <w:rFonts w:ascii="Times New Roman" w:cs="Times New Roman" w:eastAsia="Times New Roman" w:hAnsi="Times New Roman"/>
                <w:rtl w:val="0"/>
              </w:rPr>
              <w:t xml:space="preserve">Historical rates</w:t>
            </w:r>
          </w:p>
        </w:tc>
      </w:tr>
      <w:tr>
        <w:trPr>
          <w:cantSplit w:val="0"/>
          <w:trHeight w:val="435" w:hRule="atLeast"/>
          <w:tblHeader w:val="0"/>
        </w:trPr>
        <w:tc>
          <w:tcPr>
            <w:tcBorders>
              <w:top w:color="000000" w:space="0" w:sz="0" w:val="nil"/>
              <w:left w:color="aaaaaa" w:space="0" w:sz="8" w:val="single"/>
              <w:bottom w:color="aaaaaa" w:space="0" w:sz="8" w:val="single"/>
              <w:right w:color="aaaaaa"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0C9">
            <w:pP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Other Current Assets</w:t>
            </w:r>
          </w:p>
        </w:tc>
        <w:tc>
          <w:tcPr>
            <w:tcBorders>
              <w:top w:color="000000" w:space="0" w:sz="0" w:val="nil"/>
              <w:left w:color="000000" w:space="0" w:sz="0" w:val="nil"/>
              <w:bottom w:color="aaaaaa" w:space="0" w:sz="8" w:val="single"/>
              <w:right w:color="aaaaaa"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0CA">
            <w:pPr>
              <w:rPr>
                <w:rFonts w:ascii="Times New Roman" w:cs="Times New Roman" w:eastAsia="Times New Roman" w:hAnsi="Times New Roman"/>
              </w:rPr>
            </w:pPr>
            <w:r>
              <w:rPr>
                <w:rFonts w:ascii="Times New Roman" w:cs="Times New Roman" w:eastAsia="Times New Roman" w:hAnsi="Times New Roman"/>
                <w:rtl w:val="0"/>
              </w:rPr>
              <w:t xml:space="preserve">0.42%</w:t>
            </w:r>
          </w:p>
        </w:tc>
        <w:tc>
          <w:tcPr>
            <w:tcBorders>
              <w:top w:color="000000" w:space="0" w:sz="0" w:val="nil"/>
              <w:left w:color="000000" w:space="0" w:sz="0" w:val="nil"/>
              <w:bottom w:color="aaaaaa" w:space="0" w:sz="8" w:val="single"/>
              <w:right w:color="aaaaaa"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0CB">
            <w:pPr>
              <w:rPr>
                <w:rFonts w:ascii="Times New Roman" w:cs="Times New Roman" w:eastAsia="Times New Roman" w:hAnsi="Times New Roman"/>
              </w:rPr>
            </w:pPr>
            <w:r>
              <w:rPr>
                <w:rFonts w:ascii="Times New Roman" w:cs="Times New Roman" w:eastAsia="Times New Roman" w:hAnsi="Times New Roman"/>
                <w:rtl w:val="0"/>
              </w:rPr>
              <w:t xml:space="preserve">Historical rates</w:t>
            </w:r>
          </w:p>
        </w:tc>
      </w:tr>
      <w:tr>
        <w:trPr>
          <w:cantSplit w:val="0"/>
          <w:trHeight w:val="435" w:hRule="atLeast"/>
          <w:tblHeader w:val="0"/>
        </w:trPr>
        <w:tc>
          <w:tcPr>
            <w:tcBorders>
              <w:top w:color="000000" w:space="0" w:sz="0" w:val="nil"/>
              <w:left w:color="aaaaaa" w:space="0" w:sz="8" w:val="single"/>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CC">
            <w:pP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Accounts Payable</w:t>
            </w:r>
          </w:p>
        </w:tc>
        <w:tc>
          <w:tcPr>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CD">
            <w:pPr>
              <w:rPr>
                <w:rFonts w:ascii="Times New Roman" w:cs="Times New Roman" w:eastAsia="Times New Roman" w:hAnsi="Times New Roman"/>
              </w:rPr>
            </w:pPr>
            <w:r>
              <w:rPr>
                <w:rFonts w:ascii="Times New Roman" w:cs="Times New Roman" w:eastAsia="Times New Roman" w:hAnsi="Times New Roman"/>
                <w:rtl w:val="0"/>
              </w:rPr>
              <w:t xml:space="preserve">7.96%</w:t>
            </w:r>
          </w:p>
        </w:tc>
        <w:tc>
          <w:tcPr>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CE">
            <w:pPr>
              <w:rPr>
                <w:rFonts w:ascii="Times New Roman" w:cs="Times New Roman" w:eastAsia="Times New Roman" w:hAnsi="Times New Roman"/>
              </w:rPr>
            </w:pPr>
            <w:r>
              <w:rPr>
                <w:rFonts w:ascii="Times New Roman" w:cs="Times New Roman" w:eastAsia="Times New Roman" w:hAnsi="Times New Roman"/>
                <w:rtl w:val="0"/>
              </w:rPr>
              <w:t xml:space="preserve">Historical rates</w:t>
            </w:r>
          </w:p>
        </w:tc>
      </w:tr>
      <w:tr>
        <w:trPr>
          <w:cantSplit w:val="0"/>
          <w:trHeight w:val="435" w:hRule="atLeast"/>
          <w:tblHeader w:val="0"/>
        </w:trPr>
        <w:tc>
          <w:tcPr>
            <w:tcBorders>
              <w:top w:color="000000" w:space="0" w:sz="0" w:val="nil"/>
              <w:left w:color="aaaaaa" w:space="0" w:sz="8" w:val="single"/>
              <w:bottom w:color="aaaaaa" w:space="0" w:sz="8" w:val="single"/>
              <w:right w:color="aaaaaa"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0CF">
            <w:pP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Other Current Liabilities</w:t>
            </w:r>
          </w:p>
        </w:tc>
        <w:tc>
          <w:tcPr>
            <w:tcBorders>
              <w:top w:color="000000" w:space="0" w:sz="0" w:val="nil"/>
              <w:left w:color="000000" w:space="0" w:sz="0" w:val="nil"/>
              <w:bottom w:color="aaaaaa" w:space="0" w:sz="8" w:val="single"/>
              <w:right w:color="aaaaaa"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0D0">
            <w:pPr>
              <w:rPr>
                <w:rFonts w:ascii="Times New Roman" w:cs="Times New Roman" w:eastAsia="Times New Roman" w:hAnsi="Times New Roman"/>
              </w:rPr>
            </w:pPr>
            <w:r>
              <w:rPr>
                <w:rFonts w:ascii="Times New Roman" w:cs="Times New Roman" w:eastAsia="Times New Roman" w:hAnsi="Times New Roman"/>
                <w:rtl w:val="0"/>
              </w:rPr>
              <w:t xml:space="preserve">3.0%</w:t>
            </w:r>
          </w:p>
        </w:tc>
        <w:tc>
          <w:tcPr>
            <w:tcBorders>
              <w:top w:color="000000" w:space="0" w:sz="0" w:val="nil"/>
              <w:left w:color="000000" w:space="0" w:sz="0" w:val="nil"/>
              <w:bottom w:color="aaaaaa" w:space="0" w:sz="8" w:val="single"/>
              <w:right w:color="aaaaaa"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0D1">
            <w:pPr>
              <w:rPr>
                <w:rFonts w:ascii="Times New Roman" w:cs="Times New Roman" w:eastAsia="Times New Roman" w:hAnsi="Times New Roman"/>
              </w:rPr>
            </w:pPr>
            <w:r>
              <w:rPr>
                <w:rFonts w:ascii="Times New Roman" w:cs="Times New Roman" w:eastAsia="Times New Roman" w:hAnsi="Times New Roman"/>
                <w:rtl w:val="0"/>
              </w:rPr>
              <w:t xml:space="preserve">Historical rates</w:t>
            </w:r>
          </w:p>
        </w:tc>
      </w:tr>
      <w:tr>
        <w:trPr>
          <w:cantSplit w:val="0"/>
          <w:trHeight w:val="435" w:hRule="atLeast"/>
          <w:tblHeader w:val="0"/>
        </w:trPr>
        <w:tc>
          <w:tcPr>
            <w:tcBorders>
              <w:top w:color="000000" w:space="0" w:sz="0" w:val="nil"/>
              <w:left w:color="aaaaaa" w:space="0" w:sz="8" w:val="single"/>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D2">
            <w:pP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Tax Rate</w:t>
            </w:r>
          </w:p>
        </w:tc>
        <w:tc>
          <w:tcPr>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D3">
            <w:pPr>
              <w:rPr>
                <w:rFonts w:ascii="Times New Roman" w:cs="Times New Roman" w:eastAsia="Times New Roman" w:hAnsi="Times New Roman"/>
              </w:rPr>
            </w:pPr>
            <w:r>
              <w:rPr>
                <w:rFonts w:ascii="Times New Roman" w:cs="Times New Roman" w:eastAsia="Times New Roman" w:hAnsi="Times New Roman"/>
                <w:rtl w:val="0"/>
              </w:rPr>
              <w:t xml:space="preserve">24.0%</w:t>
            </w:r>
          </w:p>
        </w:tc>
        <w:tc>
          <w:tcPr>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D4">
            <w:pPr>
              <w:rPr>
                <w:rFonts w:ascii="Times New Roman" w:cs="Times New Roman" w:eastAsia="Times New Roman" w:hAnsi="Times New Roman"/>
              </w:rPr>
            </w:pPr>
            <w:r>
              <w:rPr>
                <w:rFonts w:ascii="Times New Roman" w:cs="Times New Roman" w:eastAsia="Times New Roman" w:hAnsi="Times New Roman"/>
                <w:rtl w:val="0"/>
              </w:rPr>
              <w:t xml:space="preserve">Per Sysco annual report</w:t>
            </w:r>
          </w:p>
        </w:tc>
      </w:tr>
    </w:tbl>
    <w:p w:rsidR="00000000" w:rsidDel="00000000" w:rsidP="00000000" w:rsidRDefault="00000000" w:rsidRPr="00000000" w14:paraId="000000D5">
      <w:pPr>
        <w:spacing w:before="80" w:lineRule="auto"/>
        <w:rPr>
          <w:rFonts w:ascii="Times New Roman" w:cs="Times New Roman" w:eastAsia="Times New Roman" w:hAnsi="Times New Roman"/>
        </w:rPr>
      </w:pPr>
      <w:r>
        <w:rPr>
          <w:rFonts w:ascii="Times New Roman" w:cs="Times New Roman" w:eastAsia="Times New Roman" w:hAnsi="Times New Roman"/>
          <w:rtl w:val="0"/>
        </w:rPr>
        <w:t xml:space="preserve"> </w:t>
      </w:r>
    </w:p>
    <w:p w:rsidR="00000000" w:rsidDel="00000000" w:rsidP="00000000" w:rsidRDefault="00000000" w:rsidRPr="00000000" w14:paraId="000000D6">
      <w:pPr>
        <w:spacing w:after="80" w:before="80" w:lineRule="auto"/>
        <w:ind w:firstLine="20"/>
        <w:jc w:val="both"/>
        <w:rPr>
          <w:rFonts w:ascii="Times New Roman" w:cs="Times New Roman" w:eastAsia="Times New Roman" w:hAnsi="Times New Roman"/>
        </w:rPr>
      </w:pPr>
      <w:r>
        <w:rPr>
          <w:rFonts w:ascii="Times New Roman" w:cs="Times New Roman" w:eastAsia="Times New Roman" w:hAnsi="Times New Roman"/>
          <w:rtl w:val="0"/>
        </w:rPr>
        <w:t xml:space="preserve">A breakdown of Sysco's organic sales growth and Jetro sales growth was used to forecast total revenue for each year. A percent of sales and percent growth forecasting method was then used to project other relevant income statement and balance sheet items that affect free cash flow. Gross cost of goods sold is estimated as a percent of sales, and estimated synergy savings from the acquisition are added back to reflect the net cost of goods sold going forward from the acquisition.</w:t>
      </w:r>
    </w:p>
    <w:p w:rsidR="00000000" w:rsidDel="00000000" w:rsidP="00000000" w:rsidRDefault="00000000" w:rsidRPr="00000000" w14:paraId="000000D7">
      <w:pPr>
        <w:spacing w:after="80" w:before="80" w:lineRule="auto"/>
        <w:ind w:firstLine="20"/>
        <w:jc w:val="both"/>
        <w:rPr>
          <w:rFonts w:ascii="Times New Roman" w:cs="Times New Roman" w:eastAsia="Times New Roman" w:hAnsi="Times New Roman"/>
        </w:rPr>
      </w:pPr>
      <w:r>
        <w:rPr>
          <w:rFonts w:ascii="Times New Roman" w:cs="Times New Roman" w:eastAsia="Times New Roman" w:hAnsi="Times New Roman"/>
          <w:rtl w:val="0"/>
        </w:rPr>
        <w:t xml:space="preserve">Analysis of principal product categories (% of sales) and sales type by customer (% of sales) over the past five years shows significant stability with no meaningful growth in any individual segment. This is why organic growth was not forecast based on individual SYY segments. Instead, SYY organic sales growth was forecast based on management guidance of approximately 3 to 5%, using 4.0% for 2026 and 4.5% for 2027 through 2030. Management guidance was used as a conservative estimate given Sysco's position already dominating 17% of the market, which does not suggest significant organic growth outside of acquisitions.</w:t>
      </w:r>
    </w:p>
    <w:p w:rsidR="00000000" w:rsidDel="00000000" w:rsidP="00000000" w:rsidRDefault="00000000" w:rsidRPr="00000000" w14:paraId="000000D8">
      <w:pPr>
        <w:spacing w:before="80" w:lineRule="auto"/>
        <w:rPr>
          <w:rFonts w:ascii="Times New Roman" w:cs="Times New Roman" w:eastAsia="Times New Roman" w:hAnsi="Times New Roman"/>
        </w:rPr>
      </w:pPr>
      <w:r>
        <w:rPr>
          <w:rFonts w:ascii="Times New Roman" w:cs="Times New Roman" w:eastAsia="Times New Roman" w:hAnsi="Times New Roman"/>
          <w:rtl w:val="0"/>
        </w:rPr>
        <w:t xml:space="preserve"> </w:t>
      </w:r>
    </w:p>
    <w:p w:rsidR="00000000" w:rsidDel="00000000" w:rsidP="00000000" w:rsidRDefault="00000000" w:rsidRPr="00000000" w14:paraId="000000D9">
      <w:pPr>
        <w:spacing w:after="120" w:before="60" w:lineRule="auto"/>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Figure 1  Sysco Corporation: Sales by Type of Customer (% of Sales)</w:t>
      </w:r>
    </w:p>
    <w:p w:rsidR="00000000" w:rsidDel="00000000" w:rsidP="00000000" w:rsidRDefault="00000000" w:rsidRPr="00000000" w14:paraId="000000DA">
      <w:pPr>
        <w:spacing w:after="60" w:before="120" w:lineRule="auto"/>
        <w:jc w:val="center"/>
        <w:rPr>
          <w:rFonts w:ascii="Times New Roman" w:cs="Times New Roman" w:eastAsia="Times New Roman" w:hAnsi="Times New Roman"/>
          <w:b w:val="1"/>
          <w:bCs w:val="1"/>
        </w:rPr>
      </w:pPr>
      <w:r>
        <w:rPr>
          <w:rFonts w:ascii="Times New Roman" w:cs="Times New Roman" w:eastAsia="Times New Roman" w:hAnsi="Times New Roman"/>
          <w:b w:val="1"/>
          <w:bCs w:val="1"/>
        </w:rPr>
        <w:drawing>
          <wp:inline distB="114300" distT="114300" distL="114300" distR="114300">
            <wp:extent cx="3175000" cy="1841500"/>
            <wp:effectExtent b="0" l="0" r="0" t="0"/>
            <wp:docPr id="3"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3175000" cy="1841500"/>
                    </a:xfrm>
                    <a:prstGeom prst="rect"/>
                    <a:ln/>
                  </pic:spPr>
                </pic:pic>
              </a:graphicData>
            </a:graphic>
          </wp:inline>
        </w:drawing>
      </w:r>
      <w:r>
        <w:rPr>
          <w:rtl w:val="0"/>
        </w:rPr>
      </w:r>
    </w:p>
    <w:p w:rsidR="00000000" w:rsidDel="00000000" w:rsidP="00000000" w:rsidRDefault="00000000" w:rsidRPr="00000000" w14:paraId="000000DB">
      <w:pPr>
        <w:spacing w:after="60" w:before="12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 </w:t>
      </w:r>
    </w:p>
    <w:p w:rsidR="00000000" w:rsidDel="00000000" w:rsidP="00000000" w:rsidRDefault="00000000" w:rsidRPr="00000000" w14:paraId="000000DC">
      <w:pPr>
        <w:spacing w:before="40" w:lineRule="auto"/>
        <w:ind w:firstLine="20"/>
        <w:rPr>
          <w:rFonts w:ascii="Times New Roman" w:cs="Times New Roman" w:eastAsia="Times New Roman" w:hAnsi="Times New Roman"/>
          <w:b w:val="1"/>
          <w:bCs w:val="1"/>
        </w:rPr>
      </w:pPr>
      <w:r>
        <w:rPr>
          <w:rFonts w:ascii="Times New Roman" w:cs="Times New Roman" w:eastAsia="Times New Roman" w:hAnsi="Times New Roman"/>
          <w:rtl w:val="0"/>
        </w:rPr>
        <w:t xml:space="preserve"> </w:t>
        <w:tab/>
      </w:r>
      <w:r>
        <w:rPr>
          <w:rFonts w:ascii="Times New Roman" w:cs="Times New Roman" w:eastAsia="Times New Roman" w:hAnsi="Times New Roman"/>
          <w:b w:val="1"/>
          <w:bCs w:val="1"/>
          <w:rtl w:val="0"/>
        </w:rPr>
        <w:t xml:space="preserve">Figure 2  Sysco Corporation: Principal Product Categories (% of Sales)</w:t>
      </w:r>
    </w:p>
    <w:p w:rsidR="00000000" w:rsidDel="00000000" w:rsidP="00000000" w:rsidRDefault="00000000" w:rsidRPr="00000000" w14:paraId="000000DD">
      <w:pPr>
        <w:spacing w:after="160" w:lineRule="auto"/>
        <w:jc w:val="center"/>
        <w:rPr>
          <w:rFonts w:ascii="Times New Roman" w:cs="Times New Roman" w:eastAsia="Times New Roman" w:hAnsi="Times New Roman"/>
          <w:b w:val="1"/>
          <w:bCs w:val="1"/>
        </w:rPr>
      </w:pPr>
      <w:r>
        <w:rPr>
          <w:rFonts w:ascii="Times New Roman" w:cs="Times New Roman" w:eastAsia="Times New Roman" w:hAnsi="Times New Roman"/>
          <w:b w:val="1"/>
          <w:bCs w:val="1"/>
        </w:rPr>
        <w:drawing>
          <wp:inline distB="114300" distT="114300" distL="114300" distR="114300">
            <wp:extent cx="3670300" cy="1879600"/>
            <wp:effectExtent b="0" l="0" r="0" t="0"/>
            <wp:docPr id="4"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3670300" cy="1879600"/>
                    </a:xfrm>
                    <a:prstGeom prst="rect"/>
                    <a:ln/>
                  </pic:spPr>
                </pic:pic>
              </a:graphicData>
            </a:graphic>
          </wp:inline>
        </w:drawing>
      </w:r>
      <w:r>
        <w:rPr>
          <w:rtl w:val="0"/>
        </w:rPr>
      </w:r>
    </w:p>
    <w:p w:rsidR="00000000" w:rsidDel="00000000" w:rsidP="00000000" w:rsidRDefault="00000000" w:rsidRPr="00000000" w14:paraId="000000DE">
      <w:pPr>
        <w:spacing w:before="80" w:lineRule="auto"/>
        <w:rPr>
          <w:rFonts w:ascii="Times New Roman" w:cs="Times New Roman" w:eastAsia="Times New Roman" w:hAnsi="Times New Roman"/>
        </w:rPr>
      </w:pPr>
      <w:r>
        <w:rPr>
          <w:rFonts w:ascii="Times New Roman" w:cs="Times New Roman" w:eastAsia="Times New Roman" w:hAnsi="Times New Roman"/>
          <w:rtl w:val="0"/>
        </w:rPr>
        <w:t xml:space="preserve"> </w:t>
      </w:r>
    </w:p>
    <w:p w:rsidR="00000000" w:rsidDel="00000000" w:rsidP="00000000" w:rsidRDefault="00000000" w:rsidRPr="00000000" w14:paraId="000000DF">
      <w:pPr>
        <w:spacing w:after="80" w:before="80" w:lineRule="auto"/>
        <w:ind w:firstLine="20"/>
        <w:jc w:val="both"/>
        <w:rPr>
          <w:rFonts w:ascii="Times New Roman" w:cs="Times New Roman" w:eastAsia="Times New Roman" w:hAnsi="Times New Roman"/>
        </w:rPr>
      </w:pPr>
      <w:r>
        <w:rPr>
          <w:rFonts w:ascii="Times New Roman" w:cs="Times New Roman" w:eastAsia="Times New Roman" w:hAnsi="Times New Roman"/>
          <w:rtl w:val="0"/>
        </w:rPr>
        <w:t xml:space="preserve">For the Jetro revenue forecast, the deal is expected to close by Q3 2027, so approximately half of Jetro's expected annual revenue (~$8 billion) is recognized in 2027. 2028 is the first full year of full Jetro revenue consolidation (~$16 billion). Revenue is then grown at 4% per year for 2029 and 2030, based on management guidance for the cash and carry channel. The terminal value perpetuity method uses a terminal growth rate of 1.8%, based on the CBO's Budget and Economic Outlook: 2025 to 2035 U.S. GDP growth rate.</w:t>
      </w:r>
      <w:r>
        <w:rPr>
          <w:rFonts w:ascii="Times New Roman" w:cs="Times New Roman" w:eastAsia="Times New Roman" w:hAnsi="Times New Roman"/>
          <w:vertAlign w:val="superscript"/>
          <w:rtl w:val="0"/>
        </w:rPr>
        <w:t xml:space="preserve">3</w:t>
      </w:r>
      <w:r>
        <w:rPr>
          <w:rFonts w:ascii="Times New Roman" w:cs="Times New Roman" w:eastAsia="Times New Roman" w:hAnsi="Times New Roman"/>
          <w:rtl w:val="0"/>
        </w:rPr>
        <w:t xml:space="preserve"> Even if SYY grows stably at the minimum of the U.S. GDP growth rate in perpetuity, the model still shows significant upside.</w:t>
      </w:r>
    </w:p>
    <w:p w:rsidR="00000000" w:rsidDel="00000000" w:rsidP="00000000" w:rsidRDefault="00000000" w:rsidRPr="00000000" w14:paraId="000000E0">
      <w:pPr>
        <w:spacing w:before="80" w:lineRule="auto"/>
        <w:rPr>
          <w:rFonts w:ascii="Times New Roman" w:cs="Times New Roman" w:eastAsia="Times New Roman" w:hAnsi="Times New Roman"/>
        </w:rPr>
      </w:pPr>
      <w:r>
        <w:rPr>
          <w:rFonts w:ascii="Times New Roman" w:cs="Times New Roman" w:eastAsia="Times New Roman" w:hAnsi="Times New Roman"/>
          <w:rtl w:val="0"/>
        </w:rPr>
        <w:t xml:space="preserve"> </w:t>
      </w:r>
    </w:p>
    <w:p w:rsidR="00000000" w:rsidDel="00000000" w:rsidP="00000000" w:rsidRDefault="00000000" w:rsidRPr="00000000" w14:paraId="000000E1">
      <w:pPr>
        <w:spacing w:after="60" w:before="80" w:lineRule="auto"/>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Table 3  Base Case Valuation Output</w:t>
      </w:r>
    </w:p>
    <w:tbl>
      <w:tblPr>
        <w:tblStyle w:val="Table4"/>
        <w:tblW w:w="9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5"/>
        <w:gridCol w:w="3045"/>
        <w:gridCol w:w="3090"/>
        <w:tblGridChange w:id="0">
          <w:tblGrid>
            <w:gridCol w:w="3165"/>
            <w:gridCol w:w="3045"/>
            <w:gridCol w:w="3090"/>
          </w:tblGrid>
        </w:tblGridChange>
      </w:tblGrid>
      <w:tr>
        <w:trPr>
          <w:cantSplit w:val="0"/>
          <w:trHeight w:val="450" w:hRule="atLeast"/>
          <w:tblHeader w:val="0"/>
        </w:trPr>
        <w:tc>
          <w:tcPr>
            <w:tcBorders>
              <w:top w:color="aaaaaa" w:space="0" w:sz="8" w:val="single"/>
              <w:left w:color="aaaaaa" w:space="0" w:sz="8" w:val="single"/>
              <w:bottom w:color="aaaaaa" w:space="0" w:sz="8" w:val="single"/>
              <w:right w:color="aaaaaa" w:space="0" w:sz="8" w:val="single"/>
            </w:tcBorders>
            <w:shd w:fill="d9d9d9" w:val="clear"/>
            <w:tcMar>
              <w:top w:w="80.0" w:type="dxa"/>
              <w:left w:w="120.0" w:type="dxa"/>
              <w:bottom w:w="80.0" w:type="dxa"/>
              <w:right w:w="120.0" w:type="dxa"/>
            </w:tcMar>
            <w:vAlign w:val="top"/>
          </w:tcPr>
          <w:p w:rsidR="00000000" w:rsidDel="00000000" w:rsidP="00000000" w:rsidRDefault="00000000" w:rsidRPr="00000000" w14:paraId="000000E2">
            <w:pPr>
              <w:jc w:val="center"/>
              <w:rPr>
                <w:rFonts w:ascii="Times New Roman" w:cs="Times New Roman" w:eastAsia="Times New Roman" w:hAnsi="Times New Roman"/>
              </w:rPr>
            </w:pPr>
            <w:r>
              <w:rPr>
                <w:rFonts w:ascii="Times New Roman" w:cs="Times New Roman" w:eastAsia="Times New Roman" w:hAnsi="Times New Roman"/>
                <w:rtl w:val="0"/>
              </w:rPr>
              <w:t xml:space="preserve"> </w:t>
            </w:r>
          </w:p>
        </w:tc>
        <w:tc>
          <w:tcPr>
            <w:tcBorders>
              <w:top w:color="aaaaaa" w:space="0" w:sz="8" w:val="single"/>
              <w:left w:color="000000" w:space="0" w:sz="0" w:val="nil"/>
              <w:bottom w:color="aaaaaa" w:space="0" w:sz="8" w:val="single"/>
              <w:right w:color="aaaaaa" w:space="0" w:sz="8" w:val="single"/>
            </w:tcBorders>
            <w:shd w:fill="d9d9d9" w:val="clear"/>
            <w:tcMar>
              <w:top w:w="80.0" w:type="dxa"/>
              <w:left w:w="120.0" w:type="dxa"/>
              <w:bottom w:w="80.0" w:type="dxa"/>
              <w:right w:w="120.0" w:type="dxa"/>
            </w:tcMar>
            <w:vAlign w:val="top"/>
          </w:tcPr>
          <w:p w:rsidR="00000000" w:rsidDel="00000000" w:rsidP="00000000" w:rsidRDefault="00000000" w:rsidRPr="00000000" w14:paraId="000000E3">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Perpetuity Growth Method</w:t>
            </w:r>
          </w:p>
        </w:tc>
        <w:tc>
          <w:tcPr>
            <w:tcBorders>
              <w:top w:color="aaaaaa" w:space="0" w:sz="8" w:val="single"/>
              <w:left w:color="000000" w:space="0" w:sz="0" w:val="nil"/>
              <w:bottom w:color="aaaaaa" w:space="0" w:sz="8" w:val="single"/>
              <w:right w:color="aaaaaa" w:space="0" w:sz="8" w:val="single"/>
            </w:tcBorders>
            <w:shd w:fill="d9d9d9" w:val="clear"/>
            <w:tcMar>
              <w:top w:w="80.0" w:type="dxa"/>
              <w:left w:w="120.0" w:type="dxa"/>
              <w:bottom w:w="80.0" w:type="dxa"/>
              <w:right w:w="120.0" w:type="dxa"/>
            </w:tcMar>
            <w:vAlign w:val="top"/>
          </w:tcPr>
          <w:p w:rsidR="00000000" w:rsidDel="00000000" w:rsidP="00000000" w:rsidRDefault="00000000" w:rsidRPr="00000000" w14:paraId="000000E4">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Exit EV/EBITDA Multiple</w:t>
            </w:r>
          </w:p>
        </w:tc>
      </w:tr>
      <w:tr>
        <w:trPr>
          <w:cantSplit w:val="0"/>
          <w:trHeight w:val="405" w:hRule="atLeast"/>
          <w:tblHeader w:val="0"/>
        </w:trPr>
        <w:tc>
          <w:tcPr>
            <w:tcBorders>
              <w:top w:color="000000" w:space="0" w:sz="0" w:val="nil"/>
              <w:left w:color="aaaaaa" w:space="0" w:sz="8" w:val="single"/>
              <w:bottom w:color="aaaaaa" w:space="0" w:sz="8" w:val="single"/>
              <w:right w:color="aaaaaa" w:space="0" w:sz="8" w:val="single"/>
            </w:tcBorders>
            <w:shd w:fill="f5f5f5" w:val="clear"/>
            <w:tcMar>
              <w:top w:w="80.0" w:type="dxa"/>
              <w:left w:w="100.0" w:type="dxa"/>
              <w:bottom w:w="80.0" w:type="dxa"/>
              <w:right w:w="100.0" w:type="dxa"/>
            </w:tcMar>
            <w:vAlign w:val="top"/>
          </w:tcPr>
          <w:p w:rsidR="00000000" w:rsidDel="00000000" w:rsidP="00000000" w:rsidRDefault="00000000" w:rsidRPr="00000000" w14:paraId="000000E5">
            <w:pPr>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Intrinsic Price Per Share</w:t>
            </w:r>
          </w:p>
        </w:tc>
        <w:tc>
          <w:tcPr>
            <w:tcBorders>
              <w:top w:color="000000" w:space="0" w:sz="0" w:val="nil"/>
              <w:left w:color="000000" w:space="0" w:sz="0" w:val="nil"/>
              <w:bottom w:color="aaaaaa" w:space="0" w:sz="8" w:val="single"/>
              <w:right w:color="aaaaaa" w:space="0" w:sz="8" w:val="single"/>
            </w:tcBorders>
            <w:shd w:fill="f5f5f5" w:val="clear"/>
            <w:tcMar>
              <w:top w:w="80.0" w:type="dxa"/>
              <w:left w:w="100.0" w:type="dxa"/>
              <w:bottom w:w="80.0" w:type="dxa"/>
              <w:right w:w="100.0" w:type="dxa"/>
            </w:tcMar>
            <w:vAlign w:val="top"/>
          </w:tcPr>
          <w:p w:rsidR="00000000" w:rsidDel="00000000" w:rsidP="00000000" w:rsidRDefault="00000000" w:rsidRPr="00000000" w14:paraId="000000E6">
            <w:pPr>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$108.72</w:t>
            </w:r>
          </w:p>
        </w:tc>
        <w:tc>
          <w:tcPr>
            <w:tcBorders>
              <w:top w:color="000000" w:space="0" w:sz="0" w:val="nil"/>
              <w:left w:color="000000" w:space="0" w:sz="0" w:val="nil"/>
              <w:bottom w:color="aaaaaa" w:space="0" w:sz="8" w:val="single"/>
              <w:right w:color="aaaaaa" w:space="0" w:sz="8" w:val="single"/>
            </w:tcBorders>
            <w:shd w:fill="f5f5f5" w:val="clear"/>
            <w:tcMar>
              <w:top w:w="80.0" w:type="dxa"/>
              <w:left w:w="100.0" w:type="dxa"/>
              <w:bottom w:w="80.0" w:type="dxa"/>
              <w:right w:w="100.0" w:type="dxa"/>
            </w:tcMar>
            <w:vAlign w:val="top"/>
          </w:tcPr>
          <w:p w:rsidR="00000000" w:rsidDel="00000000" w:rsidP="00000000" w:rsidRDefault="00000000" w:rsidRPr="00000000" w14:paraId="000000E7">
            <w:pPr>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$96.48</w:t>
            </w:r>
          </w:p>
        </w:tc>
      </w:tr>
      <w:tr>
        <w:trPr>
          <w:cantSplit w:val="0"/>
          <w:trHeight w:val="405" w:hRule="atLeast"/>
          <w:tblHeader w:val="0"/>
        </w:trPr>
        <w:tc>
          <w:tcPr>
            <w:tcBorders>
              <w:top w:color="000000" w:space="0" w:sz="0" w:val="nil"/>
              <w:left w:color="aaaaaa" w:space="0" w:sz="8" w:val="single"/>
              <w:bottom w:color="aaaaaa" w:space="0" w:sz="8" w:val="single"/>
              <w:right w:color="aaaaaa"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E8">
            <w:pPr>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Upside vs. Current Price ($73.24)</w:t>
            </w:r>
          </w:p>
        </w:tc>
        <w:tc>
          <w:tcPr>
            <w:tcBorders>
              <w:top w:color="000000" w:space="0" w:sz="0" w:val="nil"/>
              <w:left w:color="000000" w:space="0" w:sz="0" w:val="nil"/>
              <w:bottom w:color="aaaaaa" w:space="0" w:sz="8" w:val="single"/>
              <w:right w:color="aaaaaa"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E9">
            <w:pPr>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+48.4%</w:t>
            </w:r>
          </w:p>
        </w:tc>
        <w:tc>
          <w:tcPr>
            <w:tcBorders>
              <w:top w:color="000000" w:space="0" w:sz="0" w:val="nil"/>
              <w:left w:color="000000" w:space="0" w:sz="0" w:val="nil"/>
              <w:bottom w:color="aaaaaa" w:space="0" w:sz="8" w:val="single"/>
              <w:right w:color="aaaaaa"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EA">
            <w:pPr>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+31.7%</w:t>
            </w:r>
          </w:p>
        </w:tc>
      </w:tr>
      <w:tr>
        <w:trPr>
          <w:cantSplit w:val="0"/>
          <w:trHeight w:val="405" w:hRule="atLeast"/>
          <w:tblHeader w:val="0"/>
        </w:trPr>
        <w:tc>
          <w:tcPr>
            <w:tcBorders>
              <w:top w:color="000000" w:space="0" w:sz="0" w:val="nil"/>
              <w:left w:color="aaaaaa" w:space="0" w:sz="8" w:val="single"/>
              <w:bottom w:color="aaaaaa" w:space="0" w:sz="8" w:val="single"/>
              <w:right w:color="aaaaaa" w:space="0" w:sz="8" w:val="single"/>
            </w:tcBorders>
            <w:shd w:fill="f5f5f5" w:val="clear"/>
            <w:tcMar>
              <w:top w:w="80.0" w:type="dxa"/>
              <w:left w:w="100.0" w:type="dxa"/>
              <w:bottom w:w="80.0" w:type="dxa"/>
              <w:right w:w="100.0" w:type="dxa"/>
            </w:tcMar>
            <w:vAlign w:val="top"/>
          </w:tcPr>
          <w:p w:rsidR="00000000" w:rsidDel="00000000" w:rsidP="00000000" w:rsidRDefault="00000000" w:rsidRPr="00000000" w14:paraId="000000EB">
            <w:pPr>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Recommendation</w:t>
            </w:r>
          </w:p>
        </w:tc>
        <w:tc>
          <w:tcPr>
            <w:tcBorders>
              <w:top w:color="000000" w:space="0" w:sz="0" w:val="nil"/>
              <w:left w:color="000000" w:space="0" w:sz="0" w:val="nil"/>
              <w:bottom w:color="aaaaaa" w:space="0" w:sz="8" w:val="single"/>
              <w:right w:color="aaaaaa" w:space="0" w:sz="8" w:val="single"/>
            </w:tcBorders>
            <w:shd w:fill="f5f5f5" w:val="clear"/>
            <w:tcMar>
              <w:top w:w="80.0" w:type="dxa"/>
              <w:left w:w="100.0" w:type="dxa"/>
              <w:bottom w:w="80.0" w:type="dxa"/>
              <w:right w:w="100.0" w:type="dxa"/>
            </w:tcMar>
            <w:vAlign w:val="top"/>
          </w:tcPr>
          <w:p w:rsidR="00000000" w:rsidDel="00000000" w:rsidP="00000000" w:rsidRDefault="00000000" w:rsidRPr="00000000" w14:paraId="000000EC">
            <w:pPr>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Strong Buy</w:t>
            </w:r>
          </w:p>
        </w:tc>
        <w:tc>
          <w:tcPr>
            <w:tcBorders>
              <w:top w:color="000000" w:space="0" w:sz="0" w:val="nil"/>
              <w:left w:color="000000" w:space="0" w:sz="0" w:val="nil"/>
              <w:bottom w:color="aaaaaa" w:space="0" w:sz="8" w:val="single"/>
              <w:right w:color="aaaaaa" w:space="0" w:sz="8" w:val="single"/>
            </w:tcBorders>
            <w:shd w:fill="f5f5f5" w:val="clear"/>
            <w:tcMar>
              <w:top w:w="80.0" w:type="dxa"/>
              <w:left w:w="100.0" w:type="dxa"/>
              <w:bottom w:w="80.0" w:type="dxa"/>
              <w:right w:w="100.0" w:type="dxa"/>
            </w:tcMar>
            <w:vAlign w:val="top"/>
          </w:tcPr>
          <w:p w:rsidR="00000000" w:rsidDel="00000000" w:rsidP="00000000" w:rsidRDefault="00000000" w:rsidRPr="00000000" w14:paraId="000000ED">
            <w:pPr>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Strong Buy</w:t>
            </w:r>
          </w:p>
        </w:tc>
      </w:tr>
    </w:tbl>
    <w:p w:rsidR="00000000" w:rsidDel="00000000" w:rsidP="00000000" w:rsidRDefault="00000000" w:rsidRPr="00000000" w14:paraId="000000EE">
      <w:pPr>
        <w:spacing w:before="80" w:lineRule="auto"/>
        <w:rPr>
          <w:rFonts w:ascii="Times New Roman" w:cs="Times New Roman" w:eastAsia="Times New Roman" w:hAnsi="Times New Roman"/>
        </w:rPr>
      </w:pPr>
      <w:r>
        <w:rPr>
          <w:rFonts w:ascii="Times New Roman" w:cs="Times New Roman" w:eastAsia="Times New Roman" w:hAnsi="Times New Roman"/>
          <w:rtl w:val="0"/>
        </w:rPr>
        <w:t xml:space="preserve"> </w:t>
      </w:r>
    </w:p>
    <w:p w:rsidR="00000000" w:rsidDel="00000000" w:rsidP="00000000" w:rsidRDefault="00000000" w:rsidRPr="00000000" w14:paraId="000000EF">
      <w:pPr>
        <w:spacing w:after="80" w:before="80" w:lineRule="auto"/>
        <w:ind w:firstLine="20"/>
        <w:jc w:val="both"/>
        <w:rPr>
          <w:rFonts w:ascii="Times New Roman" w:cs="Times New Roman" w:eastAsia="Times New Roman" w:hAnsi="Times New Roman"/>
        </w:rPr>
      </w:pPr>
      <w:r>
        <w:rPr>
          <w:rFonts w:ascii="Times New Roman" w:cs="Times New Roman" w:eastAsia="Times New Roman" w:hAnsi="Times New Roman"/>
          <w:rtl w:val="0"/>
        </w:rPr>
        <w:t xml:space="preserve">Using a WACC of 6.19% and a terminal growth rate of 1.8%, the sum of discounted free cash flows and terminal value yields an enterprise value of approximately $65.5 billion. After adjusting for net debt and dividing by 478.18 million shares outstanding, the model produces a fair value per share of $108.72 under the perpetuity growth method and $96.48 under the exit EV/EBITDA multiple method. The SYY company multiple of 10.88 was used for the exit multiple because no pure comparable companies exist. Both methods arrive at the same conclusion: at a current price of $73.24, SYY represents a Strong Buy with approximately 48.4% upside.</w:t>
      </w:r>
    </w:p>
    <w:p w:rsidR="00000000" w:rsidDel="00000000" w:rsidP="00000000" w:rsidRDefault="00000000" w:rsidRPr="00000000" w14:paraId="000000F0">
      <w:pPr>
        <w:spacing w:before="80" w:lineRule="auto"/>
        <w:rPr>
          <w:rFonts w:ascii="Times New Roman" w:cs="Times New Roman" w:eastAsia="Times New Roman" w:hAnsi="Times New Roman"/>
        </w:rPr>
      </w:pPr>
      <w:r>
        <w:rPr>
          <w:rFonts w:ascii="Times New Roman" w:cs="Times New Roman" w:eastAsia="Times New Roman" w:hAnsi="Times New Roman"/>
          <w:rtl w:val="0"/>
        </w:rPr>
        <w:t xml:space="preserve"> </w:t>
      </w:r>
    </w:p>
    <w:p w:rsidR="00000000" w:rsidDel="00000000" w:rsidP="00000000" w:rsidRDefault="00000000" w:rsidRPr="00000000" w14:paraId="000000F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m3zs5yeb7vqe" w:id="9"/>
      <w:bookmarkEnd w:id="9"/>
      <w:r>
        <w:rPr>
          <w:rFonts w:ascii="Times New Roman" w:cs="Times New Roman" w:eastAsia="Times New Roman" w:hAnsi="Times New Roman"/>
          <w:b w:val="1"/>
          <w:bCs w:val="1"/>
          <w:sz w:val="34"/>
          <w:szCs w:val="34"/>
          <w:rtl w:val="0"/>
        </w:rPr>
        <w:t xml:space="preserve">III.IV  Upside Scenario</w:t>
      </w:r>
    </w:p>
    <w:p w:rsidR="00000000" w:rsidDel="00000000" w:rsidP="00000000" w:rsidRDefault="00000000" w:rsidRPr="00000000" w14:paraId="000000F2">
      <w:pPr>
        <w:spacing w:after="80" w:before="80" w:lineRule="auto"/>
        <w:ind w:firstLine="20"/>
        <w:jc w:val="both"/>
        <w:rPr>
          <w:rFonts w:ascii="Times New Roman" w:cs="Times New Roman" w:eastAsia="Times New Roman" w:hAnsi="Times New Roman"/>
        </w:rPr>
      </w:pPr>
      <w:r>
        <w:rPr>
          <w:rFonts w:ascii="Times New Roman" w:cs="Times New Roman" w:eastAsia="Times New Roman" w:hAnsi="Times New Roman"/>
          <w:rtl w:val="0"/>
        </w:rPr>
        <w:t xml:space="preserve">The FCFF base case is built on very modest assumptions, so any higher growth rate represents the bull case. The WACC sensitivity analysis table (Table 4) shows that even with very low growth rates and high costs of capital, this investment still demonstrates significant upside and mostly positive returns.</w:t>
      </w:r>
    </w:p>
    <w:p w:rsidR="00000000" w:rsidDel="00000000" w:rsidP="00000000" w:rsidRDefault="00000000" w:rsidRPr="00000000" w14:paraId="000000F3">
      <w:pPr>
        <w:spacing w:after="80" w:before="80" w:lineRule="auto"/>
        <w:ind w:firstLine="20"/>
        <w:jc w:val="both"/>
        <w:rPr>
          <w:rFonts w:ascii="Times New Roman" w:cs="Times New Roman" w:eastAsia="Times New Roman" w:hAnsi="Times New Roman"/>
        </w:rPr>
      </w:pPr>
      <w:r>
        <w:rPr>
          <w:rFonts w:ascii="Times New Roman" w:cs="Times New Roman" w:eastAsia="Times New Roman" w:hAnsi="Times New Roman"/>
          <w:rtl w:val="0"/>
        </w:rPr>
        <w:t xml:space="preserve">Additionally, much of the growth attributed to the Jetro acquisition is based on very conservative estimates. Management has guided to opening 5 to 6 new stores each year, which would mean revenue growth beyond the $16 billion modeled. Sysco also plans to open 125 or more new locations over the next two decades.</w:t>
      </w:r>
      <w:r>
        <w:rPr>
          <w:rFonts w:ascii="Times New Roman" w:cs="Times New Roman" w:eastAsia="Times New Roman" w:hAnsi="Times New Roman"/>
          <w:vertAlign w:val="superscript"/>
          <w:rtl w:val="0"/>
        </w:rPr>
        <w:t xml:space="preserve">4</w:t>
      </w:r>
      <w:r>
        <w:rPr>
          <w:rFonts w:ascii="Times New Roman" w:cs="Times New Roman" w:eastAsia="Times New Roman" w:hAnsi="Times New Roman"/>
          <w:rtl w:val="0"/>
        </w:rPr>
        <w:t xml:space="preserve"> None of this significant growth upside is accounted for in the model, which creates meaningful additional upside beyond what is shown in the base case.</w:t>
      </w:r>
    </w:p>
    <w:p w:rsidR="00000000" w:rsidDel="00000000" w:rsidP="00000000" w:rsidRDefault="00000000" w:rsidRPr="00000000" w14:paraId="000000F4">
      <w:pPr>
        <w:spacing w:before="80" w:lineRule="auto"/>
        <w:rPr>
          <w:rFonts w:ascii="Times New Roman" w:cs="Times New Roman" w:eastAsia="Times New Roman" w:hAnsi="Times New Roman"/>
        </w:rPr>
      </w:pPr>
      <w:r>
        <w:rPr>
          <w:rFonts w:ascii="Times New Roman" w:cs="Times New Roman" w:eastAsia="Times New Roman" w:hAnsi="Times New Roman"/>
          <w:rtl w:val="0"/>
        </w:rPr>
        <w:t xml:space="preserve"> </w:t>
      </w:r>
    </w:p>
    <w:p w:rsidR="00000000" w:rsidDel="00000000" w:rsidP="00000000" w:rsidRDefault="00000000" w:rsidRPr="00000000" w14:paraId="000000F5">
      <w:pPr>
        <w:spacing w:after="60" w:before="80" w:lineRule="auto"/>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Table 4  WACC Sensitivity Analysis: Implied Fair Value Per Share</w:t>
      </w:r>
    </w:p>
    <w:tbl>
      <w:tblPr>
        <w:tblStyle w:val="Table5"/>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1545"/>
        <w:gridCol w:w="1545"/>
        <w:gridCol w:w="1545"/>
        <w:gridCol w:w="1545"/>
        <w:gridCol w:w="1545"/>
        <w:tblGridChange w:id="0">
          <w:tblGrid>
            <w:gridCol w:w="1590"/>
            <w:gridCol w:w="1545"/>
            <w:gridCol w:w="1545"/>
            <w:gridCol w:w="1545"/>
            <w:gridCol w:w="1545"/>
            <w:gridCol w:w="1545"/>
          </w:tblGrid>
        </w:tblGridChange>
      </w:tblGrid>
      <w:tr>
        <w:trPr>
          <w:cantSplit w:val="0"/>
          <w:trHeight w:val="600" w:hRule="atLeast"/>
          <w:tblHeader w:val="0"/>
        </w:trPr>
        <w:tc>
          <w:tcPr>
            <w:tcBorders>
              <w:top w:color="aaaaaa" w:space="0" w:sz="8" w:val="single"/>
              <w:left w:color="aaaaaa" w:space="0" w:sz="8" w:val="single"/>
              <w:bottom w:color="aaaaaa" w:space="0" w:sz="8" w:val="single"/>
              <w:right w:color="aaaaaa" w:space="0" w:sz="8" w:val="single"/>
            </w:tcBorders>
            <w:shd w:fill="d9d9d9" w:val="clear"/>
            <w:tcMar>
              <w:top w:w="60.0" w:type="dxa"/>
              <w:left w:w="80.0" w:type="dxa"/>
              <w:bottom w:w="60.0" w:type="dxa"/>
              <w:right w:w="80.0" w:type="dxa"/>
            </w:tcMar>
            <w:vAlign w:val="top"/>
          </w:tcPr>
          <w:p w:rsidR="00000000" w:rsidDel="00000000" w:rsidP="00000000" w:rsidRDefault="00000000" w:rsidRPr="00000000" w14:paraId="000000F6">
            <w:pPr>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WACC / Growth Rate</w:t>
            </w:r>
          </w:p>
        </w:tc>
        <w:tc>
          <w:tcPr>
            <w:tcBorders>
              <w:top w:color="aaaaaa" w:space="0" w:sz="8" w:val="single"/>
              <w:left w:color="000000" w:space="0" w:sz="0" w:val="nil"/>
              <w:bottom w:color="aaaaaa" w:space="0" w:sz="8" w:val="single"/>
              <w:right w:color="aaaaaa" w:space="0" w:sz="8" w:val="single"/>
            </w:tcBorders>
            <w:shd w:fill="d9d9d9" w:val="clear"/>
            <w:tcMar>
              <w:top w:w="60.0" w:type="dxa"/>
              <w:left w:w="80.0" w:type="dxa"/>
              <w:bottom w:w="60.0" w:type="dxa"/>
              <w:right w:w="80.0" w:type="dxa"/>
            </w:tcMar>
            <w:vAlign w:val="top"/>
          </w:tcPr>
          <w:p w:rsidR="00000000" w:rsidDel="00000000" w:rsidP="00000000" w:rsidRDefault="00000000" w:rsidRPr="00000000" w14:paraId="000000F7">
            <w:pPr>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1.0%</w:t>
            </w:r>
          </w:p>
        </w:tc>
        <w:tc>
          <w:tcPr>
            <w:tcBorders>
              <w:top w:color="aaaaaa" w:space="0" w:sz="8" w:val="single"/>
              <w:left w:color="000000" w:space="0" w:sz="0" w:val="nil"/>
              <w:bottom w:color="aaaaaa" w:space="0" w:sz="8" w:val="single"/>
              <w:right w:color="aaaaaa" w:space="0" w:sz="8" w:val="single"/>
            </w:tcBorders>
            <w:shd w:fill="d9d9d9" w:val="clear"/>
            <w:tcMar>
              <w:top w:w="60.0" w:type="dxa"/>
              <w:left w:w="80.0" w:type="dxa"/>
              <w:bottom w:w="60.0" w:type="dxa"/>
              <w:right w:w="80.0" w:type="dxa"/>
            </w:tcMar>
            <w:vAlign w:val="top"/>
          </w:tcPr>
          <w:p w:rsidR="00000000" w:rsidDel="00000000" w:rsidP="00000000" w:rsidRDefault="00000000" w:rsidRPr="00000000" w14:paraId="000000F8">
            <w:pPr>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1.5%</w:t>
            </w:r>
          </w:p>
        </w:tc>
        <w:tc>
          <w:tcPr>
            <w:tcBorders>
              <w:top w:color="aaaaaa" w:space="0" w:sz="8" w:val="single"/>
              <w:left w:color="000000" w:space="0" w:sz="0" w:val="nil"/>
              <w:bottom w:color="aaaaaa" w:space="0" w:sz="8" w:val="single"/>
              <w:right w:color="aaaaaa" w:space="0" w:sz="8" w:val="single"/>
            </w:tcBorders>
            <w:shd w:fill="d9d9d9" w:val="clear"/>
            <w:tcMar>
              <w:top w:w="60.0" w:type="dxa"/>
              <w:left w:w="80.0" w:type="dxa"/>
              <w:bottom w:w="60.0" w:type="dxa"/>
              <w:right w:w="80.0" w:type="dxa"/>
            </w:tcMar>
            <w:vAlign w:val="top"/>
          </w:tcPr>
          <w:p w:rsidR="00000000" w:rsidDel="00000000" w:rsidP="00000000" w:rsidRDefault="00000000" w:rsidRPr="00000000" w14:paraId="000000F9">
            <w:pPr>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2.0%</w:t>
            </w:r>
          </w:p>
        </w:tc>
        <w:tc>
          <w:tcPr>
            <w:tcBorders>
              <w:top w:color="aaaaaa" w:space="0" w:sz="8" w:val="single"/>
              <w:left w:color="000000" w:space="0" w:sz="0" w:val="nil"/>
              <w:bottom w:color="aaaaaa" w:space="0" w:sz="8" w:val="single"/>
              <w:right w:color="aaaaaa" w:space="0" w:sz="8" w:val="single"/>
            </w:tcBorders>
            <w:shd w:fill="d9d9d9" w:val="clear"/>
            <w:tcMar>
              <w:top w:w="60.0" w:type="dxa"/>
              <w:left w:w="80.0" w:type="dxa"/>
              <w:bottom w:w="60.0" w:type="dxa"/>
              <w:right w:w="80.0" w:type="dxa"/>
            </w:tcMar>
            <w:vAlign w:val="top"/>
          </w:tcPr>
          <w:p w:rsidR="00000000" w:rsidDel="00000000" w:rsidP="00000000" w:rsidRDefault="00000000" w:rsidRPr="00000000" w14:paraId="000000FA">
            <w:pPr>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2.5%</w:t>
            </w:r>
          </w:p>
        </w:tc>
        <w:tc>
          <w:tcPr>
            <w:tcBorders>
              <w:top w:color="aaaaaa" w:space="0" w:sz="8" w:val="single"/>
              <w:left w:color="000000" w:space="0" w:sz="0" w:val="nil"/>
              <w:bottom w:color="aaaaaa" w:space="0" w:sz="8" w:val="single"/>
              <w:right w:color="aaaaaa" w:space="0" w:sz="8" w:val="single"/>
            </w:tcBorders>
            <w:shd w:fill="d9d9d9" w:val="clear"/>
            <w:tcMar>
              <w:top w:w="60.0" w:type="dxa"/>
              <w:left w:w="80.0" w:type="dxa"/>
              <w:bottom w:w="60.0" w:type="dxa"/>
              <w:right w:w="80.0" w:type="dxa"/>
            </w:tcMar>
            <w:vAlign w:val="top"/>
          </w:tcPr>
          <w:p w:rsidR="00000000" w:rsidDel="00000000" w:rsidP="00000000" w:rsidRDefault="00000000" w:rsidRPr="00000000" w14:paraId="000000FB">
            <w:pPr>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3.0%</w:t>
            </w:r>
          </w:p>
        </w:tc>
      </w:tr>
      <w:tr>
        <w:trPr>
          <w:cantSplit w:val="0"/>
          <w:trHeight w:val="375" w:hRule="atLeast"/>
          <w:tblHeader w:val="0"/>
        </w:trPr>
        <w:tc>
          <w:tcPr>
            <w:tcBorders>
              <w:top w:color="000000" w:space="0" w:sz="0" w:val="nil"/>
              <w:left w:color="aaaaaa" w:space="0" w:sz="8" w:val="single"/>
              <w:bottom w:color="aaaaaa" w:space="0" w:sz="8" w:val="single"/>
              <w:right w:color="aaaaaa" w:space="0" w:sz="8" w:val="single"/>
            </w:tcBorders>
            <w:shd w:fill="d9d9d9" w:val="clear"/>
            <w:tcMar>
              <w:top w:w="60.0" w:type="dxa"/>
              <w:left w:w="80.0" w:type="dxa"/>
              <w:bottom w:w="60.0" w:type="dxa"/>
              <w:right w:w="80.0" w:type="dxa"/>
            </w:tcMar>
            <w:vAlign w:val="top"/>
          </w:tcPr>
          <w:p w:rsidR="00000000" w:rsidDel="00000000" w:rsidP="00000000" w:rsidRDefault="00000000" w:rsidRPr="00000000" w14:paraId="000000FC">
            <w:pPr>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5.5%</w:t>
            </w:r>
          </w:p>
        </w:tc>
        <w:tc>
          <w:tcPr>
            <w:tcBorders>
              <w:top w:color="000000" w:space="0" w:sz="0" w:val="nil"/>
              <w:left w:color="000000" w:space="0" w:sz="0" w:val="nil"/>
              <w:bottom w:color="aaaaaa" w:space="0" w:sz="8" w:val="single"/>
              <w:right w:color="aaaaaa" w:space="0" w:sz="8" w:val="single"/>
            </w:tcBorders>
            <w:shd w:fill="c6efce" w:val="clear"/>
            <w:tcMar>
              <w:top w:w="60.0" w:type="dxa"/>
              <w:left w:w="80.0" w:type="dxa"/>
              <w:bottom w:w="60.0" w:type="dxa"/>
              <w:right w:w="80.0" w:type="dxa"/>
            </w:tcMar>
            <w:vAlign w:val="top"/>
          </w:tcPr>
          <w:p w:rsidR="00000000" w:rsidDel="00000000" w:rsidP="00000000" w:rsidRDefault="00000000" w:rsidRPr="00000000" w14:paraId="000000FD">
            <w:pPr>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109.12</w:t>
            </w:r>
          </w:p>
        </w:tc>
        <w:tc>
          <w:tcPr>
            <w:tcBorders>
              <w:top w:color="000000" w:space="0" w:sz="0" w:val="nil"/>
              <w:left w:color="000000" w:space="0" w:sz="0" w:val="nil"/>
              <w:bottom w:color="aaaaaa" w:space="0" w:sz="8" w:val="single"/>
              <w:right w:color="aaaaaa" w:space="0" w:sz="8" w:val="single"/>
            </w:tcBorders>
            <w:shd w:fill="c6efce" w:val="clear"/>
            <w:tcMar>
              <w:top w:w="60.0" w:type="dxa"/>
              <w:left w:w="80.0" w:type="dxa"/>
              <w:bottom w:w="60.0" w:type="dxa"/>
              <w:right w:w="80.0" w:type="dxa"/>
            </w:tcMar>
            <w:vAlign w:val="top"/>
          </w:tcPr>
          <w:p w:rsidR="00000000" w:rsidDel="00000000" w:rsidP="00000000" w:rsidRDefault="00000000" w:rsidRPr="00000000" w14:paraId="000000FE">
            <w:pPr>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124.56</w:t>
            </w:r>
          </w:p>
        </w:tc>
        <w:tc>
          <w:tcPr>
            <w:tcBorders>
              <w:top w:color="000000" w:space="0" w:sz="0" w:val="nil"/>
              <w:left w:color="000000" w:space="0" w:sz="0" w:val="nil"/>
              <w:bottom w:color="aaaaaa" w:space="0" w:sz="8" w:val="single"/>
              <w:right w:color="aaaaaa" w:space="0" w:sz="8" w:val="single"/>
            </w:tcBorders>
            <w:shd w:fill="c6efce" w:val="clear"/>
            <w:tcMar>
              <w:top w:w="60.0" w:type="dxa"/>
              <w:left w:w="80.0" w:type="dxa"/>
              <w:bottom w:w="60.0" w:type="dxa"/>
              <w:right w:w="80.0" w:type="dxa"/>
            </w:tcMar>
            <w:vAlign w:val="top"/>
          </w:tcPr>
          <w:p w:rsidR="00000000" w:rsidDel="00000000" w:rsidP="00000000" w:rsidRDefault="00000000" w:rsidRPr="00000000" w14:paraId="000000FF">
            <w:pPr>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144.41</w:t>
            </w:r>
          </w:p>
        </w:tc>
        <w:tc>
          <w:tcPr>
            <w:tcBorders>
              <w:top w:color="000000" w:space="0" w:sz="0" w:val="nil"/>
              <w:left w:color="000000" w:space="0" w:sz="0" w:val="nil"/>
              <w:bottom w:color="aaaaaa" w:space="0" w:sz="8" w:val="single"/>
              <w:right w:color="aaaaaa" w:space="0" w:sz="8" w:val="single"/>
            </w:tcBorders>
            <w:shd w:fill="c6efce" w:val="clear"/>
            <w:tcMar>
              <w:top w:w="60.0" w:type="dxa"/>
              <w:left w:w="80.0" w:type="dxa"/>
              <w:bottom w:w="60.0" w:type="dxa"/>
              <w:right w:w="80.0" w:type="dxa"/>
            </w:tcMar>
            <w:vAlign w:val="top"/>
          </w:tcPr>
          <w:p w:rsidR="00000000" w:rsidDel="00000000" w:rsidP="00000000" w:rsidRDefault="00000000" w:rsidRPr="00000000" w14:paraId="00000100">
            <w:pPr>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170.87</w:t>
            </w:r>
          </w:p>
        </w:tc>
        <w:tc>
          <w:tcPr>
            <w:tcBorders>
              <w:top w:color="000000" w:space="0" w:sz="0" w:val="nil"/>
              <w:left w:color="000000" w:space="0" w:sz="0" w:val="nil"/>
              <w:bottom w:color="aaaaaa" w:space="0" w:sz="8" w:val="single"/>
              <w:right w:color="aaaaaa" w:space="0" w:sz="8" w:val="single"/>
            </w:tcBorders>
            <w:shd w:fill="c6efce" w:val="clear"/>
            <w:tcMar>
              <w:top w:w="60.0" w:type="dxa"/>
              <w:left w:w="80.0" w:type="dxa"/>
              <w:bottom w:w="60.0" w:type="dxa"/>
              <w:right w:w="80.0" w:type="dxa"/>
            </w:tcMar>
            <w:vAlign w:val="top"/>
          </w:tcPr>
          <w:p w:rsidR="00000000" w:rsidDel="00000000" w:rsidP="00000000" w:rsidRDefault="00000000" w:rsidRPr="00000000" w14:paraId="00000101">
            <w:pPr>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207.92</w:t>
            </w:r>
          </w:p>
        </w:tc>
      </w:tr>
      <w:tr>
        <w:trPr>
          <w:cantSplit w:val="0"/>
          <w:trHeight w:val="375" w:hRule="atLeast"/>
          <w:tblHeader w:val="0"/>
        </w:trPr>
        <w:tc>
          <w:tcPr>
            <w:tcBorders>
              <w:top w:color="000000" w:space="0" w:sz="0" w:val="nil"/>
              <w:left w:color="aaaaaa" w:space="0" w:sz="8" w:val="single"/>
              <w:bottom w:color="aaaaaa" w:space="0" w:sz="8" w:val="single"/>
              <w:right w:color="aaaaaa" w:space="0" w:sz="8" w:val="single"/>
            </w:tcBorders>
            <w:shd w:fill="d9d9d9" w:val="clear"/>
            <w:tcMar>
              <w:top w:w="60.0" w:type="dxa"/>
              <w:left w:w="80.0" w:type="dxa"/>
              <w:bottom w:w="60.0" w:type="dxa"/>
              <w:right w:w="80.0" w:type="dxa"/>
            </w:tcMar>
            <w:vAlign w:val="top"/>
          </w:tcPr>
          <w:p w:rsidR="00000000" w:rsidDel="00000000" w:rsidP="00000000" w:rsidRDefault="00000000" w:rsidRPr="00000000" w14:paraId="00000102">
            <w:pPr>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6.0%</w:t>
            </w:r>
          </w:p>
        </w:tc>
        <w:tc>
          <w:tcPr>
            <w:tcBorders>
              <w:top w:color="000000" w:space="0" w:sz="0" w:val="nil"/>
              <w:left w:color="000000" w:space="0" w:sz="0" w:val="nil"/>
              <w:bottom w:color="aaaaaa" w:space="0" w:sz="8" w:val="single"/>
              <w:right w:color="aaaaaa" w:space="0" w:sz="8" w:val="single"/>
            </w:tcBorders>
            <w:shd w:fill="c6efce" w:val="clear"/>
            <w:tcMar>
              <w:top w:w="60.0" w:type="dxa"/>
              <w:left w:w="80.0" w:type="dxa"/>
              <w:bottom w:w="60.0" w:type="dxa"/>
              <w:right w:w="80.0" w:type="dxa"/>
            </w:tcMar>
            <w:vAlign w:val="top"/>
          </w:tcPr>
          <w:p w:rsidR="00000000" w:rsidDel="00000000" w:rsidP="00000000" w:rsidRDefault="00000000" w:rsidRPr="00000000" w14:paraId="00000103">
            <w:pPr>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94.51</w:t>
            </w:r>
          </w:p>
        </w:tc>
        <w:tc>
          <w:tcPr>
            <w:tcBorders>
              <w:top w:color="000000" w:space="0" w:sz="0" w:val="nil"/>
              <w:left w:color="000000" w:space="0" w:sz="0" w:val="nil"/>
              <w:bottom w:color="aaaaaa" w:space="0" w:sz="8" w:val="single"/>
              <w:right w:color="aaaaaa" w:space="0" w:sz="8" w:val="single"/>
            </w:tcBorders>
            <w:shd w:fill="c6efce" w:val="clear"/>
            <w:tcMar>
              <w:top w:w="60.0" w:type="dxa"/>
              <w:left w:w="80.0" w:type="dxa"/>
              <w:bottom w:w="60.0" w:type="dxa"/>
              <w:right w:w="80.0" w:type="dxa"/>
            </w:tcMar>
            <w:vAlign w:val="top"/>
          </w:tcPr>
          <w:p w:rsidR="00000000" w:rsidDel="00000000" w:rsidP="00000000" w:rsidRDefault="00000000" w:rsidRPr="00000000" w14:paraId="00000104">
            <w:pPr>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106.63</w:t>
            </w:r>
          </w:p>
        </w:tc>
        <w:tc>
          <w:tcPr>
            <w:tcBorders>
              <w:top w:color="000000" w:space="0" w:sz="0" w:val="nil"/>
              <w:left w:color="000000" w:space="0" w:sz="0" w:val="nil"/>
              <w:bottom w:color="aaaaaa" w:space="0" w:sz="8" w:val="single"/>
              <w:right w:color="aaaaaa" w:space="0" w:sz="8" w:val="single"/>
            </w:tcBorders>
            <w:shd w:fill="c6efce" w:val="clear"/>
            <w:tcMar>
              <w:top w:w="60.0" w:type="dxa"/>
              <w:left w:w="80.0" w:type="dxa"/>
              <w:bottom w:w="60.0" w:type="dxa"/>
              <w:right w:w="80.0" w:type="dxa"/>
            </w:tcMar>
            <w:vAlign w:val="top"/>
          </w:tcPr>
          <w:p w:rsidR="00000000" w:rsidDel="00000000" w:rsidP="00000000" w:rsidRDefault="00000000" w:rsidRPr="00000000" w14:paraId="00000105">
            <w:pPr>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121.78</w:t>
            </w:r>
          </w:p>
        </w:tc>
        <w:tc>
          <w:tcPr>
            <w:tcBorders>
              <w:top w:color="000000" w:space="0" w:sz="0" w:val="nil"/>
              <w:left w:color="000000" w:space="0" w:sz="0" w:val="nil"/>
              <w:bottom w:color="aaaaaa" w:space="0" w:sz="8" w:val="single"/>
              <w:right w:color="aaaaaa" w:space="0" w:sz="8" w:val="single"/>
            </w:tcBorders>
            <w:shd w:fill="c6efce" w:val="clear"/>
            <w:tcMar>
              <w:top w:w="60.0" w:type="dxa"/>
              <w:left w:w="80.0" w:type="dxa"/>
              <w:bottom w:w="60.0" w:type="dxa"/>
              <w:right w:w="80.0" w:type="dxa"/>
            </w:tcMar>
            <w:vAlign w:val="top"/>
          </w:tcPr>
          <w:p w:rsidR="00000000" w:rsidDel="00000000" w:rsidP="00000000" w:rsidRDefault="00000000" w:rsidRPr="00000000" w14:paraId="00000106">
            <w:pPr>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141.25</w:t>
            </w:r>
          </w:p>
        </w:tc>
        <w:tc>
          <w:tcPr>
            <w:tcBorders>
              <w:top w:color="000000" w:space="0" w:sz="0" w:val="nil"/>
              <w:left w:color="000000" w:space="0" w:sz="0" w:val="nil"/>
              <w:bottom w:color="aaaaaa" w:space="0" w:sz="8" w:val="single"/>
              <w:right w:color="aaaaaa" w:space="0" w:sz="8" w:val="single"/>
            </w:tcBorders>
            <w:shd w:fill="c6efce" w:val="clear"/>
            <w:tcMar>
              <w:top w:w="60.0" w:type="dxa"/>
              <w:left w:w="80.0" w:type="dxa"/>
              <w:bottom w:w="60.0" w:type="dxa"/>
              <w:right w:w="80.0" w:type="dxa"/>
            </w:tcMar>
            <w:vAlign w:val="top"/>
          </w:tcPr>
          <w:p w:rsidR="00000000" w:rsidDel="00000000" w:rsidP="00000000" w:rsidRDefault="00000000" w:rsidRPr="00000000" w14:paraId="00000107">
            <w:pPr>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167.22</w:t>
            </w:r>
          </w:p>
        </w:tc>
      </w:tr>
      <w:tr>
        <w:trPr>
          <w:cantSplit w:val="0"/>
          <w:trHeight w:val="375" w:hRule="atLeast"/>
          <w:tblHeader w:val="0"/>
        </w:trPr>
        <w:tc>
          <w:tcPr>
            <w:tcBorders>
              <w:top w:color="000000" w:space="0" w:sz="0" w:val="nil"/>
              <w:left w:color="aaaaaa" w:space="0" w:sz="8" w:val="single"/>
              <w:bottom w:color="aaaaaa" w:space="0" w:sz="8" w:val="single"/>
              <w:right w:color="aaaaaa" w:space="0" w:sz="8" w:val="single"/>
            </w:tcBorders>
            <w:shd w:fill="d9d9d9" w:val="clear"/>
            <w:tcMar>
              <w:top w:w="60.0" w:type="dxa"/>
              <w:left w:w="80.0" w:type="dxa"/>
              <w:bottom w:w="60.0" w:type="dxa"/>
              <w:right w:w="80.0" w:type="dxa"/>
            </w:tcMar>
            <w:vAlign w:val="top"/>
          </w:tcPr>
          <w:p w:rsidR="00000000" w:rsidDel="00000000" w:rsidP="00000000" w:rsidRDefault="00000000" w:rsidRPr="00000000" w14:paraId="00000108">
            <w:pPr>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6.5%</w:t>
            </w:r>
          </w:p>
        </w:tc>
        <w:tc>
          <w:tcPr>
            <w:tcBorders>
              <w:top w:color="000000" w:space="0" w:sz="0" w:val="nil"/>
              <w:left w:color="000000" w:space="0" w:sz="0" w:val="nil"/>
              <w:bottom w:color="aaaaaa" w:space="0" w:sz="8" w:val="single"/>
              <w:right w:color="aaaaaa" w:space="0" w:sz="8" w:val="single"/>
            </w:tcBorders>
            <w:shd w:fill="c6efce" w:val="clear"/>
            <w:tcMar>
              <w:top w:w="60.0" w:type="dxa"/>
              <w:left w:w="80.0" w:type="dxa"/>
              <w:bottom w:w="60.0" w:type="dxa"/>
              <w:right w:w="80.0" w:type="dxa"/>
            </w:tcMar>
            <w:vAlign w:val="top"/>
          </w:tcPr>
          <w:p w:rsidR="00000000" w:rsidDel="00000000" w:rsidP="00000000" w:rsidRDefault="00000000" w:rsidRPr="00000000" w14:paraId="00000109">
            <w:pPr>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82.58</w:t>
            </w:r>
          </w:p>
        </w:tc>
        <w:tc>
          <w:tcPr>
            <w:tcBorders>
              <w:top w:color="000000" w:space="0" w:sz="0" w:val="nil"/>
              <w:left w:color="000000" w:space="0" w:sz="0" w:val="nil"/>
              <w:bottom w:color="aaaaaa" w:space="0" w:sz="8" w:val="single"/>
              <w:right w:color="aaaaaa" w:space="0" w:sz="8" w:val="single"/>
            </w:tcBorders>
            <w:shd w:fill="c6efce" w:val="clear"/>
            <w:tcMar>
              <w:top w:w="60.0" w:type="dxa"/>
              <w:left w:w="80.0" w:type="dxa"/>
              <w:bottom w:w="60.0" w:type="dxa"/>
              <w:right w:w="80.0" w:type="dxa"/>
            </w:tcMar>
            <w:vAlign w:val="top"/>
          </w:tcPr>
          <w:p w:rsidR="00000000" w:rsidDel="00000000" w:rsidP="00000000" w:rsidRDefault="00000000" w:rsidRPr="00000000" w14:paraId="0000010A">
            <w:pPr>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92.31</w:t>
            </w:r>
          </w:p>
        </w:tc>
        <w:tc>
          <w:tcPr>
            <w:tcBorders>
              <w:top w:color="000000" w:space="0" w:sz="0" w:val="nil"/>
              <w:left w:color="000000" w:space="0" w:sz="0" w:val="nil"/>
              <w:bottom w:color="aaaaaa" w:space="0" w:sz="8" w:val="single"/>
              <w:right w:color="aaaaaa" w:space="0" w:sz="8" w:val="single"/>
            </w:tcBorders>
            <w:shd w:fill="c6efce" w:val="clear"/>
            <w:tcMar>
              <w:top w:w="60.0" w:type="dxa"/>
              <w:left w:w="80.0" w:type="dxa"/>
              <w:bottom w:w="60.0" w:type="dxa"/>
              <w:right w:w="80.0" w:type="dxa"/>
            </w:tcMar>
            <w:vAlign w:val="top"/>
          </w:tcPr>
          <w:p w:rsidR="00000000" w:rsidDel="00000000" w:rsidP="00000000" w:rsidRDefault="00000000" w:rsidRPr="00000000" w14:paraId="0000010B">
            <w:pPr>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104.20</w:t>
            </w:r>
          </w:p>
        </w:tc>
        <w:tc>
          <w:tcPr>
            <w:tcBorders>
              <w:top w:color="000000" w:space="0" w:sz="0" w:val="nil"/>
              <w:left w:color="000000" w:space="0" w:sz="0" w:val="nil"/>
              <w:bottom w:color="aaaaaa" w:space="0" w:sz="8" w:val="single"/>
              <w:right w:color="aaaaaa" w:space="0" w:sz="8" w:val="single"/>
            </w:tcBorders>
            <w:shd w:fill="c6efce" w:val="clear"/>
            <w:tcMar>
              <w:top w:w="60.0" w:type="dxa"/>
              <w:left w:w="80.0" w:type="dxa"/>
              <w:bottom w:w="60.0" w:type="dxa"/>
              <w:right w:w="80.0" w:type="dxa"/>
            </w:tcMar>
            <w:vAlign w:val="top"/>
          </w:tcPr>
          <w:p w:rsidR="00000000" w:rsidDel="00000000" w:rsidP="00000000" w:rsidRDefault="00000000" w:rsidRPr="00000000" w14:paraId="0000010C">
            <w:pPr>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119.06</w:t>
            </w:r>
          </w:p>
        </w:tc>
        <w:tc>
          <w:tcPr>
            <w:tcBorders>
              <w:top w:color="000000" w:space="0" w:sz="0" w:val="nil"/>
              <w:left w:color="000000" w:space="0" w:sz="0" w:val="nil"/>
              <w:bottom w:color="aaaaaa" w:space="0" w:sz="8" w:val="single"/>
              <w:right w:color="aaaaaa" w:space="0" w:sz="8" w:val="single"/>
            </w:tcBorders>
            <w:shd w:fill="c6efce" w:val="clear"/>
            <w:tcMar>
              <w:top w:w="60.0" w:type="dxa"/>
              <w:left w:w="80.0" w:type="dxa"/>
              <w:bottom w:w="60.0" w:type="dxa"/>
              <w:right w:w="80.0" w:type="dxa"/>
            </w:tcMar>
            <w:vAlign w:val="top"/>
          </w:tcPr>
          <w:p w:rsidR="00000000" w:rsidDel="00000000" w:rsidP="00000000" w:rsidRDefault="00000000" w:rsidRPr="00000000" w14:paraId="0000010D">
            <w:pPr>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138.17</w:t>
            </w:r>
          </w:p>
        </w:tc>
      </w:tr>
      <w:tr>
        <w:trPr>
          <w:cantSplit w:val="0"/>
          <w:trHeight w:val="375" w:hRule="atLeast"/>
          <w:tblHeader w:val="0"/>
        </w:trPr>
        <w:tc>
          <w:tcPr>
            <w:tcBorders>
              <w:top w:color="000000" w:space="0" w:sz="0" w:val="nil"/>
              <w:left w:color="aaaaaa" w:space="0" w:sz="8" w:val="single"/>
              <w:bottom w:color="aaaaaa" w:space="0" w:sz="8" w:val="single"/>
              <w:right w:color="aaaaaa" w:space="0" w:sz="8" w:val="single"/>
            </w:tcBorders>
            <w:shd w:fill="d9d9d9" w:val="clear"/>
            <w:tcMar>
              <w:top w:w="60.0" w:type="dxa"/>
              <w:left w:w="80.0" w:type="dxa"/>
              <w:bottom w:w="60.0" w:type="dxa"/>
              <w:right w:w="80.0" w:type="dxa"/>
            </w:tcMar>
            <w:vAlign w:val="top"/>
          </w:tcPr>
          <w:p w:rsidR="00000000" w:rsidDel="00000000" w:rsidP="00000000" w:rsidRDefault="00000000" w:rsidRPr="00000000" w14:paraId="0000010E">
            <w:pPr>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7.0%</w:t>
            </w:r>
          </w:p>
        </w:tc>
        <w:tc>
          <w:tcPr>
            <w:tcBorders>
              <w:top w:color="000000" w:space="0" w:sz="0" w:val="nil"/>
              <w:left w:color="000000" w:space="0" w:sz="0" w:val="nil"/>
              <w:bottom w:color="aaaaaa" w:space="0" w:sz="8" w:val="single"/>
              <w:right w:color="aaaaaa" w:space="0" w:sz="8" w:val="single"/>
            </w:tcBorders>
            <w:shd w:fill="ffc7ce" w:val="clear"/>
            <w:tcMar>
              <w:top w:w="60.0" w:type="dxa"/>
              <w:left w:w="80.0" w:type="dxa"/>
              <w:bottom w:w="60.0" w:type="dxa"/>
              <w:right w:w="80.0" w:type="dxa"/>
            </w:tcMar>
            <w:vAlign w:val="top"/>
          </w:tcPr>
          <w:p w:rsidR="00000000" w:rsidDel="00000000" w:rsidP="00000000" w:rsidRDefault="00000000" w:rsidRPr="00000000" w14:paraId="0000010F">
            <w:pPr>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72.64</w:t>
            </w:r>
          </w:p>
        </w:tc>
        <w:tc>
          <w:tcPr>
            <w:tcBorders>
              <w:top w:color="000000" w:space="0" w:sz="0" w:val="nil"/>
              <w:left w:color="000000" w:space="0" w:sz="0" w:val="nil"/>
              <w:bottom w:color="aaaaaa" w:space="0" w:sz="8" w:val="single"/>
              <w:right w:color="aaaaaa" w:space="0" w:sz="8" w:val="single"/>
            </w:tcBorders>
            <w:shd w:fill="c6efce" w:val="clear"/>
            <w:tcMar>
              <w:top w:w="60.0" w:type="dxa"/>
              <w:left w:w="80.0" w:type="dxa"/>
              <w:bottom w:w="60.0" w:type="dxa"/>
              <w:right w:w="80.0" w:type="dxa"/>
            </w:tcMar>
            <w:vAlign w:val="top"/>
          </w:tcPr>
          <w:p w:rsidR="00000000" w:rsidDel="00000000" w:rsidP="00000000" w:rsidRDefault="00000000" w:rsidRPr="00000000" w14:paraId="00000110">
            <w:pPr>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80.60</w:t>
            </w:r>
          </w:p>
        </w:tc>
        <w:tc>
          <w:tcPr>
            <w:tcBorders>
              <w:top w:color="000000" w:space="0" w:sz="0" w:val="nil"/>
              <w:left w:color="000000" w:space="0" w:sz="0" w:val="nil"/>
              <w:bottom w:color="aaaaaa" w:space="0" w:sz="8" w:val="single"/>
              <w:right w:color="aaaaaa" w:space="0" w:sz="8" w:val="single"/>
            </w:tcBorders>
            <w:shd w:fill="c6efce" w:val="clear"/>
            <w:tcMar>
              <w:top w:w="60.0" w:type="dxa"/>
              <w:left w:w="80.0" w:type="dxa"/>
              <w:bottom w:w="60.0" w:type="dxa"/>
              <w:right w:w="80.0" w:type="dxa"/>
            </w:tcMar>
            <w:vAlign w:val="top"/>
          </w:tcPr>
          <w:p w:rsidR="00000000" w:rsidDel="00000000" w:rsidP="00000000" w:rsidRDefault="00000000" w:rsidRPr="00000000" w14:paraId="00000111">
            <w:pPr>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90.15</w:t>
            </w:r>
          </w:p>
        </w:tc>
        <w:tc>
          <w:tcPr>
            <w:tcBorders>
              <w:top w:color="000000" w:space="0" w:sz="0" w:val="nil"/>
              <w:left w:color="000000" w:space="0" w:sz="0" w:val="nil"/>
              <w:bottom w:color="aaaaaa" w:space="0" w:sz="8" w:val="single"/>
              <w:right w:color="aaaaaa" w:space="0" w:sz="8" w:val="single"/>
            </w:tcBorders>
            <w:shd w:fill="c6efce" w:val="clear"/>
            <w:tcMar>
              <w:top w:w="60.0" w:type="dxa"/>
              <w:left w:w="80.0" w:type="dxa"/>
              <w:bottom w:w="60.0" w:type="dxa"/>
              <w:right w:w="80.0" w:type="dxa"/>
            </w:tcMar>
            <w:vAlign w:val="top"/>
          </w:tcPr>
          <w:p w:rsidR="00000000" w:rsidDel="00000000" w:rsidP="00000000" w:rsidRDefault="00000000" w:rsidRPr="00000000" w14:paraId="00000112">
            <w:pPr>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101.82</w:t>
            </w:r>
          </w:p>
        </w:tc>
        <w:tc>
          <w:tcPr>
            <w:tcBorders>
              <w:top w:color="000000" w:space="0" w:sz="0" w:val="nil"/>
              <w:left w:color="000000" w:space="0" w:sz="0" w:val="nil"/>
              <w:bottom w:color="aaaaaa" w:space="0" w:sz="8" w:val="single"/>
              <w:right w:color="aaaaaa" w:space="0" w:sz="8" w:val="single"/>
            </w:tcBorders>
            <w:shd w:fill="c6efce" w:val="clear"/>
            <w:tcMar>
              <w:top w:w="60.0" w:type="dxa"/>
              <w:left w:w="80.0" w:type="dxa"/>
              <w:bottom w:w="60.0" w:type="dxa"/>
              <w:right w:w="80.0" w:type="dxa"/>
            </w:tcMar>
            <w:vAlign w:val="top"/>
          </w:tcPr>
          <w:p w:rsidR="00000000" w:rsidDel="00000000" w:rsidP="00000000" w:rsidRDefault="00000000" w:rsidRPr="00000000" w14:paraId="00000113">
            <w:pPr>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116.41</w:t>
            </w:r>
          </w:p>
        </w:tc>
      </w:tr>
      <w:tr>
        <w:trPr>
          <w:cantSplit w:val="0"/>
          <w:trHeight w:val="375" w:hRule="atLeast"/>
          <w:tblHeader w:val="0"/>
        </w:trPr>
        <w:tc>
          <w:tcPr>
            <w:tcBorders>
              <w:top w:color="000000" w:space="0" w:sz="0" w:val="nil"/>
              <w:left w:color="aaaaaa" w:space="0" w:sz="8" w:val="single"/>
              <w:bottom w:color="aaaaaa" w:space="0" w:sz="8" w:val="single"/>
              <w:right w:color="aaaaaa" w:space="0" w:sz="8" w:val="single"/>
            </w:tcBorders>
            <w:shd w:fill="d9d9d9" w:val="clear"/>
            <w:tcMar>
              <w:top w:w="60.0" w:type="dxa"/>
              <w:left w:w="80.0" w:type="dxa"/>
              <w:bottom w:w="60.0" w:type="dxa"/>
              <w:right w:w="80.0" w:type="dxa"/>
            </w:tcMar>
            <w:vAlign w:val="top"/>
          </w:tcPr>
          <w:p w:rsidR="00000000" w:rsidDel="00000000" w:rsidP="00000000" w:rsidRDefault="00000000" w:rsidRPr="00000000" w14:paraId="00000114">
            <w:pPr>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7.5%</w:t>
            </w:r>
          </w:p>
        </w:tc>
        <w:tc>
          <w:tcPr>
            <w:tcBorders>
              <w:top w:color="000000" w:space="0" w:sz="0" w:val="nil"/>
              <w:left w:color="000000" w:space="0" w:sz="0" w:val="nil"/>
              <w:bottom w:color="aaaaaa" w:space="0" w:sz="8" w:val="single"/>
              <w:right w:color="aaaaaa" w:space="0" w:sz="8" w:val="single"/>
            </w:tcBorders>
            <w:shd w:fill="ffc7ce" w:val="clear"/>
            <w:tcMar>
              <w:top w:w="60.0" w:type="dxa"/>
              <w:left w:w="80.0" w:type="dxa"/>
              <w:bottom w:w="60.0" w:type="dxa"/>
              <w:right w:w="80.0" w:type="dxa"/>
            </w:tcMar>
            <w:vAlign w:val="top"/>
          </w:tcPr>
          <w:p w:rsidR="00000000" w:rsidDel="00000000" w:rsidP="00000000" w:rsidRDefault="00000000" w:rsidRPr="00000000" w14:paraId="00000115">
            <w:pPr>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64.25</w:t>
            </w:r>
          </w:p>
        </w:tc>
        <w:tc>
          <w:tcPr>
            <w:tcBorders>
              <w:top w:color="000000" w:space="0" w:sz="0" w:val="nil"/>
              <w:left w:color="000000" w:space="0" w:sz="0" w:val="nil"/>
              <w:bottom w:color="aaaaaa" w:space="0" w:sz="8" w:val="single"/>
              <w:right w:color="aaaaaa" w:space="0" w:sz="8" w:val="single"/>
            </w:tcBorders>
            <w:shd w:fill="ffc7ce" w:val="clear"/>
            <w:tcMar>
              <w:top w:w="60.0" w:type="dxa"/>
              <w:left w:w="80.0" w:type="dxa"/>
              <w:bottom w:w="60.0" w:type="dxa"/>
              <w:right w:w="80.0" w:type="dxa"/>
            </w:tcMar>
            <w:vAlign w:val="top"/>
          </w:tcPr>
          <w:p w:rsidR="00000000" w:rsidDel="00000000" w:rsidP="00000000" w:rsidRDefault="00000000" w:rsidRPr="00000000" w14:paraId="00000116">
            <w:pPr>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70.86</w:t>
            </w:r>
          </w:p>
        </w:tc>
        <w:tc>
          <w:tcPr>
            <w:tcBorders>
              <w:top w:color="000000" w:space="0" w:sz="0" w:val="nil"/>
              <w:left w:color="000000" w:space="0" w:sz="0" w:val="nil"/>
              <w:bottom w:color="aaaaaa" w:space="0" w:sz="8" w:val="single"/>
              <w:right w:color="aaaaaa" w:space="0" w:sz="8" w:val="single"/>
            </w:tcBorders>
            <w:shd w:fill="c6efce" w:val="clear"/>
            <w:tcMar>
              <w:top w:w="60.0" w:type="dxa"/>
              <w:left w:w="80.0" w:type="dxa"/>
              <w:bottom w:w="60.0" w:type="dxa"/>
              <w:right w:w="80.0" w:type="dxa"/>
            </w:tcMar>
            <w:vAlign w:val="top"/>
          </w:tcPr>
          <w:p w:rsidR="00000000" w:rsidDel="00000000" w:rsidP="00000000" w:rsidRDefault="00000000" w:rsidRPr="00000000" w14:paraId="00000117">
            <w:pPr>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78.67</w:t>
            </w:r>
          </w:p>
        </w:tc>
        <w:tc>
          <w:tcPr>
            <w:tcBorders>
              <w:top w:color="000000" w:space="0" w:sz="0" w:val="nil"/>
              <w:left w:color="000000" w:space="0" w:sz="0" w:val="nil"/>
              <w:bottom w:color="aaaaaa" w:space="0" w:sz="8" w:val="single"/>
              <w:right w:color="aaaaaa" w:space="0" w:sz="8" w:val="single"/>
            </w:tcBorders>
            <w:shd w:fill="c6efce" w:val="clear"/>
            <w:tcMar>
              <w:top w:w="60.0" w:type="dxa"/>
              <w:left w:w="80.0" w:type="dxa"/>
              <w:bottom w:w="60.0" w:type="dxa"/>
              <w:right w:w="80.0" w:type="dxa"/>
            </w:tcMar>
            <w:vAlign w:val="top"/>
          </w:tcPr>
          <w:p w:rsidR="00000000" w:rsidDel="00000000" w:rsidP="00000000" w:rsidRDefault="00000000" w:rsidRPr="00000000" w14:paraId="00000118">
            <w:pPr>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88.04</w:t>
            </w:r>
          </w:p>
        </w:tc>
        <w:tc>
          <w:tcPr>
            <w:tcBorders>
              <w:top w:color="000000" w:space="0" w:sz="0" w:val="nil"/>
              <w:left w:color="000000" w:space="0" w:sz="0" w:val="nil"/>
              <w:bottom w:color="aaaaaa" w:space="0" w:sz="8" w:val="single"/>
              <w:right w:color="aaaaaa" w:space="0" w:sz="8" w:val="single"/>
            </w:tcBorders>
            <w:shd w:fill="c6efce" w:val="clear"/>
            <w:tcMar>
              <w:top w:w="60.0" w:type="dxa"/>
              <w:left w:w="80.0" w:type="dxa"/>
              <w:bottom w:w="60.0" w:type="dxa"/>
              <w:right w:w="80.0" w:type="dxa"/>
            </w:tcMar>
            <w:vAlign w:val="top"/>
          </w:tcPr>
          <w:p w:rsidR="00000000" w:rsidDel="00000000" w:rsidP="00000000" w:rsidRDefault="00000000" w:rsidRPr="00000000" w14:paraId="00000119">
            <w:pPr>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99.49</w:t>
            </w:r>
          </w:p>
        </w:tc>
      </w:tr>
      <w:tr>
        <w:trPr>
          <w:cantSplit w:val="0"/>
          <w:trHeight w:val="375" w:hRule="atLeast"/>
          <w:tblHeader w:val="0"/>
        </w:trPr>
        <w:tc>
          <w:tcPr>
            <w:tcBorders>
              <w:top w:color="000000" w:space="0" w:sz="0" w:val="nil"/>
              <w:left w:color="aaaaaa" w:space="0" w:sz="8" w:val="single"/>
              <w:bottom w:color="aaaaaa" w:space="0" w:sz="8" w:val="single"/>
              <w:right w:color="aaaaaa" w:space="0" w:sz="8" w:val="single"/>
            </w:tcBorders>
            <w:shd w:fill="d9d9d9" w:val="clear"/>
            <w:tcMar>
              <w:top w:w="60.0" w:type="dxa"/>
              <w:left w:w="80.0" w:type="dxa"/>
              <w:bottom w:w="60.0" w:type="dxa"/>
              <w:right w:w="80.0" w:type="dxa"/>
            </w:tcMar>
            <w:vAlign w:val="top"/>
          </w:tcPr>
          <w:p w:rsidR="00000000" w:rsidDel="00000000" w:rsidP="00000000" w:rsidRDefault="00000000" w:rsidRPr="00000000" w14:paraId="0000011A">
            <w:pPr>
              <w:jc w:val="center"/>
              <w:rPr>
                <w:rFonts w:ascii="Times New Roman" w:cs="Times New Roman" w:eastAsia="Times New Roman" w:hAnsi="Times New Roman"/>
                <w:b w:val="1"/>
                <w:bCs w:val="1"/>
                <w:sz w:val="20"/>
                <w:szCs w:val="20"/>
              </w:rPr>
            </w:pPr>
            <w:r>
              <w:rPr>
                <w:rFonts w:ascii="Times New Roman" w:cs="Times New Roman" w:eastAsia="Times New Roman" w:hAnsi="Times New Roman"/>
                <w:b w:val="1"/>
                <w:bCs w:val="1"/>
                <w:sz w:val="20"/>
                <w:szCs w:val="20"/>
                <w:rtl w:val="0"/>
              </w:rPr>
              <w:t xml:space="preserve">8.0%</w:t>
            </w:r>
          </w:p>
        </w:tc>
        <w:tc>
          <w:tcPr>
            <w:tcBorders>
              <w:top w:color="000000" w:space="0" w:sz="0" w:val="nil"/>
              <w:left w:color="000000" w:space="0" w:sz="0" w:val="nil"/>
              <w:bottom w:color="aaaaaa" w:space="0" w:sz="8" w:val="single"/>
              <w:right w:color="aaaaaa" w:space="0" w:sz="8" w:val="single"/>
            </w:tcBorders>
            <w:shd w:fill="ffc7ce" w:val="clear"/>
            <w:tcMar>
              <w:top w:w="60.0" w:type="dxa"/>
              <w:left w:w="80.0" w:type="dxa"/>
              <w:bottom w:w="60.0" w:type="dxa"/>
              <w:right w:w="80.0" w:type="dxa"/>
            </w:tcMar>
            <w:vAlign w:val="top"/>
          </w:tcPr>
          <w:p w:rsidR="00000000" w:rsidDel="00000000" w:rsidP="00000000" w:rsidRDefault="00000000" w:rsidRPr="00000000" w14:paraId="0000011B">
            <w:pPr>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57.07</w:t>
            </w:r>
          </w:p>
        </w:tc>
        <w:tc>
          <w:tcPr>
            <w:tcBorders>
              <w:top w:color="000000" w:space="0" w:sz="0" w:val="nil"/>
              <w:left w:color="000000" w:space="0" w:sz="0" w:val="nil"/>
              <w:bottom w:color="aaaaaa" w:space="0" w:sz="8" w:val="single"/>
              <w:right w:color="aaaaaa" w:space="0" w:sz="8" w:val="single"/>
            </w:tcBorders>
            <w:shd w:fill="ffc7ce" w:val="clear"/>
            <w:tcMar>
              <w:top w:w="60.0" w:type="dxa"/>
              <w:left w:w="80.0" w:type="dxa"/>
              <w:bottom w:w="60.0" w:type="dxa"/>
              <w:right w:w="80.0" w:type="dxa"/>
            </w:tcMar>
            <w:vAlign w:val="top"/>
          </w:tcPr>
          <w:p w:rsidR="00000000" w:rsidDel="00000000" w:rsidP="00000000" w:rsidRDefault="00000000" w:rsidRPr="00000000" w14:paraId="0000011C">
            <w:pPr>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62.63</w:t>
            </w:r>
          </w:p>
        </w:tc>
        <w:tc>
          <w:tcPr>
            <w:tcBorders>
              <w:top w:color="000000" w:space="0" w:sz="0" w:val="nil"/>
              <w:left w:color="000000" w:space="0" w:sz="0" w:val="nil"/>
              <w:bottom w:color="aaaaaa" w:space="0" w:sz="8" w:val="single"/>
              <w:right w:color="aaaaaa" w:space="0" w:sz="8" w:val="single"/>
            </w:tcBorders>
            <w:shd w:fill="ffc7ce" w:val="clear"/>
            <w:tcMar>
              <w:top w:w="60.0" w:type="dxa"/>
              <w:left w:w="80.0" w:type="dxa"/>
              <w:bottom w:w="60.0" w:type="dxa"/>
              <w:right w:w="80.0" w:type="dxa"/>
            </w:tcMar>
            <w:vAlign w:val="top"/>
          </w:tcPr>
          <w:p w:rsidR="00000000" w:rsidDel="00000000" w:rsidP="00000000" w:rsidRDefault="00000000" w:rsidRPr="00000000" w14:paraId="0000011D">
            <w:pPr>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69.11</w:t>
            </w:r>
          </w:p>
        </w:tc>
        <w:tc>
          <w:tcPr>
            <w:tcBorders>
              <w:top w:color="000000" w:space="0" w:sz="0" w:val="nil"/>
              <w:left w:color="000000" w:space="0" w:sz="0" w:val="nil"/>
              <w:bottom w:color="aaaaaa" w:space="0" w:sz="8" w:val="single"/>
              <w:right w:color="aaaaaa" w:space="0" w:sz="8" w:val="single"/>
            </w:tcBorders>
            <w:shd w:fill="c6efce" w:val="clear"/>
            <w:tcMar>
              <w:top w:w="60.0" w:type="dxa"/>
              <w:left w:w="80.0" w:type="dxa"/>
              <w:bottom w:w="60.0" w:type="dxa"/>
              <w:right w:w="80.0" w:type="dxa"/>
            </w:tcMar>
            <w:vAlign w:val="top"/>
          </w:tcPr>
          <w:p w:rsidR="00000000" w:rsidDel="00000000" w:rsidP="00000000" w:rsidRDefault="00000000" w:rsidRPr="00000000" w14:paraId="0000011E">
            <w:pPr>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76.78</w:t>
            </w:r>
          </w:p>
        </w:tc>
        <w:tc>
          <w:tcPr>
            <w:tcBorders>
              <w:top w:color="000000" w:space="0" w:sz="0" w:val="nil"/>
              <w:left w:color="000000" w:space="0" w:sz="0" w:val="nil"/>
              <w:bottom w:color="aaaaaa" w:space="0" w:sz="8" w:val="single"/>
              <w:right w:color="aaaaaa" w:space="0" w:sz="8" w:val="single"/>
            </w:tcBorders>
            <w:shd w:fill="c6efce" w:val="clear"/>
            <w:tcMar>
              <w:top w:w="60.0" w:type="dxa"/>
              <w:left w:w="80.0" w:type="dxa"/>
              <w:bottom w:w="60.0" w:type="dxa"/>
              <w:right w:w="80.0" w:type="dxa"/>
            </w:tcMar>
            <w:vAlign w:val="top"/>
          </w:tcPr>
          <w:p w:rsidR="00000000" w:rsidDel="00000000" w:rsidP="00000000" w:rsidRDefault="00000000" w:rsidRPr="00000000" w14:paraId="0000011F">
            <w:pPr>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85.98</w:t>
            </w:r>
          </w:p>
        </w:tc>
      </w:tr>
    </w:tbl>
    <w:p w:rsidR="00000000" w:rsidDel="00000000" w:rsidP="00000000" w:rsidRDefault="00000000" w:rsidRPr="00000000" w14:paraId="00000120">
      <w:pPr>
        <w:spacing w:before="80" w:lineRule="auto"/>
        <w:rPr>
          <w:rFonts w:ascii="Times New Roman" w:cs="Times New Roman" w:eastAsia="Times New Roman" w:hAnsi="Times New Roman"/>
        </w:rPr>
      </w:pPr>
      <w:r>
        <w:rPr>
          <w:rFonts w:ascii="Times New Roman" w:cs="Times New Roman" w:eastAsia="Times New Roman" w:hAnsi="Times New Roman"/>
          <w:rtl w:val="0"/>
        </w:rPr>
        <w:t xml:space="preserve"> </w:t>
      </w:r>
    </w:p>
    <w:p w:rsidR="00000000" w:rsidDel="00000000" w:rsidP="00000000" w:rsidRDefault="00000000" w:rsidRPr="00000000" w14:paraId="0000012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rtj7fhvbvxz" w:id="10"/>
      <w:bookmarkEnd w:id="10"/>
      <w:r>
        <w:rPr>
          <w:rFonts w:ascii="Times New Roman" w:cs="Times New Roman" w:eastAsia="Times New Roman" w:hAnsi="Times New Roman"/>
          <w:b w:val="1"/>
          <w:bCs w:val="1"/>
          <w:sz w:val="34"/>
          <w:szCs w:val="34"/>
          <w:rtl w:val="0"/>
        </w:rPr>
        <w:t xml:space="preserve">III.V  Downside Scenario: Dividend Discount Model</w:t>
      </w:r>
    </w:p>
    <w:p w:rsidR="00000000" w:rsidDel="00000000" w:rsidP="00000000" w:rsidRDefault="00000000" w:rsidRPr="00000000" w14:paraId="00000122">
      <w:pPr>
        <w:spacing w:after="80" w:before="80" w:lineRule="auto"/>
        <w:ind w:firstLine="20"/>
        <w:jc w:val="both"/>
        <w:rPr>
          <w:rFonts w:ascii="Times New Roman" w:cs="Times New Roman" w:eastAsia="Times New Roman" w:hAnsi="Times New Roman"/>
        </w:rPr>
      </w:pPr>
      <w:r>
        <w:rPr>
          <w:rFonts w:ascii="Times New Roman" w:cs="Times New Roman" w:eastAsia="Times New Roman" w:hAnsi="Times New Roman"/>
          <w:rtl w:val="0"/>
        </w:rPr>
        <w:t xml:space="preserve">The basic Dividend Discount Model (DDM) is not the primary model but serves an important purpose: it demonstrates that even if there is no major upside from the acquisition, this remains a stable and low-risk investment. This worst-case scenario shows that even without acquisition-driven growth and with only modest dividend growth, investors would not be materially overpaying for the stock.</w:t>
      </w:r>
    </w:p>
    <w:p w:rsidR="00000000" w:rsidDel="00000000" w:rsidP="00000000" w:rsidRDefault="00000000" w:rsidRPr="00000000" w14:paraId="00000123">
      <w:pPr>
        <w:spacing w:after="80" w:before="80" w:lineRule="auto"/>
        <w:ind w:firstLine="20"/>
        <w:jc w:val="both"/>
        <w:rPr>
          <w:rFonts w:ascii="Times New Roman" w:cs="Times New Roman" w:eastAsia="Times New Roman" w:hAnsi="Times New Roman"/>
        </w:rPr>
      </w:pPr>
      <w:r>
        <w:rPr>
          <w:rFonts w:ascii="Times New Roman" w:cs="Times New Roman" w:eastAsia="Times New Roman" w:hAnsi="Times New Roman"/>
          <w:rtl w:val="0"/>
        </w:rPr>
        <w:t xml:space="preserve">This model does not capture any of the upside from the projected Jetro acquisition growth. It is calculated using the cost of equity after Sysco has taken on significant acquisition debt, making it a very conservative estimate for a scenario where there is no significant growth, or something with the acquisition goes wrong. Investors can still be confident in Sysco's underlying stability and the investment overall.</w:t>
      </w:r>
    </w:p>
    <w:p w:rsidR="00000000" w:rsidDel="00000000" w:rsidP="00000000" w:rsidRDefault="00000000" w:rsidRPr="00000000" w14:paraId="00000124">
      <w:pPr>
        <w:spacing w:after="80" w:before="80" w:lineRule="auto"/>
        <w:ind w:firstLine="20"/>
        <w:jc w:val="both"/>
        <w:rPr>
          <w:rFonts w:ascii="Times New Roman" w:cs="Times New Roman" w:eastAsia="Times New Roman" w:hAnsi="Times New Roman"/>
        </w:rPr>
      </w:pPr>
      <w:r>
        <w:rPr>
          <w:rFonts w:ascii="Times New Roman" w:cs="Times New Roman" w:eastAsia="Times New Roman" w:hAnsi="Times New Roman"/>
          <w:rtl w:val="0"/>
        </w:rPr>
        <w:t xml:space="preserve">Management is pausing share buybacks for the next few years to pay off debt. However, the company has its 55-year consecutive dividend growth streak, which management has stated will not stop, though growth is expected to be more modest. It is important to note that this model does not include the value of future share buybacks. Management has stated their intent to eventually resume buybacks, which would return additional capital to shareholders not captured in this model.</w:t>
      </w:r>
    </w:p>
    <w:p w:rsidR="00000000" w:rsidDel="00000000" w:rsidP="00000000" w:rsidRDefault="00000000" w:rsidRPr="00000000" w14:paraId="00000125">
      <w:pPr>
        <w:spacing w:after="80" w:before="80" w:lineRule="auto"/>
        <w:ind w:firstLine="20"/>
        <w:jc w:val="both"/>
        <w:rPr>
          <w:rFonts w:ascii="Times New Roman" w:cs="Times New Roman" w:eastAsia="Times New Roman" w:hAnsi="Times New Roman"/>
        </w:rPr>
      </w:pPr>
      <w:r>
        <w:rPr>
          <w:rFonts w:ascii="Times New Roman" w:cs="Times New Roman" w:eastAsia="Times New Roman" w:hAnsi="Times New Roman"/>
          <w:rtl w:val="0"/>
        </w:rPr>
        <w:t xml:space="preserve">This model estimates a fair price of approximately $68.91 versus the current price of $73.24. Looking at the 5-day trading range, the stock has moved from a high of approximately $75.50 to a low of approximately $71.50. The volatility in that period has been approximately $5, which shows that a $5 difference between the model's fair value estimate and the current price is simply a matter of market timing and price volatility. The DDM confirms that even if investors purchased SYY today, the stock would be relatively fairly priced even in the worst-case scenario with no growth from the acquisition. This would still be a safe investment, as SYY pays consistent dividends.</w:t>
      </w:r>
    </w:p>
    <w:p w:rsidR="00000000" w:rsidDel="00000000" w:rsidP="00000000" w:rsidRDefault="00000000" w:rsidRPr="00000000" w14:paraId="00000126">
      <w:pPr>
        <w:spacing w:before="240" w:lineRule="auto"/>
        <w:rPr>
          <w:rFonts w:ascii="Times New Roman" w:cs="Times New Roman" w:eastAsia="Times New Roman" w:hAnsi="Times New Roman"/>
        </w:rPr>
      </w:pPr>
      <w:r>
        <w:rPr>
          <w:rFonts w:ascii="Times New Roman" w:cs="Times New Roman" w:eastAsia="Times New Roman" w:hAnsi="Times New Roman"/>
          <w:rtl w:val="0"/>
        </w:rPr>
        <w:t xml:space="preserve"> </w:t>
      </w:r>
    </w:p>
    <w:p w:rsidR="00000000" w:rsidDel="00000000" w:rsidP="00000000" w:rsidRDefault="00000000" w:rsidRPr="00000000" w14:paraId="00000127">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oyd2zhrb21ba" w:id="11"/>
      <w:bookmarkEnd w:id="11"/>
      <w:r>
        <w:rPr>
          <w:rFonts w:ascii="Times New Roman" w:cs="Times New Roman" w:eastAsia="Times New Roman" w:hAnsi="Times New Roman"/>
          <w:b w:val="1"/>
          <w:bCs w:val="1"/>
          <w:sz w:val="46"/>
          <w:szCs w:val="46"/>
          <w:rtl w:val="0"/>
        </w:rPr>
        <w:t xml:space="preserve">IV.  Discount Rate Calculations</w:t>
      </w:r>
    </w:p>
    <w:p w:rsidR="00000000" w:rsidDel="00000000" w:rsidP="00000000" w:rsidRDefault="00000000" w:rsidRPr="00000000" w14:paraId="00000128">
      <w:pPr>
        <w:spacing w:after="80" w:before="80" w:lineRule="auto"/>
        <w:ind w:firstLine="20"/>
        <w:jc w:val="both"/>
        <w:rPr>
          <w:rFonts w:ascii="Times New Roman" w:cs="Times New Roman" w:eastAsia="Times New Roman" w:hAnsi="Times New Roman"/>
        </w:rPr>
      </w:pPr>
      <w:r>
        <w:rPr>
          <w:rFonts w:ascii="Times New Roman" w:cs="Times New Roman" w:eastAsia="Times New Roman" w:hAnsi="Times New Roman"/>
          <w:rtl w:val="0"/>
        </w:rPr>
        <w:t xml:space="preserve">An overall weighted average cost of capital (WACC) that incorporates the capital structure as well as cost of common equity and debt was estimated for Sysco Corporation in the context of its proposed $29 billion acquisition of Jetro Restaurant Depot. Given that Sysco plans to finance approximately $22 billion of this acquisition with new debt, the capital structure will shift significantly, and this analysis reflects those post-acquisition implications.</w:t>
      </w:r>
    </w:p>
    <w:p w:rsidR="00000000" w:rsidDel="00000000" w:rsidP="00000000" w:rsidRDefault="00000000" w:rsidRPr="00000000" w14:paraId="00000129">
      <w:pPr>
        <w:spacing w:before="80" w:lineRule="auto"/>
        <w:rPr>
          <w:rFonts w:ascii="Times New Roman" w:cs="Times New Roman" w:eastAsia="Times New Roman" w:hAnsi="Times New Roman"/>
        </w:rPr>
      </w:pPr>
      <w:r>
        <w:rPr>
          <w:rFonts w:ascii="Times New Roman" w:cs="Times New Roman" w:eastAsia="Times New Roman" w:hAnsi="Times New Roman"/>
          <w:rtl w:val="0"/>
        </w:rPr>
        <w:t xml:space="preserve"> </w:t>
      </w:r>
    </w:p>
    <w:p w:rsidR="00000000" w:rsidDel="00000000" w:rsidP="00000000" w:rsidRDefault="00000000" w:rsidRPr="00000000" w14:paraId="0000012A">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6145jq6bu4ih" w:id="12"/>
      <w:bookmarkEnd w:id="12"/>
      <w:r>
        <w:rPr>
          <w:rFonts w:ascii="Times New Roman" w:cs="Times New Roman" w:eastAsia="Times New Roman" w:hAnsi="Times New Roman"/>
          <w:b w:val="1"/>
          <w:bCs w:val="1"/>
          <w:sz w:val="34"/>
          <w:szCs w:val="34"/>
          <w:rtl w:val="0"/>
        </w:rPr>
        <w:t xml:space="preserve">IV.I  Cost of Equity</w:t>
      </w:r>
    </w:p>
    <w:p w:rsidR="00000000" w:rsidDel="00000000" w:rsidP="00000000" w:rsidRDefault="00000000" w:rsidRPr="00000000" w14:paraId="0000012B">
      <w:pPr>
        <w:spacing w:after="80" w:before="80" w:lineRule="auto"/>
        <w:ind w:firstLine="20"/>
        <w:jc w:val="both"/>
        <w:rPr>
          <w:rFonts w:ascii="Times New Roman" w:cs="Times New Roman" w:eastAsia="Times New Roman" w:hAnsi="Times New Roman"/>
        </w:rPr>
      </w:pPr>
      <w:r>
        <w:rPr>
          <w:rFonts w:ascii="Times New Roman" w:cs="Times New Roman" w:eastAsia="Times New Roman" w:hAnsi="Times New Roman"/>
          <w:rtl w:val="0"/>
        </w:rPr>
        <w:t xml:space="preserve">The cost of equity was calculated using the Capital Asset Pricing Model (CAPM): Re = Rf + B(Rm-Rf). The values for the variables in the model are summarized below.</w:t>
      </w:r>
    </w:p>
    <w:p w:rsidR="00000000" w:rsidDel="00000000" w:rsidP="00000000" w:rsidRDefault="00000000" w:rsidRPr="00000000" w14:paraId="0000012C">
      <w:pPr>
        <w:spacing w:before="60" w:lineRule="auto"/>
        <w:rPr>
          <w:rFonts w:ascii="Times New Roman" w:cs="Times New Roman" w:eastAsia="Times New Roman" w:hAnsi="Times New Roman"/>
        </w:rPr>
      </w:pPr>
      <w:r>
        <w:rPr>
          <w:rFonts w:ascii="Times New Roman" w:cs="Times New Roman" w:eastAsia="Times New Roman" w:hAnsi="Times New Roman"/>
          <w:rtl w:val="0"/>
        </w:rPr>
        <w:t xml:space="preserve"> </w:t>
      </w:r>
    </w:p>
    <w:p w:rsidR="00000000" w:rsidDel="00000000" w:rsidP="00000000" w:rsidRDefault="00000000" w:rsidRPr="00000000" w14:paraId="0000012D">
      <w:pPr>
        <w:spacing w:after="60" w:before="80" w:lineRule="auto"/>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Table 5  Cost of Equity Inputs</w:t>
      </w:r>
    </w:p>
    <w:tbl>
      <w:tblPr>
        <w:tblStyle w:val="Table6"/>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2565"/>
        <w:gridCol w:w="4170"/>
        <w:tblGridChange w:id="0">
          <w:tblGrid>
            <w:gridCol w:w="2595"/>
            <w:gridCol w:w="2565"/>
            <w:gridCol w:w="4170"/>
          </w:tblGrid>
        </w:tblGridChange>
      </w:tblGrid>
      <w:tr>
        <w:trPr>
          <w:cantSplit w:val="0"/>
          <w:trHeight w:val="435" w:hRule="atLeast"/>
          <w:tblHeader w:val="0"/>
        </w:trPr>
        <w:tc>
          <w:tcPr>
            <w:tcBorders>
              <w:top w:color="aaaaaa" w:space="0" w:sz="8" w:val="single"/>
              <w:left w:color="aaaaaa" w:space="0" w:sz="8" w:val="single"/>
              <w:bottom w:color="aaaaaa" w:space="0" w:sz="8" w:val="single"/>
              <w:right w:color="aaaaaa" w:space="0" w:sz="8" w:val="single"/>
            </w:tcBorders>
            <w:shd w:fill="d9d9d9" w:val="clear"/>
            <w:tcMar>
              <w:top w:w="80.0" w:type="dxa"/>
              <w:left w:w="120.0" w:type="dxa"/>
              <w:bottom w:w="80.0" w:type="dxa"/>
              <w:right w:w="120.0" w:type="dxa"/>
            </w:tcMar>
            <w:vAlign w:val="top"/>
          </w:tcPr>
          <w:p w:rsidR="00000000" w:rsidDel="00000000" w:rsidP="00000000" w:rsidRDefault="00000000" w:rsidRPr="00000000" w14:paraId="0000012E">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Variable</w:t>
            </w:r>
          </w:p>
        </w:tc>
        <w:tc>
          <w:tcPr>
            <w:tcBorders>
              <w:top w:color="aaaaaa" w:space="0" w:sz="8" w:val="single"/>
              <w:left w:color="000000" w:space="0" w:sz="0" w:val="nil"/>
              <w:bottom w:color="aaaaaa" w:space="0" w:sz="8" w:val="single"/>
              <w:right w:color="aaaaaa" w:space="0" w:sz="8" w:val="single"/>
            </w:tcBorders>
            <w:shd w:fill="d9d9d9" w:val="clear"/>
            <w:tcMar>
              <w:top w:w="80.0" w:type="dxa"/>
              <w:left w:w="120.0" w:type="dxa"/>
              <w:bottom w:w="80.0" w:type="dxa"/>
              <w:right w:w="120.0" w:type="dxa"/>
            </w:tcMar>
            <w:vAlign w:val="top"/>
          </w:tcPr>
          <w:p w:rsidR="00000000" w:rsidDel="00000000" w:rsidP="00000000" w:rsidRDefault="00000000" w:rsidRPr="00000000" w14:paraId="0000012F">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Value</w:t>
            </w:r>
          </w:p>
        </w:tc>
        <w:tc>
          <w:tcPr>
            <w:tcBorders>
              <w:top w:color="aaaaaa" w:space="0" w:sz="8" w:val="single"/>
              <w:left w:color="000000" w:space="0" w:sz="0" w:val="nil"/>
              <w:bottom w:color="aaaaaa" w:space="0" w:sz="8" w:val="single"/>
              <w:right w:color="aaaaaa" w:space="0" w:sz="8" w:val="single"/>
            </w:tcBorders>
            <w:shd w:fill="d9d9d9" w:val="clear"/>
            <w:tcMar>
              <w:top w:w="80.0" w:type="dxa"/>
              <w:left w:w="120.0" w:type="dxa"/>
              <w:bottom w:w="80.0" w:type="dxa"/>
              <w:right w:w="120.0" w:type="dxa"/>
            </w:tcMar>
            <w:vAlign w:val="top"/>
          </w:tcPr>
          <w:p w:rsidR="00000000" w:rsidDel="00000000" w:rsidP="00000000" w:rsidRDefault="00000000" w:rsidRPr="00000000" w14:paraId="00000130">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Calculation</w:t>
            </w:r>
          </w:p>
        </w:tc>
      </w:tr>
      <w:tr>
        <w:trPr>
          <w:cantSplit w:val="0"/>
          <w:trHeight w:val="705" w:hRule="atLeast"/>
          <w:tblHeader w:val="0"/>
        </w:trPr>
        <w:tc>
          <w:tcPr>
            <w:tcBorders>
              <w:top w:color="000000" w:space="0" w:sz="0" w:val="nil"/>
              <w:left w:color="aaaaaa" w:space="0" w:sz="8" w:val="single"/>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31">
            <w:pP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Risk-Free Rate</w:t>
            </w:r>
          </w:p>
        </w:tc>
        <w:tc>
          <w:tcPr>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32">
            <w:pPr>
              <w:rPr>
                <w:rFonts w:ascii="Times New Roman" w:cs="Times New Roman" w:eastAsia="Times New Roman" w:hAnsi="Times New Roman"/>
              </w:rPr>
            </w:pPr>
            <w:r>
              <w:rPr>
                <w:rFonts w:ascii="Times New Roman" w:cs="Times New Roman" w:eastAsia="Times New Roman" w:hAnsi="Times New Roman"/>
                <w:rtl w:val="0"/>
              </w:rPr>
              <w:t xml:space="preserve">4.00%</w:t>
            </w:r>
          </w:p>
        </w:tc>
        <w:tc>
          <w:tcPr>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33">
            <w:pPr>
              <w:rPr>
                <w:rFonts w:ascii="Times New Roman" w:cs="Times New Roman" w:eastAsia="Times New Roman" w:hAnsi="Times New Roman"/>
              </w:rPr>
            </w:pPr>
            <w:r>
              <w:rPr>
                <w:rFonts w:ascii="Times New Roman" w:cs="Times New Roman" w:eastAsia="Times New Roman" w:hAnsi="Times New Roman"/>
                <w:rtl w:val="0"/>
              </w:rPr>
              <w:t xml:space="preserve">10-year U.S. Treasury yield used as the annualized risk-free rate.</w:t>
            </w:r>
          </w:p>
        </w:tc>
      </w:tr>
      <w:tr>
        <w:trPr>
          <w:cantSplit w:val="0"/>
          <w:trHeight w:val="2265" w:hRule="atLeast"/>
          <w:tblHeader w:val="0"/>
        </w:trPr>
        <w:tc>
          <w:tcPr>
            <w:tcBorders>
              <w:top w:color="000000" w:space="0" w:sz="0" w:val="nil"/>
              <w:left w:color="aaaaaa" w:space="0" w:sz="8" w:val="single"/>
              <w:bottom w:color="aaaaaa" w:space="0" w:sz="8" w:val="single"/>
              <w:right w:color="aaaaaa"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134">
            <w:pP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Beta</w:t>
            </w:r>
          </w:p>
        </w:tc>
        <w:tc>
          <w:tcPr>
            <w:tcBorders>
              <w:top w:color="000000" w:space="0" w:sz="0" w:val="nil"/>
              <w:left w:color="000000" w:space="0" w:sz="0" w:val="nil"/>
              <w:bottom w:color="aaaaaa" w:space="0" w:sz="8" w:val="single"/>
              <w:right w:color="aaaaaa"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135">
            <w:pPr>
              <w:rPr>
                <w:rFonts w:ascii="Times New Roman" w:cs="Times New Roman" w:eastAsia="Times New Roman" w:hAnsi="Times New Roman"/>
              </w:rPr>
            </w:pPr>
            <w:r>
              <w:rPr>
                <w:rFonts w:ascii="Times New Roman" w:cs="Times New Roman" w:eastAsia="Times New Roman" w:hAnsi="Times New Roman"/>
                <w:rtl w:val="0"/>
              </w:rPr>
              <w:t xml:space="preserve">Levered Beta: 0.73 Unlevered Beta: 0.55</w:t>
            </w:r>
          </w:p>
        </w:tc>
        <w:tc>
          <w:tcPr>
            <w:tcBorders>
              <w:top w:color="000000" w:space="0" w:sz="0" w:val="nil"/>
              <w:left w:color="000000" w:space="0" w:sz="0" w:val="nil"/>
              <w:bottom w:color="aaaaaa" w:space="0" w:sz="8" w:val="single"/>
              <w:right w:color="aaaaaa"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136">
            <w:pPr>
              <w:rPr>
                <w:rFonts w:ascii="Times New Roman" w:cs="Times New Roman" w:eastAsia="Times New Roman" w:hAnsi="Times New Roman"/>
              </w:rPr>
            </w:pPr>
            <w:r>
              <w:rPr>
                <w:rFonts w:ascii="Times New Roman" w:cs="Times New Roman" w:eastAsia="Times New Roman" w:hAnsi="Times New Roman"/>
                <w:rtl w:val="0"/>
              </w:rPr>
              <w:t xml:space="preserve">Sysco’s unlevered beta of 0.55 reflects the 90-day unlevered beta sourced from FactSet. The $22B debt issuance shifts the capital structure to approximately 50/50, requiring a re-levered beta. The Hamada Equation was applied: BL = BU x (1 + (1-T) x D/E), yielding a levered beta of 0.73 using a 24% tax rate.</w:t>
            </w:r>
          </w:p>
        </w:tc>
      </w:tr>
      <w:tr>
        <w:trPr>
          <w:cantSplit w:val="0"/>
          <w:trHeight w:val="705" w:hRule="atLeast"/>
          <w:tblHeader w:val="0"/>
        </w:trPr>
        <w:tc>
          <w:tcPr>
            <w:tcBorders>
              <w:top w:color="000000" w:space="0" w:sz="0" w:val="nil"/>
              <w:left w:color="aaaaaa" w:space="0" w:sz="8" w:val="single"/>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37">
            <w:pP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Market Risk Premium</w:t>
            </w:r>
          </w:p>
        </w:tc>
        <w:tc>
          <w:tcPr>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38">
            <w:pPr>
              <w:rPr>
                <w:rFonts w:ascii="Times New Roman" w:cs="Times New Roman" w:eastAsia="Times New Roman" w:hAnsi="Times New Roman"/>
              </w:rPr>
            </w:pPr>
            <w:r>
              <w:rPr>
                <w:rFonts w:ascii="Times New Roman" w:cs="Times New Roman" w:eastAsia="Times New Roman" w:hAnsi="Times New Roman"/>
                <w:rtl w:val="0"/>
              </w:rPr>
              <w:t xml:space="preserve">5.0%</w:t>
            </w:r>
          </w:p>
        </w:tc>
        <w:tc>
          <w:tcPr>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39">
            <w:pPr>
              <w:rPr>
                <w:rFonts w:ascii="Times New Roman" w:cs="Times New Roman" w:eastAsia="Times New Roman" w:hAnsi="Times New Roman"/>
              </w:rPr>
            </w:pPr>
            <w:r>
              <w:rPr>
                <w:rFonts w:ascii="Times New Roman" w:cs="Times New Roman" w:eastAsia="Times New Roman" w:hAnsi="Times New Roman"/>
                <w:rtl w:val="0"/>
              </w:rPr>
              <w:t xml:space="preserve">Historical average equity risk premium for the S&amp;P 500.</w:t>
            </w:r>
          </w:p>
        </w:tc>
      </w:tr>
      <w:tr>
        <w:trPr>
          <w:cantSplit w:val="0"/>
          <w:trHeight w:val="435" w:hRule="atLeast"/>
          <w:tblHeader w:val="0"/>
        </w:trPr>
        <w:tc>
          <w:tcPr>
            <w:tcBorders>
              <w:top w:color="000000" w:space="0" w:sz="0" w:val="nil"/>
              <w:left w:color="aaaaaa" w:space="0" w:sz="8" w:val="single"/>
              <w:bottom w:color="aaaaaa" w:space="0" w:sz="8" w:val="single"/>
              <w:right w:color="aaaaaa"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13A">
            <w:pP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Cost of Equity</w:t>
            </w:r>
          </w:p>
        </w:tc>
        <w:tc>
          <w:tcPr>
            <w:tcBorders>
              <w:top w:color="000000" w:space="0" w:sz="0" w:val="nil"/>
              <w:left w:color="000000" w:space="0" w:sz="0" w:val="nil"/>
              <w:bottom w:color="aaaaaa" w:space="0" w:sz="8" w:val="single"/>
              <w:right w:color="aaaaaa"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13B">
            <w:pPr>
              <w:rPr>
                <w:rFonts w:ascii="Times New Roman" w:cs="Times New Roman" w:eastAsia="Times New Roman" w:hAnsi="Times New Roman"/>
              </w:rPr>
            </w:pPr>
            <w:r>
              <w:rPr>
                <w:rFonts w:ascii="Times New Roman" w:cs="Times New Roman" w:eastAsia="Times New Roman" w:hAnsi="Times New Roman"/>
                <w:rtl w:val="0"/>
              </w:rPr>
              <w:t xml:space="preserve">7.651%</w:t>
            </w:r>
          </w:p>
        </w:tc>
        <w:tc>
          <w:tcPr>
            <w:tcBorders>
              <w:top w:color="000000" w:space="0" w:sz="0" w:val="nil"/>
              <w:left w:color="000000" w:space="0" w:sz="0" w:val="nil"/>
              <w:bottom w:color="aaaaaa" w:space="0" w:sz="8" w:val="single"/>
              <w:right w:color="aaaaaa"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13C">
            <w:pPr>
              <w:rPr>
                <w:rFonts w:ascii="Times New Roman" w:cs="Times New Roman" w:eastAsia="Times New Roman" w:hAnsi="Times New Roman"/>
              </w:rPr>
            </w:pPr>
            <w:r>
              <w:rPr>
                <w:rFonts w:ascii="Times New Roman" w:cs="Times New Roman" w:eastAsia="Times New Roman" w:hAnsi="Times New Roman"/>
                <w:rtl w:val="0"/>
              </w:rPr>
              <w:t xml:space="preserve">Re = 4.00% + 0.73 x 5.0% = 7.651%</w:t>
            </w:r>
          </w:p>
        </w:tc>
      </w:tr>
    </w:tbl>
    <w:p w:rsidR="00000000" w:rsidDel="00000000" w:rsidP="00000000" w:rsidRDefault="00000000" w:rsidRPr="00000000" w14:paraId="0000013D">
      <w:pPr>
        <w:spacing w:before="80" w:lineRule="auto"/>
        <w:rPr>
          <w:rFonts w:ascii="Times New Roman" w:cs="Times New Roman" w:eastAsia="Times New Roman" w:hAnsi="Times New Roman"/>
        </w:rPr>
      </w:pPr>
      <w:r>
        <w:rPr>
          <w:rFonts w:ascii="Times New Roman" w:cs="Times New Roman" w:eastAsia="Times New Roman" w:hAnsi="Times New Roman"/>
          <w:rtl w:val="0"/>
        </w:rPr>
        <w:t xml:space="preserve"> </w:t>
      </w:r>
    </w:p>
    <w:p w:rsidR="00000000" w:rsidDel="00000000" w:rsidP="00000000" w:rsidRDefault="00000000" w:rsidRPr="00000000" w14:paraId="0000013E">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3mr8t4sgsjzg" w:id="13"/>
      <w:bookmarkEnd w:id="13"/>
      <w:r>
        <w:rPr>
          <w:rFonts w:ascii="Times New Roman" w:cs="Times New Roman" w:eastAsia="Times New Roman" w:hAnsi="Times New Roman"/>
          <w:b w:val="1"/>
          <w:bCs w:val="1"/>
          <w:sz w:val="34"/>
          <w:szCs w:val="34"/>
          <w:rtl w:val="0"/>
        </w:rPr>
        <w:t xml:space="preserve">IV.II  Cost of Debt</w:t>
      </w:r>
    </w:p>
    <w:p w:rsidR="00000000" w:rsidDel="00000000" w:rsidP="00000000" w:rsidRDefault="00000000" w:rsidRPr="00000000" w14:paraId="0000013F">
      <w:pPr>
        <w:spacing w:after="80" w:before="80" w:lineRule="auto"/>
        <w:ind w:firstLine="20"/>
        <w:jc w:val="both"/>
        <w:rPr>
          <w:rFonts w:ascii="Times New Roman" w:cs="Times New Roman" w:eastAsia="Times New Roman" w:hAnsi="Times New Roman"/>
        </w:rPr>
      </w:pPr>
      <w:r>
        <w:rPr>
          <w:rFonts w:ascii="Times New Roman" w:cs="Times New Roman" w:eastAsia="Times New Roman" w:hAnsi="Times New Roman"/>
          <w:rtl w:val="0"/>
        </w:rPr>
        <w:t xml:space="preserve">Sysco carries significant long-term debt through its outstanding bond portfolio. The company holds an investment-grade credit rating (BBB) and plans to issue approximately $22 billion in new debt to finance the Jetro Restaurant Depot acquisition. There are two key considerations in estimating the cost of debt:</w:t>
      </w:r>
    </w:p>
    <w:p w:rsidR="00000000" w:rsidDel="00000000" w:rsidP="00000000" w:rsidRDefault="00000000" w:rsidRPr="00000000" w14:paraId="00000140">
      <w:pPr>
        <w:spacing w:after="60" w:before="60" w:lineRule="auto"/>
        <w:ind w:left="720" w:firstLine="0"/>
        <w:rPr>
          <w:rFonts w:ascii="Times New Roman" w:cs="Times New Roman" w:eastAsia="Times New Roman" w:hAnsi="Times New Roman"/>
        </w:rPr>
      </w:pPr>
      <w:r>
        <w:rPr>
          <w:rFonts w:ascii="Times New Roman" w:cs="Times New Roman" w:eastAsia="Times New Roman" w:hAnsi="Times New Roman"/>
          <w:rtl w:val="0"/>
        </w:rPr>
        <w:t xml:space="preserve">◆</w:t>
      </w:r>
      <w:r>
        <w:rPr>
          <w:rFonts w:ascii="Times New Roman" w:cs="Times New Roman" w:eastAsia="Times New Roman" w:hAnsi="Times New Roman"/>
          <w:sz w:val="14"/>
          <w:szCs w:val="14"/>
          <w:rtl w:val="0"/>
        </w:rPr>
        <w:t xml:space="preserve">    </w:t>
      </w:r>
      <w:r>
        <w:rPr>
          <w:rFonts w:ascii="Times New Roman" w:cs="Times New Roman" w:eastAsia="Times New Roman" w:hAnsi="Times New Roman"/>
          <w:rtl w:val="0"/>
        </w:rPr>
        <w:t xml:space="preserve">Bond YTM-Based Cost of Debt: The weighted average yield to maturity (YTM) across all of Sysco's outstanding bonds was calculated using data sourced from Yahoo Finance. Current debt outstanding stands at $36,970 million.</w:t>
      </w:r>
    </w:p>
    <w:p w:rsidR="00000000" w:rsidDel="00000000" w:rsidP="00000000" w:rsidRDefault="00000000" w:rsidRPr="00000000" w14:paraId="00000141">
      <w:pPr>
        <w:spacing w:after="60" w:before="60" w:lineRule="auto"/>
        <w:ind w:left="720" w:firstLine="0"/>
        <w:rPr>
          <w:rFonts w:ascii="Times New Roman" w:cs="Times New Roman" w:eastAsia="Times New Roman" w:hAnsi="Times New Roman"/>
        </w:rPr>
      </w:pPr>
      <w:r>
        <w:rPr>
          <w:rFonts w:ascii="Times New Roman" w:cs="Times New Roman" w:eastAsia="Times New Roman" w:hAnsi="Times New Roman"/>
          <w:rtl w:val="0"/>
        </w:rPr>
        <w:t xml:space="preserve">◆</w:t>
      </w:r>
      <w:r>
        <w:rPr>
          <w:rFonts w:ascii="Times New Roman" w:cs="Times New Roman" w:eastAsia="Times New Roman" w:hAnsi="Times New Roman"/>
          <w:sz w:val="14"/>
          <w:szCs w:val="14"/>
          <w:rtl w:val="0"/>
        </w:rPr>
        <w:t xml:space="preserve">    </w:t>
      </w:r>
      <w:r>
        <w:rPr>
          <w:rFonts w:ascii="Times New Roman" w:cs="Times New Roman" w:eastAsia="Times New Roman" w:hAnsi="Times New Roman"/>
          <w:rtl w:val="0"/>
        </w:rPr>
        <w:t xml:space="preserve">Acquisition Premium Adjustment: A 1% credit spread premium was added to the average YTM to reflect the anticipated issuance of $22 billion in new debt. With Sysco's rating sitting between Baa1 and BBB following the acquisition, a 1% spread over Treasuries is supported by market data, as January 2026 default spread table places BBB-rated firms at 1.11%. This premium captures both the sheer volume of new debt and the elevated risk profile Sysco assumes through a leveraged acquisition of this scale.</w:t>
      </w:r>
    </w:p>
    <w:p w:rsidR="00000000" w:rsidDel="00000000" w:rsidP="00000000" w:rsidRDefault="00000000" w:rsidRPr="00000000" w14:paraId="00000142">
      <w:pPr>
        <w:spacing w:before="60" w:lineRule="auto"/>
        <w:rPr>
          <w:rFonts w:ascii="Times New Roman" w:cs="Times New Roman" w:eastAsia="Times New Roman" w:hAnsi="Times New Roman"/>
        </w:rPr>
      </w:pPr>
      <w:r>
        <w:rPr>
          <w:rFonts w:ascii="Times New Roman" w:cs="Times New Roman" w:eastAsia="Times New Roman" w:hAnsi="Times New Roman"/>
          <w:rtl w:val="0"/>
        </w:rPr>
        <w:t xml:space="preserve"> </w:t>
      </w:r>
    </w:p>
    <w:p w:rsidR="00000000" w:rsidDel="00000000" w:rsidP="00000000" w:rsidRDefault="00000000" w:rsidRPr="00000000" w14:paraId="00000143">
      <w:pPr>
        <w:spacing w:after="80" w:before="80" w:lineRule="auto"/>
        <w:ind w:firstLine="20"/>
        <w:jc w:val="both"/>
        <w:rPr>
          <w:rFonts w:ascii="Times New Roman" w:cs="Times New Roman" w:eastAsia="Times New Roman" w:hAnsi="Times New Roman"/>
        </w:rPr>
      </w:pPr>
      <w:r>
        <w:rPr>
          <w:rFonts w:ascii="Times New Roman" w:cs="Times New Roman" w:eastAsia="Times New Roman" w:hAnsi="Times New Roman"/>
          <w:rtl w:val="0"/>
        </w:rPr>
        <w:t xml:space="preserve">The pre-tax cost of debt was determined to be 6.4%. Applying the after-tax adjustment using Sysco's marginal tax rate of 24%:</w:t>
      </w:r>
    </w:p>
    <w:p w:rsidR="00000000" w:rsidDel="00000000" w:rsidP="00000000" w:rsidRDefault="00000000" w:rsidRPr="00000000" w14:paraId="00000144">
      <w:pPr>
        <w:spacing w:after="120" w:before="120" w:lineRule="auto"/>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kd x (1-t) = 6.4% x (1 0.24) = 4.86%</w:t>
      </w:r>
    </w:p>
    <w:p w:rsidR="00000000" w:rsidDel="00000000" w:rsidP="00000000" w:rsidRDefault="00000000" w:rsidRPr="00000000" w14:paraId="00000145">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fvx3znepe09p" w:id="14"/>
      <w:bookmarkEnd w:id="14"/>
      <w:r>
        <w:rPr>
          <w:rFonts w:ascii="Times New Roman" w:cs="Times New Roman" w:eastAsia="Times New Roman" w:hAnsi="Times New Roman"/>
          <w:b w:val="1"/>
          <w:bCs w:val="1"/>
          <w:sz w:val="34"/>
          <w:szCs w:val="34"/>
          <w:rtl w:val="0"/>
        </w:rPr>
        <w:t xml:space="preserve">IV.III  Capital Structure</w:t>
      </w:r>
    </w:p>
    <w:p w:rsidR="00000000" w:rsidDel="00000000" w:rsidP="00000000" w:rsidRDefault="00000000" w:rsidRPr="00000000" w14:paraId="00000146">
      <w:pPr>
        <w:spacing w:after="80" w:before="80" w:lineRule="auto"/>
        <w:ind w:firstLine="20"/>
        <w:jc w:val="both"/>
        <w:rPr>
          <w:rFonts w:ascii="Times New Roman" w:cs="Times New Roman" w:eastAsia="Times New Roman" w:hAnsi="Times New Roman"/>
        </w:rPr>
      </w:pPr>
      <w:r>
        <w:rPr>
          <w:rFonts w:ascii="Times New Roman" w:cs="Times New Roman" w:eastAsia="Times New Roman" w:hAnsi="Times New Roman"/>
          <w:rtl w:val="0"/>
        </w:rPr>
        <w:t xml:space="preserve">Market value was employed for equity, derived from Sysco's current stock price of $71 and 478 million shares outstanding, yielding a market capitalization of approximately $33.96 billion. Total debt, including current debt of $36,970 million plus the planned $22 billion acquisition financing, results in a significantly expanded debt base. After accounting for the new acquisition debt, the capital structure shifts from a historical ~30% debt / 70% equity split to approximately:</w:t>
      </w:r>
    </w:p>
    <w:p w:rsidR="00000000" w:rsidDel="00000000" w:rsidP="00000000" w:rsidRDefault="00000000" w:rsidRPr="00000000" w14:paraId="00000147">
      <w:pPr>
        <w:spacing w:after="120" w:before="120" w:lineRule="auto"/>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We = 47.9% </w:t>
        <w:tab/>
        <w:t xml:space="preserve">Wd = 52.1%</w:t>
      </w:r>
    </w:p>
    <w:p w:rsidR="00000000" w:rsidDel="00000000" w:rsidP="00000000" w:rsidRDefault="00000000" w:rsidRPr="00000000" w14:paraId="00000148">
      <w:pPr>
        <w:spacing w:after="80" w:before="80" w:lineRule="auto"/>
        <w:ind w:firstLine="20"/>
        <w:jc w:val="both"/>
        <w:rPr>
          <w:rFonts w:ascii="Times New Roman" w:cs="Times New Roman" w:eastAsia="Times New Roman" w:hAnsi="Times New Roman"/>
        </w:rPr>
      </w:pPr>
      <w:r>
        <w:rPr>
          <w:rFonts w:ascii="Times New Roman" w:cs="Times New Roman" w:eastAsia="Times New Roman" w:hAnsi="Times New Roman"/>
          <w:rtl w:val="0"/>
        </w:rPr>
        <w:t xml:space="preserve">This re-weighting drove the decision to use the levered beta of 0.73 rather than the unlevered beta of 0.55, as it appropriately captures the increased financial risk to equity holders under the new capital structure.</w:t>
      </w:r>
    </w:p>
    <w:p w:rsidR="00000000" w:rsidDel="00000000" w:rsidP="00000000" w:rsidRDefault="00000000" w:rsidRPr="00000000" w14:paraId="0000014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psf33sr9et0n" w:id="15"/>
      <w:bookmarkEnd w:id="15"/>
      <w:r>
        <w:rPr>
          <w:rFonts w:ascii="Times New Roman" w:cs="Times New Roman" w:eastAsia="Times New Roman" w:hAnsi="Times New Roman"/>
          <w:b w:val="1"/>
          <w:bCs w:val="1"/>
          <w:sz w:val="34"/>
          <w:szCs w:val="34"/>
          <w:rtl w:val="0"/>
        </w:rPr>
        <w:t xml:space="preserve">IV.IV  WACC</w:t>
      </w:r>
    </w:p>
    <w:p w:rsidR="00000000" w:rsidDel="00000000" w:rsidP="00000000" w:rsidRDefault="00000000" w:rsidRPr="00000000" w14:paraId="0000014A">
      <w:pPr>
        <w:spacing w:after="40" w:before="80" w:lineRule="auto"/>
        <w:jc w:val="center"/>
        <w:rPr>
          <w:rFonts w:ascii="Times New Roman" w:cs="Times New Roman" w:eastAsia="Times New Roman" w:hAnsi="Times New Roman"/>
        </w:rPr>
      </w:pPr>
      <w:r>
        <w:rPr>
          <w:rFonts w:ascii="Times New Roman" w:cs="Times New Roman" w:eastAsia="Times New Roman" w:hAnsi="Times New Roman"/>
          <w:rtl w:val="0"/>
        </w:rPr>
        <w:t xml:space="preserve">WACC = We x ke + Wd x kd(1-t)</w:t>
      </w:r>
    </w:p>
    <w:p w:rsidR="00000000" w:rsidDel="00000000" w:rsidP="00000000" w:rsidRDefault="00000000" w:rsidRPr="00000000" w14:paraId="0000014B">
      <w:pPr>
        <w:spacing w:after="120" w:before="40" w:lineRule="auto"/>
        <w:jc w:val="center"/>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WACC = (0.479 x 7.651%) + (0.521 x 4.86%) = 6.19%</w:t>
      </w:r>
    </w:p>
    <w:p w:rsidR="00000000" w:rsidDel="00000000" w:rsidP="00000000" w:rsidRDefault="00000000" w:rsidRPr="00000000" w14:paraId="0000014C">
      <w:pPr>
        <w:spacing w:after="80" w:before="80" w:lineRule="auto"/>
        <w:ind w:firstLine="20"/>
        <w:jc w:val="both"/>
        <w:rPr>
          <w:rFonts w:ascii="Times New Roman" w:cs="Times New Roman" w:eastAsia="Times New Roman" w:hAnsi="Times New Roman"/>
        </w:rPr>
      </w:pPr>
      <w:r>
        <w:rPr>
          <w:rFonts w:ascii="Times New Roman" w:cs="Times New Roman" w:eastAsia="Times New Roman" w:hAnsi="Times New Roman"/>
          <w:rtl w:val="0"/>
        </w:rPr>
        <w:t xml:space="preserve">The resulting WACC of 6.19% reflects the post-acquisition capital structure, incorporating the elevated cost of debt from the $22 billion issuance and the higher levered beta driven by the shift to a near-equal debt-equity mix. This WACC serves as the discount rate for the Jetro Restaurant Depot acquisition model.</w:t>
      </w:r>
    </w:p>
    <w:p w:rsidR="00000000" w:rsidDel="00000000" w:rsidP="00000000" w:rsidRDefault="00000000" w:rsidRPr="00000000" w14:paraId="0000014D">
      <w:pPr>
        <w:spacing w:before="80" w:lineRule="auto"/>
        <w:rPr>
          <w:rFonts w:ascii="Times New Roman" w:cs="Times New Roman" w:eastAsia="Times New Roman" w:hAnsi="Times New Roman"/>
        </w:rPr>
      </w:pPr>
      <w:r>
        <w:rPr>
          <w:rFonts w:ascii="Times New Roman" w:cs="Times New Roman" w:eastAsia="Times New Roman" w:hAnsi="Times New Roman"/>
          <w:rtl w:val="0"/>
        </w:rPr>
        <w:t xml:space="preserve"> </w:t>
      </w:r>
    </w:p>
    <w:p w:rsidR="00000000" w:rsidDel="00000000" w:rsidP="00000000" w:rsidRDefault="00000000" w:rsidRPr="00000000" w14:paraId="0000014E">
      <w:pPr>
        <w:spacing w:after="60" w:before="80" w:lineRule="auto"/>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Table 6  WACC Key Assumptions Summary</w:t>
      </w:r>
    </w:p>
    <w:tbl>
      <w:tblPr>
        <w:tblStyle w:val="Table7"/>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35"/>
        <w:gridCol w:w="2370"/>
        <w:gridCol w:w="3510"/>
        <w:tblGridChange w:id="0">
          <w:tblGrid>
            <w:gridCol w:w="3435"/>
            <w:gridCol w:w="2370"/>
            <w:gridCol w:w="3510"/>
          </w:tblGrid>
        </w:tblGridChange>
      </w:tblGrid>
      <w:tr>
        <w:trPr>
          <w:cantSplit w:val="0"/>
          <w:trHeight w:val="435" w:hRule="atLeast"/>
          <w:tblHeader w:val="0"/>
        </w:trPr>
        <w:tc>
          <w:tcPr>
            <w:tcBorders>
              <w:top w:color="aaaaaa" w:space="0" w:sz="8" w:val="single"/>
              <w:left w:color="aaaaaa" w:space="0" w:sz="8" w:val="single"/>
              <w:bottom w:color="aaaaaa" w:space="0" w:sz="8" w:val="single"/>
              <w:right w:color="aaaaaa" w:space="0" w:sz="8" w:val="single"/>
            </w:tcBorders>
            <w:shd w:fill="d9d9d9" w:val="clear"/>
            <w:tcMar>
              <w:top w:w="80.0" w:type="dxa"/>
              <w:left w:w="120.0" w:type="dxa"/>
              <w:bottom w:w="80.0" w:type="dxa"/>
              <w:right w:w="120.0" w:type="dxa"/>
            </w:tcMar>
            <w:vAlign w:val="top"/>
          </w:tcPr>
          <w:p w:rsidR="00000000" w:rsidDel="00000000" w:rsidP="00000000" w:rsidRDefault="00000000" w:rsidRPr="00000000" w14:paraId="0000014F">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Assumption</w:t>
            </w:r>
          </w:p>
        </w:tc>
        <w:tc>
          <w:tcPr>
            <w:tcBorders>
              <w:top w:color="aaaaaa" w:space="0" w:sz="8" w:val="single"/>
              <w:left w:color="000000" w:space="0" w:sz="0" w:val="nil"/>
              <w:bottom w:color="aaaaaa" w:space="0" w:sz="8" w:val="single"/>
              <w:right w:color="aaaaaa" w:space="0" w:sz="8" w:val="single"/>
            </w:tcBorders>
            <w:shd w:fill="d9d9d9" w:val="clear"/>
            <w:tcMar>
              <w:top w:w="80.0" w:type="dxa"/>
              <w:left w:w="120.0" w:type="dxa"/>
              <w:bottom w:w="80.0" w:type="dxa"/>
              <w:right w:w="120.0" w:type="dxa"/>
            </w:tcMar>
            <w:vAlign w:val="top"/>
          </w:tcPr>
          <w:p w:rsidR="00000000" w:rsidDel="00000000" w:rsidP="00000000" w:rsidRDefault="00000000" w:rsidRPr="00000000" w14:paraId="00000150">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Value</w:t>
            </w:r>
          </w:p>
        </w:tc>
        <w:tc>
          <w:tcPr>
            <w:tcBorders>
              <w:top w:color="aaaaaa" w:space="0" w:sz="8" w:val="single"/>
              <w:left w:color="000000" w:space="0" w:sz="0" w:val="nil"/>
              <w:bottom w:color="aaaaaa" w:space="0" w:sz="8" w:val="single"/>
              <w:right w:color="aaaaaa" w:space="0" w:sz="8" w:val="single"/>
            </w:tcBorders>
            <w:shd w:fill="d9d9d9" w:val="clear"/>
            <w:tcMar>
              <w:top w:w="80.0" w:type="dxa"/>
              <w:left w:w="120.0" w:type="dxa"/>
              <w:bottom w:w="80.0" w:type="dxa"/>
              <w:right w:w="120.0" w:type="dxa"/>
            </w:tcMar>
            <w:vAlign w:val="top"/>
          </w:tcPr>
          <w:p w:rsidR="00000000" w:rsidDel="00000000" w:rsidP="00000000" w:rsidRDefault="00000000" w:rsidRPr="00000000" w14:paraId="00000151">
            <w:pPr>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Notes</w:t>
            </w:r>
          </w:p>
        </w:tc>
      </w:tr>
      <w:tr>
        <w:trPr>
          <w:cantSplit w:val="0"/>
          <w:trHeight w:val="435" w:hRule="atLeast"/>
          <w:tblHeader w:val="0"/>
        </w:trPr>
        <w:tc>
          <w:tcPr>
            <w:tcBorders>
              <w:top w:color="000000" w:space="0" w:sz="0" w:val="nil"/>
              <w:left w:color="aaaaaa" w:space="0" w:sz="8" w:val="single"/>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52">
            <w:pP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Marginal Tax Rate</w:t>
            </w:r>
          </w:p>
        </w:tc>
        <w:tc>
          <w:tcPr>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53">
            <w:pPr>
              <w:rPr>
                <w:rFonts w:ascii="Times New Roman" w:cs="Times New Roman" w:eastAsia="Times New Roman" w:hAnsi="Times New Roman"/>
              </w:rPr>
            </w:pPr>
            <w:r>
              <w:rPr>
                <w:rFonts w:ascii="Times New Roman" w:cs="Times New Roman" w:eastAsia="Times New Roman" w:hAnsi="Times New Roman"/>
                <w:rtl w:val="0"/>
              </w:rPr>
              <w:t xml:space="preserve">24.0%</w:t>
            </w:r>
          </w:p>
        </w:tc>
        <w:tc>
          <w:tcPr>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54">
            <w:pPr>
              <w:rPr>
                <w:rFonts w:ascii="Times New Roman" w:cs="Times New Roman" w:eastAsia="Times New Roman" w:hAnsi="Times New Roman"/>
              </w:rPr>
            </w:pPr>
            <w:r>
              <w:rPr>
                <w:rFonts w:ascii="Times New Roman" w:cs="Times New Roman" w:eastAsia="Times New Roman" w:hAnsi="Times New Roman"/>
                <w:rtl w:val="0"/>
              </w:rPr>
              <w:t xml:space="preserve">Federal and state blended rate</w:t>
            </w:r>
          </w:p>
        </w:tc>
      </w:tr>
      <w:tr>
        <w:trPr>
          <w:cantSplit w:val="0"/>
          <w:trHeight w:val="435" w:hRule="atLeast"/>
          <w:tblHeader w:val="0"/>
        </w:trPr>
        <w:tc>
          <w:tcPr>
            <w:tcBorders>
              <w:top w:color="000000" w:space="0" w:sz="0" w:val="nil"/>
              <w:left w:color="aaaaaa" w:space="0" w:sz="8" w:val="single"/>
              <w:bottom w:color="aaaaaa" w:space="0" w:sz="8" w:val="single"/>
              <w:right w:color="aaaaaa"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155">
            <w:pP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Risk-Free Rate</w:t>
            </w:r>
          </w:p>
        </w:tc>
        <w:tc>
          <w:tcPr>
            <w:tcBorders>
              <w:top w:color="000000" w:space="0" w:sz="0" w:val="nil"/>
              <w:left w:color="000000" w:space="0" w:sz="0" w:val="nil"/>
              <w:bottom w:color="aaaaaa" w:space="0" w:sz="8" w:val="single"/>
              <w:right w:color="aaaaaa"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156">
            <w:pPr>
              <w:rPr>
                <w:rFonts w:ascii="Times New Roman" w:cs="Times New Roman" w:eastAsia="Times New Roman" w:hAnsi="Times New Roman"/>
              </w:rPr>
            </w:pPr>
            <w:r>
              <w:rPr>
                <w:rFonts w:ascii="Times New Roman" w:cs="Times New Roman" w:eastAsia="Times New Roman" w:hAnsi="Times New Roman"/>
                <w:rtl w:val="0"/>
              </w:rPr>
              <w:t xml:space="preserve">4.00%</w:t>
            </w:r>
          </w:p>
        </w:tc>
        <w:tc>
          <w:tcPr>
            <w:tcBorders>
              <w:top w:color="000000" w:space="0" w:sz="0" w:val="nil"/>
              <w:left w:color="000000" w:space="0" w:sz="0" w:val="nil"/>
              <w:bottom w:color="aaaaaa" w:space="0" w:sz="8" w:val="single"/>
              <w:right w:color="aaaaaa"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157">
            <w:pPr>
              <w:rPr>
                <w:rFonts w:ascii="Times New Roman" w:cs="Times New Roman" w:eastAsia="Times New Roman" w:hAnsi="Times New Roman"/>
              </w:rPr>
            </w:pPr>
            <w:r>
              <w:rPr>
                <w:rFonts w:ascii="Times New Roman" w:cs="Times New Roman" w:eastAsia="Times New Roman" w:hAnsi="Times New Roman"/>
                <w:rtl w:val="0"/>
              </w:rPr>
              <w:t xml:space="preserve">10-year U.S. Treasury yield</w:t>
            </w:r>
          </w:p>
        </w:tc>
      </w:tr>
      <w:tr>
        <w:trPr>
          <w:cantSplit w:val="0"/>
          <w:trHeight w:val="705" w:hRule="atLeast"/>
          <w:tblHeader w:val="0"/>
        </w:trPr>
        <w:tc>
          <w:tcPr>
            <w:tcBorders>
              <w:top w:color="000000" w:space="0" w:sz="0" w:val="nil"/>
              <w:left w:color="aaaaaa" w:space="0" w:sz="8" w:val="single"/>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58">
            <w:pP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Unlevered Beta</w:t>
            </w:r>
          </w:p>
        </w:tc>
        <w:tc>
          <w:tcPr>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59">
            <w:pPr>
              <w:rPr>
                <w:rFonts w:ascii="Times New Roman" w:cs="Times New Roman" w:eastAsia="Times New Roman" w:hAnsi="Times New Roman"/>
              </w:rPr>
            </w:pPr>
            <w:r>
              <w:rPr>
                <w:rFonts w:ascii="Times New Roman" w:cs="Times New Roman" w:eastAsia="Times New Roman" w:hAnsi="Times New Roman"/>
                <w:rtl w:val="0"/>
              </w:rPr>
              <w:t xml:space="preserve">0.55</w:t>
            </w:r>
          </w:p>
        </w:tc>
        <w:tc>
          <w:tcPr>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5A">
            <w:pPr>
              <w:rPr>
                <w:rFonts w:ascii="Times New Roman" w:cs="Times New Roman" w:eastAsia="Times New Roman" w:hAnsi="Times New Roman"/>
              </w:rPr>
            </w:pPr>
            <w:r>
              <w:rPr>
                <w:rFonts w:ascii="Times New Roman" w:cs="Times New Roman" w:eastAsia="Times New Roman" w:hAnsi="Times New Roman"/>
                <w:rtl w:val="0"/>
              </w:rPr>
              <w:t xml:space="preserve">90-day unlevered beta sourced from FactSet</w:t>
            </w:r>
          </w:p>
        </w:tc>
      </w:tr>
      <w:tr>
        <w:trPr>
          <w:cantSplit w:val="0"/>
          <w:trHeight w:val="705" w:hRule="atLeast"/>
          <w:tblHeader w:val="0"/>
        </w:trPr>
        <w:tc>
          <w:tcPr>
            <w:tcBorders>
              <w:top w:color="000000" w:space="0" w:sz="0" w:val="nil"/>
              <w:left w:color="aaaaaa" w:space="0" w:sz="8" w:val="single"/>
              <w:bottom w:color="aaaaaa" w:space="0" w:sz="8" w:val="single"/>
              <w:right w:color="aaaaaa"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15B">
            <w:pP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Levered Beta (used)</w:t>
            </w:r>
          </w:p>
        </w:tc>
        <w:tc>
          <w:tcPr>
            <w:tcBorders>
              <w:top w:color="000000" w:space="0" w:sz="0" w:val="nil"/>
              <w:left w:color="000000" w:space="0" w:sz="0" w:val="nil"/>
              <w:bottom w:color="aaaaaa" w:space="0" w:sz="8" w:val="single"/>
              <w:right w:color="aaaaaa"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15C">
            <w:pPr>
              <w:rPr>
                <w:rFonts w:ascii="Times New Roman" w:cs="Times New Roman" w:eastAsia="Times New Roman" w:hAnsi="Times New Roman"/>
              </w:rPr>
            </w:pPr>
            <w:r>
              <w:rPr>
                <w:rFonts w:ascii="Times New Roman" w:cs="Times New Roman" w:eastAsia="Times New Roman" w:hAnsi="Times New Roman"/>
                <w:rtl w:val="0"/>
              </w:rPr>
              <w:t xml:space="preserve">0.73</w:t>
            </w:r>
          </w:p>
        </w:tc>
        <w:tc>
          <w:tcPr>
            <w:tcBorders>
              <w:top w:color="000000" w:space="0" w:sz="0" w:val="nil"/>
              <w:left w:color="000000" w:space="0" w:sz="0" w:val="nil"/>
              <w:bottom w:color="aaaaaa" w:space="0" w:sz="8" w:val="single"/>
              <w:right w:color="aaaaaa"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15D">
            <w:pPr>
              <w:rPr>
                <w:rFonts w:ascii="Times New Roman" w:cs="Times New Roman" w:eastAsia="Times New Roman" w:hAnsi="Times New Roman"/>
              </w:rPr>
            </w:pPr>
            <w:r>
              <w:rPr>
                <w:rFonts w:ascii="Times New Roman" w:cs="Times New Roman" w:eastAsia="Times New Roman" w:hAnsi="Times New Roman"/>
                <w:rtl w:val="0"/>
              </w:rPr>
              <w:t xml:space="preserve">Post-acquisition capital structure (~50/50); Hamada Equation applied</w:t>
            </w:r>
          </w:p>
        </w:tc>
      </w:tr>
      <w:tr>
        <w:trPr>
          <w:cantSplit w:val="0"/>
          <w:trHeight w:val="435" w:hRule="atLeast"/>
          <w:tblHeader w:val="0"/>
        </w:trPr>
        <w:tc>
          <w:tcPr>
            <w:tcBorders>
              <w:top w:color="000000" w:space="0" w:sz="0" w:val="nil"/>
              <w:left w:color="aaaaaa" w:space="0" w:sz="8" w:val="single"/>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5E">
            <w:pP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Market Risk Premium</w:t>
            </w:r>
          </w:p>
        </w:tc>
        <w:tc>
          <w:tcPr>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5F">
            <w:pPr>
              <w:rPr>
                <w:rFonts w:ascii="Times New Roman" w:cs="Times New Roman" w:eastAsia="Times New Roman" w:hAnsi="Times New Roman"/>
              </w:rPr>
            </w:pPr>
            <w:r>
              <w:rPr>
                <w:rFonts w:ascii="Times New Roman" w:cs="Times New Roman" w:eastAsia="Times New Roman" w:hAnsi="Times New Roman"/>
                <w:rtl w:val="0"/>
              </w:rPr>
              <w:t xml:space="preserve">5.0%</w:t>
            </w:r>
          </w:p>
        </w:tc>
        <w:tc>
          <w:tcPr>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60">
            <w:pPr>
              <w:rPr>
                <w:rFonts w:ascii="Times New Roman" w:cs="Times New Roman" w:eastAsia="Times New Roman" w:hAnsi="Times New Roman"/>
              </w:rPr>
            </w:pPr>
            <w:r>
              <w:rPr>
                <w:rFonts w:ascii="Times New Roman" w:cs="Times New Roman" w:eastAsia="Times New Roman" w:hAnsi="Times New Roman"/>
                <w:rtl w:val="0"/>
              </w:rPr>
              <w:t xml:space="preserve">Historical S&amp;P 500 average</w:t>
            </w:r>
          </w:p>
        </w:tc>
      </w:tr>
      <w:tr>
        <w:trPr>
          <w:cantSplit w:val="0"/>
          <w:trHeight w:val="705" w:hRule="atLeast"/>
          <w:tblHeader w:val="0"/>
        </w:trPr>
        <w:tc>
          <w:tcPr>
            <w:tcBorders>
              <w:top w:color="000000" w:space="0" w:sz="0" w:val="nil"/>
              <w:left w:color="aaaaaa" w:space="0" w:sz="8" w:val="single"/>
              <w:bottom w:color="aaaaaa" w:space="0" w:sz="8" w:val="single"/>
              <w:right w:color="aaaaaa"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161">
            <w:pP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Pre-Tax Cost of Debt</w:t>
            </w:r>
          </w:p>
        </w:tc>
        <w:tc>
          <w:tcPr>
            <w:tcBorders>
              <w:top w:color="000000" w:space="0" w:sz="0" w:val="nil"/>
              <w:left w:color="000000" w:space="0" w:sz="0" w:val="nil"/>
              <w:bottom w:color="aaaaaa" w:space="0" w:sz="8" w:val="single"/>
              <w:right w:color="aaaaaa"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162">
            <w:pPr>
              <w:rPr>
                <w:rFonts w:ascii="Times New Roman" w:cs="Times New Roman" w:eastAsia="Times New Roman" w:hAnsi="Times New Roman"/>
              </w:rPr>
            </w:pPr>
            <w:r>
              <w:rPr>
                <w:rFonts w:ascii="Times New Roman" w:cs="Times New Roman" w:eastAsia="Times New Roman" w:hAnsi="Times New Roman"/>
                <w:rtl w:val="0"/>
              </w:rPr>
              <w:t xml:space="preserve">6.4%</w:t>
            </w:r>
          </w:p>
        </w:tc>
        <w:tc>
          <w:tcPr>
            <w:tcBorders>
              <w:top w:color="000000" w:space="0" w:sz="0" w:val="nil"/>
              <w:left w:color="000000" w:space="0" w:sz="0" w:val="nil"/>
              <w:bottom w:color="aaaaaa" w:space="0" w:sz="8" w:val="single"/>
              <w:right w:color="aaaaaa"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163">
            <w:pPr>
              <w:rPr>
                <w:rFonts w:ascii="Times New Roman" w:cs="Times New Roman" w:eastAsia="Times New Roman" w:hAnsi="Times New Roman"/>
              </w:rPr>
            </w:pPr>
            <w:r>
              <w:rPr>
                <w:rFonts w:ascii="Times New Roman" w:cs="Times New Roman" w:eastAsia="Times New Roman" w:hAnsi="Times New Roman"/>
                <w:rtl w:val="0"/>
              </w:rPr>
              <w:t xml:space="preserve">Avg. YTM of outstanding bonds + 1% issuance premium</w:t>
            </w:r>
          </w:p>
        </w:tc>
      </w:tr>
      <w:tr>
        <w:trPr>
          <w:cantSplit w:val="0"/>
          <w:trHeight w:val="435" w:hRule="atLeast"/>
          <w:tblHeader w:val="0"/>
        </w:trPr>
        <w:tc>
          <w:tcPr>
            <w:tcBorders>
              <w:top w:color="000000" w:space="0" w:sz="0" w:val="nil"/>
              <w:left w:color="aaaaaa" w:space="0" w:sz="8" w:val="single"/>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64">
            <w:pP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Current Debt Outstanding</w:t>
            </w:r>
          </w:p>
        </w:tc>
        <w:tc>
          <w:tcPr>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65">
            <w:pPr>
              <w:rPr>
                <w:rFonts w:ascii="Times New Roman" w:cs="Times New Roman" w:eastAsia="Times New Roman" w:hAnsi="Times New Roman"/>
              </w:rPr>
            </w:pPr>
            <w:r>
              <w:rPr>
                <w:rFonts w:ascii="Times New Roman" w:cs="Times New Roman" w:eastAsia="Times New Roman" w:hAnsi="Times New Roman"/>
                <w:rtl w:val="0"/>
              </w:rPr>
              <w:t xml:space="preserve">$36,970M</w:t>
            </w:r>
          </w:p>
        </w:tc>
        <w:tc>
          <w:tcPr>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66">
            <w:pPr>
              <w:rPr>
                <w:rFonts w:ascii="Times New Roman" w:cs="Times New Roman" w:eastAsia="Times New Roman" w:hAnsi="Times New Roman"/>
              </w:rPr>
            </w:pPr>
            <w:r>
              <w:rPr>
                <w:rFonts w:ascii="Times New Roman" w:cs="Times New Roman" w:eastAsia="Times New Roman" w:hAnsi="Times New Roman"/>
                <w:rtl w:val="0"/>
              </w:rPr>
              <w:t xml:space="preserve">Source: Yahoo Finance</w:t>
            </w:r>
          </w:p>
        </w:tc>
      </w:tr>
      <w:tr>
        <w:trPr>
          <w:cantSplit w:val="0"/>
          <w:trHeight w:val="435" w:hRule="atLeast"/>
          <w:tblHeader w:val="0"/>
        </w:trPr>
        <w:tc>
          <w:tcPr>
            <w:tcBorders>
              <w:top w:color="000000" w:space="0" w:sz="0" w:val="nil"/>
              <w:left w:color="aaaaaa" w:space="0" w:sz="8" w:val="single"/>
              <w:bottom w:color="aaaaaa" w:space="0" w:sz="8" w:val="single"/>
              <w:right w:color="aaaaaa"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167">
            <w:pP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Stock Price</w:t>
            </w:r>
          </w:p>
        </w:tc>
        <w:tc>
          <w:tcPr>
            <w:tcBorders>
              <w:top w:color="000000" w:space="0" w:sz="0" w:val="nil"/>
              <w:left w:color="000000" w:space="0" w:sz="0" w:val="nil"/>
              <w:bottom w:color="aaaaaa" w:space="0" w:sz="8" w:val="single"/>
              <w:right w:color="aaaaaa"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168">
            <w:pPr>
              <w:rPr>
                <w:rFonts w:ascii="Times New Roman" w:cs="Times New Roman" w:eastAsia="Times New Roman" w:hAnsi="Times New Roman"/>
              </w:rPr>
            </w:pPr>
            <w:r>
              <w:rPr>
                <w:rFonts w:ascii="Times New Roman" w:cs="Times New Roman" w:eastAsia="Times New Roman" w:hAnsi="Times New Roman"/>
                <w:rtl w:val="0"/>
              </w:rPr>
              <w:t xml:space="preserve">$71</w:t>
            </w:r>
          </w:p>
        </w:tc>
        <w:tc>
          <w:tcPr>
            <w:tcBorders>
              <w:top w:color="000000" w:space="0" w:sz="0" w:val="nil"/>
              <w:left w:color="000000" w:space="0" w:sz="0" w:val="nil"/>
              <w:bottom w:color="aaaaaa" w:space="0" w:sz="8" w:val="single"/>
              <w:right w:color="aaaaaa"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169">
            <w:pPr>
              <w:rPr>
                <w:rFonts w:ascii="Times New Roman" w:cs="Times New Roman" w:eastAsia="Times New Roman" w:hAnsi="Times New Roman"/>
              </w:rPr>
            </w:pPr>
            <w:r>
              <w:rPr>
                <w:rFonts w:ascii="Times New Roman" w:cs="Times New Roman" w:eastAsia="Times New Roman" w:hAnsi="Times New Roman"/>
                <w:rtl w:val="0"/>
              </w:rPr>
              <w:t xml:space="preserve">Market price at time of analysis</w:t>
            </w:r>
          </w:p>
        </w:tc>
      </w:tr>
      <w:tr>
        <w:trPr>
          <w:cantSplit w:val="0"/>
          <w:trHeight w:val="435" w:hRule="atLeast"/>
          <w:tblHeader w:val="0"/>
        </w:trPr>
        <w:tc>
          <w:tcPr>
            <w:tcBorders>
              <w:top w:color="000000" w:space="0" w:sz="0" w:val="nil"/>
              <w:left w:color="aaaaaa" w:space="0" w:sz="8" w:val="single"/>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6A">
            <w:pP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Shares Outstanding</w:t>
            </w:r>
          </w:p>
        </w:tc>
        <w:tc>
          <w:tcPr>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6B">
            <w:pPr>
              <w:rPr>
                <w:rFonts w:ascii="Times New Roman" w:cs="Times New Roman" w:eastAsia="Times New Roman" w:hAnsi="Times New Roman"/>
              </w:rPr>
            </w:pPr>
            <w:r>
              <w:rPr>
                <w:rFonts w:ascii="Times New Roman" w:cs="Times New Roman" w:eastAsia="Times New Roman" w:hAnsi="Times New Roman"/>
                <w:rtl w:val="0"/>
              </w:rPr>
              <w:t xml:space="preserve">478M</w:t>
            </w:r>
          </w:p>
        </w:tc>
        <w:tc>
          <w:tcPr>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6C">
            <w:pPr>
              <w:rPr>
                <w:rFonts w:ascii="Times New Roman" w:cs="Times New Roman" w:eastAsia="Times New Roman" w:hAnsi="Times New Roman"/>
              </w:rPr>
            </w:pPr>
            <w:r>
              <w:rPr>
                <w:rFonts w:ascii="Times New Roman" w:cs="Times New Roman" w:eastAsia="Times New Roman" w:hAnsi="Times New Roman"/>
                <w:rtl w:val="0"/>
              </w:rPr>
              <w:t xml:space="preserve">Source: Yahoo Finance</w:t>
            </w:r>
          </w:p>
        </w:tc>
      </w:tr>
      <w:tr>
        <w:trPr>
          <w:cantSplit w:val="0"/>
          <w:trHeight w:val="705" w:hRule="atLeast"/>
          <w:tblHeader w:val="0"/>
        </w:trPr>
        <w:tc>
          <w:tcPr>
            <w:tcBorders>
              <w:top w:color="000000" w:space="0" w:sz="0" w:val="nil"/>
              <w:left w:color="aaaaaa" w:space="0" w:sz="8" w:val="single"/>
              <w:bottom w:color="aaaaaa" w:space="0" w:sz="8" w:val="single"/>
              <w:right w:color="aaaaaa"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16D">
            <w:pP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Equity Weight (We)</w:t>
            </w:r>
          </w:p>
        </w:tc>
        <w:tc>
          <w:tcPr>
            <w:tcBorders>
              <w:top w:color="000000" w:space="0" w:sz="0" w:val="nil"/>
              <w:left w:color="000000" w:space="0" w:sz="0" w:val="nil"/>
              <w:bottom w:color="aaaaaa" w:space="0" w:sz="8" w:val="single"/>
              <w:right w:color="aaaaaa"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16E">
            <w:pPr>
              <w:rPr>
                <w:rFonts w:ascii="Times New Roman" w:cs="Times New Roman" w:eastAsia="Times New Roman" w:hAnsi="Times New Roman"/>
              </w:rPr>
            </w:pPr>
            <w:r>
              <w:rPr>
                <w:rFonts w:ascii="Times New Roman" w:cs="Times New Roman" w:eastAsia="Times New Roman" w:hAnsi="Times New Roman"/>
                <w:rtl w:val="0"/>
              </w:rPr>
              <w:t xml:space="preserve">47.9%</w:t>
            </w:r>
          </w:p>
        </w:tc>
        <w:tc>
          <w:tcPr>
            <w:tcBorders>
              <w:top w:color="000000" w:space="0" w:sz="0" w:val="nil"/>
              <w:left w:color="000000" w:space="0" w:sz="0" w:val="nil"/>
              <w:bottom w:color="aaaaaa" w:space="0" w:sz="8" w:val="single"/>
              <w:right w:color="aaaaaa"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16F">
            <w:pPr>
              <w:rPr>
                <w:rFonts w:ascii="Times New Roman" w:cs="Times New Roman" w:eastAsia="Times New Roman" w:hAnsi="Times New Roman"/>
              </w:rPr>
            </w:pPr>
            <w:r>
              <w:rPr>
                <w:rFonts w:ascii="Times New Roman" w:cs="Times New Roman" w:eastAsia="Times New Roman" w:hAnsi="Times New Roman"/>
                <w:rtl w:val="0"/>
              </w:rPr>
              <w:t xml:space="preserve">Post-acquisition market cap / total capital</w:t>
            </w:r>
          </w:p>
        </w:tc>
      </w:tr>
      <w:tr>
        <w:trPr>
          <w:cantSplit w:val="0"/>
          <w:trHeight w:val="435" w:hRule="atLeast"/>
          <w:tblHeader w:val="0"/>
        </w:trPr>
        <w:tc>
          <w:tcPr>
            <w:tcBorders>
              <w:top w:color="000000" w:space="0" w:sz="0" w:val="nil"/>
              <w:left w:color="aaaaaa" w:space="0" w:sz="8" w:val="single"/>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70">
            <w:pP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Debt Weight (Wd)</w:t>
            </w:r>
          </w:p>
        </w:tc>
        <w:tc>
          <w:tcPr>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71">
            <w:pPr>
              <w:rPr>
                <w:rFonts w:ascii="Times New Roman" w:cs="Times New Roman" w:eastAsia="Times New Roman" w:hAnsi="Times New Roman"/>
              </w:rPr>
            </w:pPr>
            <w:r>
              <w:rPr>
                <w:rFonts w:ascii="Times New Roman" w:cs="Times New Roman" w:eastAsia="Times New Roman" w:hAnsi="Times New Roman"/>
                <w:rtl w:val="0"/>
              </w:rPr>
              <w:t xml:space="preserve">52.1%</w:t>
            </w:r>
          </w:p>
        </w:tc>
        <w:tc>
          <w:tcPr>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72">
            <w:pPr>
              <w:rPr>
                <w:rFonts w:ascii="Times New Roman" w:cs="Times New Roman" w:eastAsia="Times New Roman" w:hAnsi="Times New Roman"/>
              </w:rPr>
            </w:pPr>
            <w:r>
              <w:rPr>
                <w:rFonts w:ascii="Times New Roman" w:cs="Times New Roman" w:eastAsia="Times New Roman" w:hAnsi="Times New Roman"/>
                <w:rtl w:val="0"/>
              </w:rPr>
              <w:t xml:space="preserve">Post-acquisition debt / total capital</w:t>
            </w:r>
          </w:p>
        </w:tc>
      </w:tr>
    </w:tbl>
    <w:p w:rsidR="00000000" w:rsidDel="00000000" w:rsidP="00000000" w:rsidRDefault="00000000" w:rsidRPr="00000000" w14:paraId="00000173">
      <w:pPr>
        <w:spacing w:before="240" w:lineRule="auto"/>
        <w:rPr>
          <w:rFonts w:ascii="Times New Roman" w:cs="Times New Roman" w:eastAsia="Times New Roman" w:hAnsi="Times New Roman"/>
          <w:b w:val="1"/>
          <w:bCs w:val="1"/>
          <w:sz w:val="46"/>
          <w:szCs w:val="46"/>
        </w:rPr>
      </w:pPr>
      <w:r>
        <w:rPr>
          <w:rFonts w:ascii="Times New Roman" w:cs="Times New Roman" w:eastAsia="Times New Roman" w:hAnsi="Times New Roman"/>
          <w:rtl w:val="0"/>
        </w:rPr>
        <w:t xml:space="preserve"> </w:t>
      </w:r>
      <w:r>
        <w:rPr>
          <w:rFonts w:ascii="Times New Roman" w:cs="Times New Roman" w:eastAsia="Times New Roman" w:hAnsi="Times New Roman"/>
          <w:b w:val="1"/>
          <w:bCs w:val="1"/>
          <w:sz w:val="46"/>
          <w:szCs w:val="46"/>
          <w:rtl w:val="0"/>
        </w:rPr>
        <w:t xml:space="preserve">V.  Investment Recommendation</w:t>
      </w:r>
    </w:p>
    <w:p w:rsidR="00000000" w:rsidDel="00000000" w:rsidP="00000000" w:rsidRDefault="00000000" w:rsidRPr="00000000" w14:paraId="0000017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qscj8v6f65ks" w:id="16"/>
      <w:bookmarkEnd w:id="16"/>
      <w:r>
        <w:rPr>
          <w:rFonts w:ascii="Times New Roman" w:cs="Times New Roman" w:eastAsia="Times New Roman" w:hAnsi="Times New Roman"/>
          <w:b w:val="1"/>
          <w:bCs w:val="1"/>
          <w:sz w:val="34"/>
          <w:szCs w:val="34"/>
          <w:rtl w:val="0"/>
        </w:rPr>
        <w:t xml:space="preserve">V.I  Overall Recommendation</w:t>
      </w:r>
    </w:p>
    <w:p w:rsidR="00000000" w:rsidDel="00000000" w:rsidP="00000000" w:rsidRDefault="00000000" w:rsidRPr="00000000" w14:paraId="00000175">
      <w:pPr>
        <w:spacing w:after="80" w:before="80" w:lineRule="auto"/>
        <w:ind w:firstLine="20"/>
        <w:jc w:val="both"/>
        <w:rPr>
          <w:rFonts w:ascii="Times New Roman" w:cs="Times New Roman" w:eastAsia="Times New Roman" w:hAnsi="Times New Roman"/>
        </w:rPr>
      </w:pPr>
      <w:r>
        <w:rPr>
          <w:rFonts w:ascii="Times New Roman" w:cs="Times New Roman" w:eastAsia="Times New Roman" w:hAnsi="Times New Roman"/>
          <w:rtl w:val="0"/>
        </w:rPr>
        <w:t xml:space="preserve">The overall investment recommendation is a </w:t>
      </w:r>
      <w:r>
        <w:rPr>
          <w:rFonts w:ascii="Times New Roman" w:cs="Times New Roman" w:eastAsia="Times New Roman" w:hAnsi="Times New Roman"/>
          <w:b w:val="1"/>
          <w:bCs w:val="1"/>
          <w:rtl w:val="0"/>
        </w:rPr>
        <w:t xml:space="preserve">Strong Buy</w:t>
      </w:r>
      <w:r>
        <w:rPr>
          <w:rFonts w:ascii="Times New Roman" w:cs="Times New Roman" w:eastAsia="Times New Roman" w:hAnsi="Times New Roman"/>
          <w:rtl w:val="0"/>
        </w:rPr>
        <w:t xml:space="preserve"> based on the free cash flow model, which demonstrates significant upside and growth potential from the Jetro acquisition. SYY overall is a very stable company with a significant and dominant market position. Food distribution as a whole is a very large and stable industry because no matter the economic environment, people will continue to need food. This is an investment in a historically stable and strong company that is now showcasing an opportunity for growth based on its largest acquisition ever, broadening its reach into a new distribution channel.</w:t>
      </w:r>
    </w:p>
    <w:p w:rsidR="00000000" w:rsidDel="00000000" w:rsidP="00000000" w:rsidRDefault="00000000" w:rsidRPr="00000000" w14:paraId="00000176">
      <w:pPr>
        <w:spacing w:after="80" w:before="80" w:lineRule="auto"/>
        <w:ind w:firstLine="20"/>
        <w:jc w:val="both"/>
        <w:rPr>
          <w:rFonts w:ascii="Times New Roman" w:cs="Times New Roman" w:eastAsia="Times New Roman" w:hAnsi="Times New Roman"/>
        </w:rPr>
      </w:pPr>
      <w:r>
        <w:rPr>
          <w:rFonts w:ascii="Times New Roman" w:cs="Times New Roman" w:eastAsia="Times New Roman" w:hAnsi="Times New Roman"/>
          <w:rtl w:val="0"/>
        </w:rPr>
        <w:t xml:space="preserve">SYY is a company with strong free cash flow in a defensive industry. The FCFF base case yields a fair value of $108.72 per share against a current price of $73.24, representing approximately 48.4% upside. Even the basic Dividend Discount Model as the worst case shows this is a safe investment, demonstrating that there is mostly only upside for investors without significant long-run risk.</w:t>
      </w:r>
    </w:p>
    <w:p w:rsidR="00000000" w:rsidDel="00000000" w:rsidP="00000000" w:rsidRDefault="00000000" w:rsidRPr="00000000" w14:paraId="00000177">
      <w:pPr>
        <w:spacing w:after="80" w:before="80" w:lineRule="auto"/>
        <w:ind w:firstLine="20"/>
        <w:jc w:val="both"/>
        <w:rPr>
          <w:rFonts w:ascii="Times New Roman" w:cs="Times New Roman" w:eastAsia="Times New Roman" w:hAnsi="Times New Roman"/>
        </w:rPr>
      </w:pPr>
      <w:r>
        <w:rPr>
          <w:rFonts w:ascii="Times New Roman" w:cs="Times New Roman" w:eastAsia="Times New Roman" w:hAnsi="Times New Roman"/>
          <w:rtl w:val="0"/>
        </w:rPr>
        <w:t xml:space="preserve">The key risks to this thesis are: (1) execution risk on integrating Sysco's largest ever acquisition; (2) leverage risk given the significant debt taken on to finance the deal; and (3) regulatory risk given the scale of the transaction. These risks are accounted for in the model through conservative revenue assumptions, the use of a post-acquisition levered beta and higher cost of equity in the DDM bear case, and the range of outcomes presented in the WACC sensitivity table.</w:t>
      </w:r>
    </w:p>
    <w:p w:rsidR="00000000" w:rsidDel="00000000" w:rsidP="00000000" w:rsidRDefault="00000000" w:rsidRPr="00000000" w14:paraId="00000178">
      <w:pPr>
        <w:spacing w:before="80" w:lineRule="auto"/>
        <w:rPr>
          <w:rFonts w:ascii="Times New Roman" w:cs="Times New Roman" w:eastAsia="Times New Roman" w:hAnsi="Times New Roman"/>
        </w:rPr>
      </w:pPr>
      <w:r>
        <w:rPr>
          <w:rFonts w:ascii="Times New Roman" w:cs="Times New Roman" w:eastAsia="Times New Roman" w:hAnsi="Times New Roman"/>
          <w:rtl w:val="0"/>
        </w:rPr>
        <w:t xml:space="preserve"> </w:t>
      </w:r>
    </w:p>
    <w:p w:rsidR="00000000" w:rsidDel="00000000" w:rsidP="00000000" w:rsidRDefault="00000000" w:rsidRPr="00000000" w14:paraId="0000017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zhcx99o8bfip" w:id="17"/>
      <w:bookmarkEnd w:id="17"/>
      <w:r>
        <w:rPr>
          <w:rFonts w:ascii="Times New Roman" w:cs="Times New Roman" w:eastAsia="Times New Roman" w:hAnsi="Times New Roman"/>
          <w:b w:val="1"/>
          <w:bCs w:val="1"/>
          <w:sz w:val="34"/>
          <w:szCs w:val="34"/>
          <w:rtl w:val="0"/>
        </w:rPr>
        <w:t xml:space="preserve">V.II  Trading Analysis</w:t>
      </w:r>
    </w:p>
    <w:p w:rsidR="00000000" w:rsidDel="00000000" w:rsidP="00000000" w:rsidRDefault="00000000" w:rsidRPr="00000000" w14:paraId="0000017A">
      <w:pPr>
        <w:spacing w:after="80" w:before="80" w:lineRule="auto"/>
        <w:ind w:firstLine="20"/>
        <w:jc w:val="both"/>
        <w:rPr>
          <w:rFonts w:ascii="Times New Roman" w:cs="Times New Roman" w:eastAsia="Times New Roman" w:hAnsi="Times New Roman"/>
          <w:vertAlign w:val="superscript"/>
        </w:rPr>
      </w:pPr>
      <w:r>
        <w:rPr>
          <w:rFonts w:ascii="Times New Roman" w:cs="Times New Roman" w:eastAsia="Times New Roman" w:hAnsi="Times New Roman"/>
          <w:rtl w:val="0"/>
        </w:rPr>
        <w:t xml:space="preserve">With the announcement of the Jetro acquisition, investors responded hesitantly and Sysco's stock dropped 15% intraday. However, a number of analysts remain optimistic about the deal. Jetro will expand Sysco's customer base to smaller independent restaurants and is expected to deliver close to $250 million in cost synergies. The stock decline is likely attributable to the $22 billion in debt that will be added to Sysco's balance sheet to finance the deal. In an industry of already thin margins, investors perceive this as a potential risk, but Morningstar has characterized the market reaction as an overreaction.</w:t>
      </w:r>
      <w:r>
        <w:rPr>
          <w:rFonts w:ascii="Times New Roman" w:cs="Times New Roman" w:eastAsia="Times New Roman" w:hAnsi="Times New Roman"/>
          <w:vertAlign w:val="superscript"/>
          <w:rtl w:val="0"/>
        </w:rPr>
        <w:t xml:space="preserve">5</w:t>
      </w:r>
    </w:p>
    <w:p w:rsidR="00000000" w:rsidDel="00000000" w:rsidP="00000000" w:rsidRDefault="00000000" w:rsidRPr="00000000" w14:paraId="0000017B">
      <w:pPr>
        <w:spacing w:after="80" w:before="80" w:lineRule="auto"/>
        <w:ind w:firstLine="20"/>
        <w:jc w:val="both"/>
        <w:rPr>
          <w:rFonts w:ascii="Times New Roman" w:cs="Times New Roman" w:eastAsia="Times New Roman" w:hAnsi="Times New Roman"/>
        </w:rPr>
      </w:pPr>
      <w:r>
        <w:rPr>
          <w:rFonts w:ascii="Times New Roman" w:cs="Times New Roman" w:eastAsia="Times New Roman" w:hAnsi="Times New Roman"/>
          <w:rtl w:val="0"/>
        </w:rPr>
        <w:t xml:space="preserve">It will be important to monitor Sysco's upcoming Q3 earnings report on April 28th to examine the direction and health of the company and where growth can be concentrated. The stock has moved within a 5-day range of approximately $71.50 to $75.50, and no alarming patterns in short interest have been identified at this time. The company is a member of the S&amp;P 500, providing broad institutional support for the stock. Insider and institutional holdings have remained relatively stable surrounding the acquisition announcement, reinforcing confidence in management's execution strategy.</w:t>
      </w:r>
    </w:p>
    <w:p w:rsidR="00000000" w:rsidDel="00000000" w:rsidP="00000000" w:rsidRDefault="00000000" w:rsidRPr="00000000" w14:paraId="0000017C">
      <w:pPr>
        <w:spacing w:before="240" w:lineRule="auto"/>
        <w:rPr>
          <w:rFonts w:ascii="Times New Roman" w:cs="Times New Roman" w:eastAsia="Times New Roman" w:hAnsi="Times New Roman"/>
        </w:rPr>
      </w:pPr>
      <w:r>
        <w:rPr>
          <w:rFonts w:ascii="Times New Roman" w:cs="Times New Roman" w:eastAsia="Times New Roman" w:hAnsi="Times New Roman"/>
          <w:rtl w:val="0"/>
        </w:rPr>
        <w:t xml:space="preserve"> </w:t>
      </w:r>
    </w:p>
    <w:p w:rsidR="00000000" w:rsidDel="00000000" w:rsidP="00000000" w:rsidRDefault="00000000" w:rsidRPr="00000000" w14:paraId="0000017D">
      <w:pPr>
        <w:spacing w:after="80" w:before="120" w:lineRule="auto"/>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References</w:t>
      </w:r>
    </w:p>
    <w:p w:rsidR="00000000" w:rsidDel="00000000" w:rsidP="00000000" w:rsidRDefault="00000000" w:rsidRPr="00000000" w14:paraId="0000017E">
      <w:pPr>
        <w:spacing w:after="40" w:before="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1  Sysco Corporation Press Release, March 30, 2026. https://investors.sysco.com/annual-reports-and-sec-filings/news-releases/2026/03-30-2026-113036743</w:t>
      </w:r>
    </w:p>
    <w:p w:rsidR="00000000" w:rsidDel="00000000" w:rsidP="00000000" w:rsidRDefault="00000000" w:rsidRPr="00000000" w14:paraId="0000017F">
      <w:pPr>
        <w:spacing w:after="40" w:before="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2  GlobeNewswire. Sysco to Acquire Jetro Restaurant Depot. March 30, 2026. https://www.globenewswire.com/news-release/2026/03/30/3264454/2867/en/Sysco-to-Acquire-Jetro-Restaurant-Depot-to-Expand-into-Higher-Margin-Growing-and-Resilient-Cash-Carry-Channel.html</w:t>
      </w:r>
    </w:p>
    <w:p w:rsidR="00000000" w:rsidDel="00000000" w:rsidP="00000000" w:rsidRDefault="00000000" w:rsidRPr="00000000" w14:paraId="00000180">
      <w:pPr>
        <w:spacing w:after="40" w:before="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3  Congressional Budget Office. Budget and Economic Outlook: 2025 to 2035. https://www.cbo.gov/publication/60870</w:t>
      </w:r>
    </w:p>
    <w:p w:rsidR="00000000" w:rsidDel="00000000" w:rsidP="00000000" w:rsidRDefault="00000000" w:rsidRPr="00000000" w14:paraId="00000181">
      <w:pPr>
        <w:spacing w:after="40" w:before="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4  BlueBook Services. Sysco to Acquire Jetro Restaurant Depot in $29B Deal. https://www.bluebookservices.com/sysco-to-acquire-jetro-restaurant-depot-in-29b-deal/</w:t>
      </w:r>
    </w:p>
    <w:p w:rsidR="00000000" w:rsidDel="00000000" w:rsidP="00000000" w:rsidRDefault="00000000" w:rsidRPr="00000000" w14:paraId="00000182">
      <w:pPr>
        <w:spacing w:after="40" w:before="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5  Morningstar. Sysco: We Think the Market May Be Overreacting to the Acquisition of Jetro Restaurant Depot. https://www.morningstar.com/stocks/sysco-we-think-market-may-be-overreacting-acquisition-jetro-restaurant-depot</w:t>
      </w:r>
    </w:p>
    <w:p w:rsidR="00000000" w:rsidDel="00000000" w:rsidP="00000000" w:rsidRDefault="00000000" w:rsidRPr="00000000" w14:paraId="00000183">
      <w:pPr>
        <w:spacing w:after="40" w:before="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6  Sysco Corporation Annual Reports. https://investors.sysco.com/annual-reports-and-sec-filings/annual-reports</w:t>
      </w:r>
    </w:p>
    <w:p w:rsidR="00000000" w:rsidDel="00000000" w:rsidP="00000000" w:rsidRDefault="00000000" w:rsidRPr="00000000" w14:paraId="00000184">
      <w:pPr>
        <w:spacing w:after="40" w:before="40" w:lineRule="auto"/>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7  Finance Charts. Sysco Dividends. https://www.financecharts.com/stocks/SYY/dividends</w:t>
      </w:r>
    </w:p>
    <w:p w:rsidR="00000000" w:rsidDel="00000000" w:rsidP="00000000" w:rsidRDefault="00000000" w:rsidRPr="00000000" w14:paraId="00000185">
      <w:pPr>
        <w:spacing w:after="40" w:before="40" w:lineRule="auto"/>
        <w:rPr>
          <w:rFonts w:ascii="Times New Roman" w:cs="Times New Roman" w:eastAsia="Times New Roman" w:hAnsi="Times New Roman"/>
          <w:color w:val="1155cc"/>
          <w:sz w:val="18"/>
          <w:szCs w:val="18"/>
          <w:u w:val="single"/>
        </w:rPr>
      </w:pPr>
      <w:r>
        <w:rPr>
          <w:rFonts w:ascii="Times New Roman" w:cs="Times New Roman" w:eastAsia="Times New Roman" w:hAnsi="Times New Roman"/>
          <w:sz w:val="18"/>
          <w:szCs w:val="18"/>
          <w:rtl w:val="0"/>
        </w:rPr>
        <w:t xml:space="preserve">8  Yahoo Finance.</w:t>
      </w:r>
      <w:hyperlink r:id="rId10">
        <w:r>
          <w:rPr>
            <w:rFonts w:ascii="Times New Roman" w:cs="Times New Roman" w:eastAsia="Times New Roman" w:hAnsi="Times New Roman"/>
            <w:sz w:val="18"/>
            <w:szCs w:val="18"/>
            <w:rtl w:val="0"/>
          </w:rPr>
          <w:t xml:space="preserve"> </w:t>
        </w:r>
      </w:hyperlink>
      <w:hyperlink r:id="rId11">
        <w:r>
          <w:rPr>
            <w:rFonts w:ascii="Times New Roman" w:cs="Times New Roman" w:eastAsia="Times New Roman" w:hAnsi="Times New Roman"/>
            <w:color w:val="1155cc"/>
            <w:sz w:val="18"/>
            <w:szCs w:val="18"/>
            <w:u w:val="single"/>
            <w:rtl w:val="0"/>
          </w:rPr>
          <w:t xml:space="preserve">https://finance.yahoo.com/markets/stocks/articles/labor-tensions-digital-chief-change-07103477.html</w:t>
        </w:r>
      </w:hyperlink>
      <w:r>
        <w:rPr>
          <w:rtl w:val="0"/>
        </w:rPr>
      </w:r>
    </w:p>
    <w:p w:rsidR="00000000" w:rsidDel="00000000" w:rsidP="00000000" w:rsidRDefault="00000000" w:rsidRPr="00000000" w14:paraId="00000186">
      <w:pPr>
        <w:spacing w:after="40" w:before="40" w:lineRule="auto"/>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tl w:val="0"/>
        </w:rPr>
        <w:t xml:space="preserve"> </w:t>
      </w:r>
    </w:p>
    <w:p w:rsidR="00000000" w:rsidDel="00000000" w:rsidP="00000000" w:rsidRDefault="00000000" w:rsidRPr="00000000" w14:paraId="00000187">
      <w:pPr>
        <w:spacing w:after="40" w:before="40" w:lineRule="auto"/>
        <w:rPr>
          <w:rFonts w:ascii="Times New Roman" w:cs="Times New Roman" w:eastAsia="Times New Roman" w:hAnsi="Times New Roman"/>
          <w:b w:val="1"/>
          <w:bCs w:val="1"/>
          <w:sz w:val="18"/>
          <w:szCs w:val="18"/>
        </w:rPr>
      </w:pPr>
      <w:r>
        <w:rPr>
          <w:rFonts w:ascii="Times New Roman" w:cs="Times New Roman" w:eastAsia="Times New Roman" w:hAnsi="Times New Roman"/>
          <w:b w:val="1"/>
          <w:bCs w:val="1"/>
          <w:sz w:val="18"/>
          <w:szCs w:val="18"/>
          <w:rtl w:val="0"/>
        </w:rPr>
        <w:t xml:space="preserve">AI Use Summary</w:t>
      </w:r>
    </w:p>
    <w:p w:rsidR="00000000" w:rsidDel="00000000" w:rsidP="00000000" w:rsidRDefault="00000000" w:rsidRPr="00000000" w14:paraId="00000188">
      <w:pPr>
        <w:spacing w:before="40" w:lineRule="auto"/>
        <w:ind w:left="720" w:firstLine="0"/>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w:t>
      </w:r>
      <w:r>
        <w:rPr>
          <w:rFonts w:ascii="Times New Roman" w:cs="Times New Roman" w:eastAsia="Times New Roman" w:hAnsi="Times New Roman"/>
          <w:sz w:val="14"/>
          <w:szCs w:val="14"/>
          <w:rtl w:val="0"/>
        </w:rPr>
        <w:t xml:space="preserve">        </w:t>
      </w:r>
      <w:r>
        <w:rPr>
          <w:rFonts w:ascii="Times New Roman" w:cs="Times New Roman" w:eastAsia="Times New Roman" w:hAnsi="Times New Roman"/>
          <w:sz w:val="18"/>
          <w:szCs w:val="18"/>
          <w:rtl w:val="0"/>
        </w:rPr>
        <w:t xml:space="preserve">Research assistance including gathering company details, learning about the Jetro acquisition, and determining the most appropriate analytical approaches given Sysco's current conditions</w:t>
      </w:r>
    </w:p>
    <w:p w:rsidR="00000000" w:rsidDel="00000000" w:rsidP="00000000" w:rsidRDefault="00000000" w:rsidRPr="00000000" w14:paraId="00000189">
      <w:pPr>
        <w:ind w:left="720" w:firstLine="0"/>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w:t>
      </w:r>
      <w:r>
        <w:rPr>
          <w:rFonts w:ascii="Times New Roman" w:cs="Times New Roman" w:eastAsia="Times New Roman" w:hAnsi="Times New Roman"/>
          <w:sz w:val="14"/>
          <w:szCs w:val="14"/>
          <w:rtl w:val="0"/>
        </w:rPr>
        <w:t xml:space="preserve">        </w:t>
      </w:r>
      <w:r>
        <w:rPr>
          <w:rFonts w:ascii="Times New Roman" w:cs="Times New Roman" w:eastAsia="Times New Roman" w:hAnsi="Times New Roman"/>
          <w:sz w:val="18"/>
          <w:szCs w:val="18"/>
          <w:rtl w:val="0"/>
        </w:rPr>
        <w:t xml:space="preserve">Understanding financial terminology and the income statement and balance sheet components that factor into ratio calculations</w:t>
      </w:r>
    </w:p>
    <w:p w:rsidR="00000000" w:rsidDel="00000000" w:rsidP="00000000" w:rsidRDefault="00000000" w:rsidRPr="00000000" w14:paraId="0000018A">
      <w:pPr>
        <w:ind w:left="720" w:firstLine="0"/>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w:t>
      </w:r>
      <w:r>
        <w:rPr>
          <w:rFonts w:ascii="Times New Roman" w:cs="Times New Roman" w:eastAsia="Times New Roman" w:hAnsi="Times New Roman"/>
          <w:sz w:val="14"/>
          <w:szCs w:val="14"/>
          <w:rtl w:val="0"/>
        </w:rPr>
        <w:t xml:space="preserve">        </w:t>
      </w:r>
      <w:r>
        <w:rPr>
          <w:rFonts w:ascii="Times New Roman" w:cs="Times New Roman" w:eastAsia="Times New Roman" w:hAnsi="Times New Roman"/>
          <w:sz w:val="18"/>
          <w:szCs w:val="18"/>
          <w:rtl w:val="0"/>
        </w:rPr>
        <w:t xml:space="preserve">Formatting assistance to produce a professional and consistent written report</w:t>
      </w:r>
    </w:p>
    <w:p w:rsidR="00000000" w:rsidDel="00000000" w:rsidP="00000000" w:rsidRDefault="00000000" w:rsidRPr="00000000" w14:paraId="0000018B">
      <w:pPr>
        <w:spacing w:after="40" w:lineRule="auto"/>
        <w:ind w:left="720" w:firstLine="0"/>
        <w:rPr>
          <w:rFonts w:ascii="Times New Roman" w:cs="Times New Roman" w:eastAsia="Times New Roman" w:hAnsi="Times New Roman"/>
          <w:sz w:val="18"/>
          <w:szCs w:val="18"/>
        </w:rPr>
      </w:pPr>
      <w:r>
        <w:rPr>
          <w:rFonts w:ascii="Times New Roman" w:cs="Times New Roman" w:eastAsia="Times New Roman" w:hAnsi="Times New Roman"/>
          <w:sz w:val="18"/>
          <w:szCs w:val="18"/>
          <w:rtl w:val="0"/>
        </w:rPr>
        <w:t xml:space="preserve">-</w:t>
      </w:r>
      <w:r>
        <w:rPr>
          <w:rFonts w:ascii="Times New Roman" w:cs="Times New Roman" w:eastAsia="Times New Roman" w:hAnsi="Times New Roman"/>
          <w:sz w:val="14"/>
          <w:szCs w:val="14"/>
          <w:rtl w:val="0"/>
        </w:rPr>
        <w:t xml:space="preserve">        </w:t>
      </w:r>
      <w:r>
        <w:rPr>
          <w:rFonts w:ascii="Times New Roman" w:cs="Times New Roman" w:eastAsia="Times New Roman" w:hAnsi="Times New Roman"/>
          <w:sz w:val="18"/>
          <w:szCs w:val="18"/>
          <w:rtl w:val="0"/>
        </w:rPr>
        <w:t xml:space="preserve"> </w:t>
      </w:r>
    </w:p>
    <w:p w:rsidR="00000000" w:rsidDel="00000000" w:rsidP="00000000" w:rsidRDefault="00000000" w:rsidRPr="00000000" w14:paraId="0000018C">
      <w:pPr>
        <w:rPr/>
      </w:pPr>
      <w:r>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finance.yahoo.com/markets/stocks/articles/labor-tensions-digital-chief-change-07103477.html" TargetMode="External"/><Relationship Id="rId10" Type="http://schemas.openxmlformats.org/officeDocument/2006/relationships/hyperlink" Target="https://finance.yahoo.com/markets/stocks/articles/labor-tensions-digital-chief-change-07103477.html" TargetMode="External"/><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image" Target="media/image1.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