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1579B"/>
          <w:sz w:val="36"/>
        </w:rPr>
        <w:t>Improved Statistical Analysis Plan</w:t>
      </w:r>
    </w:p>
    <w:p>
      <w:pPr>
        <w:jc w:val="center"/>
      </w:pPr>
      <w:r>
        <w:rPr>
          <w:i/>
          <w:sz w:val="28"/>
        </w:rPr>
        <w:t>Characterising Microbial Community Shifts and Molecular Biomarkers</w:t>
        <w:br/>
        <w:t>of Metronidazole and Clindamycin Treatment in an In Vitro Model of BV</w:t>
      </w:r>
    </w:p>
    <w:p/>
    <w:p>
      <w:pPr>
        <w:jc w:val="center"/>
      </w:pPr>
      <w:r>
        <w:rPr>
          <w:sz w:val="22"/>
        </w:rPr>
        <w:t>Based on the Masters Proposal by Phiwokuhle B. Ntuntuza</w:t>
        <w:br/>
        <w:t>CAPRISA Mucosal Immunology Laboratory</w:t>
        <w:br/>
        <w:t>University of KwaZulu-Natal</w:t>
      </w:r>
    </w:p>
    <w:p/>
    <w:p>
      <w:pPr>
        <w:jc w:val="center"/>
      </w:pPr>
      <w:r>
        <w:rPr>
          <w:i/>
          <w:sz w:val="20"/>
        </w:rPr>
        <w:t>Note: This document reviews and improves Section 3.4 of the original proposal.</w:t>
      </w:r>
    </w:p>
    <w:p>
      <w:r>
        <w:br w:type="page"/>
      </w:r>
    </w:p>
    <w:p>
      <w:pPr>
        <w:pStyle w:val="Heading1"/>
      </w:pPr>
      <w:r>
        <w:rPr>
          <w:color w:val="01579B"/>
        </w:rPr>
        <w:t>1. Evaluation of the Original Section 3.4</w:t>
      </w:r>
    </w:p>
    <w:p>
      <w:r>
        <w:rPr>
          <w:rFonts w:ascii="Times New Roman" w:hAnsi="Times New Roman"/>
          <w:b w:val="0"/>
          <w:i w:val="0"/>
          <w:sz w:val="24"/>
        </w:rPr>
        <w:t>The original proposal by Phiwokuhle B. Ntuntuza already has a substantially stronger statistical plan than is typical at the Masters level. It is commended for including:</w:t>
      </w:r>
    </w:p>
    <w:p>
      <w:pPr>
        <w:pStyle w:val="ListBullet"/>
      </w:pPr>
      <w:r>
        <w:rPr>
          <w:rFonts w:ascii="Times New Roman" w:hAnsi="Times New Roman"/>
          <w:sz w:val="24"/>
        </w:rPr>
        <w:t>ANCOM-BC for differential abundance analysis (a modern, appropriate tool for microbiome compositional data)</w:t>
      </w:r>
    </w:p>
    <w:p>
      <w:pPr>
        <w:pStyle w:val="ListBullet"/>
      </w:pPr>
      <w:r>
        <w:rPr>
          <w:rFonts w:ascii="Times New Roman" w:hAnsi="Times New Roman"/>
          <w:sz w:val="24"/>
        </w:rPr>
        <w:t>FDR-adjusted p-values for multiple testing correction</w:t>
      </w:r>
    </w:p>
    <w:p>
      <w:pPr>
        <w:pStyle w:val="ListBullet"/>
      </w:pPr>
      <w:r>
        <w:rPr>
          <w:rFonts w:ascii="Times New Roman" w:hAnsi="Times New Roman"/>
          <w:sz w:val="24"/>
        </w:rPr>
        <w:t>Linear mixed models and repeated measures ANOVA for longitudinal data</w:t>
      </w:r>
    </w:p>
    <w:p>
      <w:pPr>
        <w:pStyle w:val="ListBullet"/>
      </w:pPr>
      <w:r>
        <w:rPr>
          <w:rFonts w:ascii="Times New Roman" w:hAnsi="Times New Roman"/>
          <w:sz w:val="24"/>
        </w:rPr>
        <w:t>Bland-Altman analysis for method comparison (IAA vs qPCR)</w:t>
      </w:r>
    </w:p>
    <w:p>
      <w:pPr>
        <w:pStyle w:val="ListBullet"/>
      </w:pPr>
      <w:r>
        <w:rPr>
          <w:rFonts w:ascii="Times New Roman" w:hAnsi="Times New Roman"/>
          <w:sz w:val="24"/>
        </w:rPr>
        <w:t>Both parametric and non-parametric alternatives (t-test vs Wilcoxon)</w:t>
      </w:r>
    </w:p>
    <w:p>
      <w:pPr>
        <w:pStyle w:val="ListBullet"/>
      </w:pPr>
      <w:r>
        <w:rPr>
          <w:rFonts w:ascii="Times New Roman" w:hAnsi="Times New Roman"/>
          <w:sz w:val="24"/>
        </w:rPr>
        <w:t>R as the analysis platform</w:t>
      </w:r>
    </w:p>
    <w:p>
      <w:pPr>
        <w:pStyle w:val="ListBullet"/>
      </w:pPr>
      <w:r>
        <w:rPr>
          <w:rFonts w:ascii="Times New Roman" w:hAnsi="Times New Roman"/>
          <w:sz w:val="24"/>
        </w:rPr>
        <w:t>Bioinformatics tools for metagenomic analysis (Kraken 2, Bracken, MetaSNV, etc.)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However, several gaps remain that, if addressed, would strengthen the proposal: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54"/>
          </w:tcPr>
          <w:p>
            <w:r>
              <w:rPr>
                <w:b/>
                <w:sz w:val="22"/>
              </w:rPr>
              <w:t>#</w:t>
            </w:r>
          </w:p>
        </w:tc>
        <w:tc>
          <w:tcPr>
            <w:tcW w:type="dxa" w:w="3118"/>
          </w:tcPr>
          <w:p>
            <w:r>
              <w:rPr>
                <w:b/>
                <w:sz w:val="22"/>
              </w:rPr>
              <w:t>Gap</w:t>
            </w:r>
          </w:p>
        </w:tc>
        <w:tc>
          <w:tcPr>
            <w:tcW w:type="dxa" w:w="6066"/>
          </w:tcPr>
          <w:p>
            <w:r>
              <w:rPr>
                <w:b/>
                <w:sz w:val="22"/>
              </w:rPr>
              <w:t>Why It Matters</w:t>
            </w:r>
          </w:p>
        </w:tc>
      </w:tr>
      <w:tr>
        <w:tc>
          <w:tcPr>
            <w:tcW w:type="dxa" w:w="454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No sample size / power analysis</w:t>
            </w:r>
          </w:p>
        </w:tc>
        <w:tc>
          <w:tcPr>
            <w:tcW w:type="dxa" w:w="6066"/>
          </w:tcPr>
          <w:p>
            <w:r>
              <w:rPr>
                <w:sz w:val="22"/>
              </w:rPr>
              <w:t>Reviewers will ask: how many replicates? How many samples?</w:t>
            </w:r>
          </w:p>
        </w:tc>
      </w:tr>
      <w:tr>
        <w:tc>
          <w:tcPr>
            <w:tcW w:type="dxa" w:w="454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No alpha/beta diversity for 16S data</w:t>
            </w:r>
          </w:p>
        </w:tc>
        <w:tc>
          <w:tcPr>
            <w:tcW w:type="dxa" w:w="6066"/>
          </w:tcPr>
          <w:p>
            <w:r>
              <w:rPr>
                <w:sz w:val="22"/>
              </w:rPr>
              <w:t>Standard in all microbiome studies and will be expected.</w:t>
            </w:r>
          </w:p>
        </w:tc>
      </w:tr>
      <w:tr>
        <w:tc>
          <w:tcPr>
            <w:tcW w:type="dxa" w:w="454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Missing data not addressed</w:t>
            </w:r>
          </w:p>
        </w:tc>
        <w:tc>
          <w:tcPr>
            <w:tcW w:type="dxa" w:w="6066"/>
          </w:tcPr>
          <w:p>
            <w:r>
              <w:rPr>
                <w:sz w:val="22"/>
              </w:rPr>
              <w:t>Contamination, failed sequencing, or dropout can occur.</w:t>
            </w:r>
          </w:p>
        </w:tc>
      </w:tr>
      <w:tr>
        <w:tc>
          <w:tcPr>
            <w:tcW w:type="dxa" w:w="454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RM-ANOVA vs mixed models unclear</w:t>
            </w:r>
          </w:p>
        </w:tc>
        <w:tc>
          <w:tcPr>
            <w:tcW w:type="dxa" w:w="6066"/>
          </w:tcPr>
          <w:p>
            <w:r>
              <w:rPr>
                <w:sz w:val="22"/>
              </w:rPr>
              <w:t>RM-ANOVA is restrictive; recommend mixed models as primary.</w:t>
            </w:r>
          </w:p>
        </w:tc>
      </w:tr>
      <w:tr>
        <w:tc>
          <w:tcPr>
            <w:tcW w:type="dxa" w:w="454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No analysis hierarchy by objective</w:t>
            </w:r>
          </w:p>
        </w:tc>
        <w:tc>
          <w:tcPr>
            <w:tcW w:type="dxa" w:w="6066"/>
          </w:tcPr>
          <w:p>
            <w:r>
              <w:rPr>
                <w:sz w:val="22"/>
              </w:rPr>
              <w:t>Which analysis answers which objective?</w:t>
            </w:r>
          </w:p>
        </w:tc>
      </w:tr>
      <w:tr>
        <w:tc>
          <w:tcPr>
            <w:tcW w:type="dxa" w:w="454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Technical vs biological replicates unclear</w:t>
            </w:r>
          </w:p>
        </w:tc>
        <w:tc>
          <w:tcPr>
            <w:tcW w:type="dxa" w:w="6066"/>
          </w:tcPr>
          <w:p>
            <w:r>
              <w:rPr>
                <w:sz w:val="22"/>
              </w:rPr>
              <w:t>Pseudo-replication must be avoided.</w:t>
            </w:r>
          </w:p>
        </w:tc>
      </w:tr>
      <w:tr>
        <w:tc>
          <w:tcPr>
            <w:tcW w:type="dxa" w:w="454"/>
          </w:tcPr>
          <w:p>
            <w:r>
              <w:rPr>
                <w:sz w:val="22"/>
              </w:rPr>
              <w:t>7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No confounder plan for in vivo comparison</w:t>
            </w:r>
          </w:p>
        </w:tc>
        <w:tc>
          <w:tcPr>
            <w:tcW w:type="dxa" w:w="6066"/>
          </w:tcPr>
          <w:p>
            <w:r>
              <w:rPr>
                <w:sz w:val="22"/>
              </w:rPr>
              <w:t>Age, STI status, etc. should be accounted for.</w:t>
            </w:r>
          </w:p>
        </w:tc>
      </w:tr>
      <w:tr>
        <w:tc>
          <w:tcPr>
            <w:tcW w:type="dxa" w:w="454"/>
          </w:tcPr>
          <w:p>
            <w:r>
              <w:rPr>
                <w:sz w:val="22"/>
              </w:rPr>
              <w:t>8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No predictive modelling mentioned</w:t>
            </w:r>
          </w:p>
        </w:tc>
        <w:tc>
          <w:tcPr>
            <w:tcW w:type="dxa" w:w="6066"/>
          </w:tcPr>
          <w:p>
            <w:r>
              <w:rPr>
                <w:sz w:val="22"/>
              </w:rPr>
              <w:t>Objective 2 needs formal classification (Random Forest, etc.).</w:t>
            </w:r>
          </w:p>
        </w:tc>
      </w:tr>
    </w:tbl>
    <w:p/>
    <w:p>
      <w:pPr>
        <w:pStyle w:val="Heading1"/>
      </w:pPr>
      <w:r>
        <w:rPr>
          <w:color w:val="01579B"/>
        </w:rPr>
        <w:t>2. Statistical Analysis Flow Diagram</w:t>
      </w:r>
    </w:p>
    <w:p>
      <w:r>
        <w:rPr>
          <w:rFonts w:ascii="Times New Roman" w:hAnsi="Times New Roman"/>
          <w:b w:val="0"/>
          <w:i w:val="0"/>
          <w:sz w:val="24"/>
        </w:rPr>
        <w:t>The flowchart maps every data stream to its research question and the corresponding statistical method.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967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iwokuhle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01579B"/>
        </w:rPr>
        <w:t>3. Detailed Methods - Explained and Justified</w:t>
      </w:r>
    </w:p>
    <w:p>
      <w:pPr>
        <w:pStyle w:val="Heading2"/>
      </w:pPr>
      <w:r>
        <w:rPr>
          <w:color w:val="2E7D32"/>
        </w:rPr>
        <w:t>3.1 Sample Size and Replicate Justification (New)</w:t>
      </w:r>
    </w:p>
    <w:p>
      <w:r>
        <w:rPr>
          <w:rFonts w:ascii="Times New Roman" w:hAnsi="Times New Roman"/>
          <w:b/>
          <w:i w:val="0"/>
          <w:sz w:val="24"/>
        </w:rPr>
        <w:t>Problem in original:</w:t>
      </w:r>
    </w:p>
    <w:p>
      <w:r>
        <w:rPr>
          <w:rFonts w:ascii="Times New Roman" w:hAnsi="Times New Roman"/>
          <w:b w:val="0"/>
          <w:i w:val="0"/>
          <w:sz w:val="24"/>
        </w:rPr>
        <w:t>No sample size or replicate number is mentioned. This is critical for both the in vitro and in vivo components.</w:t>
      </w:r>
    </w:p>
    <w:p>
      <w:r>
        <w:rPr>
          <w:rFonts w:ascii="Times New Roman" w:hAnsi="Times New Roman"/>
          <w:b/>
          <w:i w:val="0"/>
          <w:sz w:val="24"/>
        </w:rPr>
        <w:t>What to do:</w:t>
      </w:r>
    </w:p>
    <w:p>
      <w:r>
        <w:rPr>
          <w:rFonts w:ascii="Times New Roman" w:hAnsi="Times New Roman"/>
          <w:b/>
          <w:i w:val="0"/>
          <w:sz w:val="24"/>
        </w:rPr>
        <w:t>In vitro experiments:</w:t>
      </w:r>
    </w:p>
    <w:p>
      <w:pPr>
        <w:pStyle w:val="ListBullet"/>
      </w:pPr>
      <w:r>
        <w:rPr>
          <w:rFonts w:ascii="Times New Roman" w:hAnsi="Times New Roman"/>
          <w:sz w:val="24"/>
        </w:rPr>
        <w:t>Each treatment condition should have a minimum of 3 biological replicates (independent culture batches from different participant samples) with 2-3 technical replicates (same culture, separate qPCR/sequencing runs).</w:t>
      </w:r>
    </w:p>
    <w:p>
      <w:pPr>
        <w:pStyle w:val="ListBullet"/>
      </w:pPr>
      <w:r>
        <w:rPr>
          <w:rFonts w:ascii="Times New Roman" w:hAnsi="Times New Roman"/>
          <w:sz w:val="24"/>
        </w:rPr>
        <w:t>For detecting a 2-fold change in bacterial abundance between treated and untreated controls with 80% power at alpha = 0.05, n = 3 biological replicates per condition is a reasonable minimum.</w:t>
      </w:r>
    </w:p>
    <w:p>
      <w:r>
        <w:rPr>
          <w:rFonts w:ascii="Times New Roman" w:hAnsi="Times New Roman"/>
          <w:b/>
          <w:i w:val="0"/>
          <w:sz w:val="24"/>
        </w:rPr>
        <w:t>In vivo comparison (Objective 3):</w:t>
      </w:r>
    </w:p>
    <w:p>
      <w:pPr>
        <w:pStyle w:val="ListBullet"/>
      </w:pPr>
      <w:r>
        <w:rPr>
          <w:rFonts w:ascii="Times New Roman" w:hAnsi="Times New Roman"/>
          <w:sz w:val="24"/>
        </w:rPr>
        <w:t>If using CAP098 cohort data, conduct a power analysis for a two-group comparison.</w:t>
      </w:r>
    </w:p>
    <w:p>
      <w:pPr>
        <w:pStyle w:val="ListBullet"/>
      </w:pPr>
      <w:r>
        <w:rPr>
          <w:rFonts w:ascii="Times New Roman" w:hAnsi="Times New Roman"/>
          <w:sz w:val="24"/>
        </w:rPr>
        <w:t>For a Mann-Whitney U test with medium effect size (d = 0.6), alpha = 0.05, power = 0.80: approximately 20 participants per group.</w:t>
      </w:r>
    </w:p>
    <w:p>
      <w:r>
        <w:rPr>
          <w:rFonts w:ascii="Times New Roman" w:hAnsi="Times New Roman"/>
          <w:b/>
          <w:i w:val="0"/>
          <w:sz w:val="24"/>
        </w:rPr>
        <w:t>Why this was added:</w:t>
      </w:r>
    </w:p>
    <w:p>
      <w:r>
        <w:rPr>
          <w:rFonts w:ascii="Times New Roman" w:hAnsi="Times New Roman"/>
          <w:b w:val="0"/>
          <w:i w:val="0"/>
          <w:sz w:val="24"/>
        </w:rPr>
        <w:t>Without a power analysis, there is no way to know whether the study can detect the effects it is designed to find.</w:t>
      </w:r>
    </w:p>
    <w:p>
      <w:pPr>
        <w:pStyle w:val="Heading2"/>
      </w:pPr>
      <w:r>
        <w:rPr>
          <w:color w:val="2E7D32"/>
        </w:rPr>
        <w:t>3.2 Microbial Community Analysis (16S rRNA) - Expanded</w:t>
      </w:r>
    </w:p>
    <w:p>
      <w:r>
        <w:rPr>
          <w:rFonts w:ascii="Times New Roman" w:hAnsi="Times New Roman"/>
          <w:b w:val="0"/>
          <w:i w:val="0"/>
          <w:sz w:val="24"/>
        </w:rPr>
        <w:t>Original: ANCOM-BC, relative abundance, IAA, t-test/Wilcoxon.</w:t>
      </w:r>
    </w:p>
    <w:p>
      <w:r>
        <w:rPr>
          <w:rFonts w:ascii="Times New Roman" w:hAnsi="Times New Roman"/>
          <w:b/>
          <w:i w:val="0"/>
          <w:sz w:val="24"/>
        </w:rPr>
        <w:t>Improved approach:</w:t>
      </w:r>
    </w:p>
    <w:p>
      <w:r>
        <w:rPr>
          <w:rFonts w:ascii="Times New Roman" w:hAnsi="Times New Roman"/>
          <w:b/>
          <w:i w:val="0"/>
          <w:sz w:val="24"/>
        </w:rPr>
        <w:t>3.2.1 Alpha Diversity (New)</w:t>
      </w:r>
    </w:p>
    <w:p>
      <w:pPr>
        <w:pStyle w:val="ListBullet"/>
      </w:pPr>
      <w:r>
        <w:rPr>
          <w:rFonts w:ascii="Times New Roman" w:hAnsi="Times New Roman"/>
          <w:sz w:val="24"/>
        </w:rPr>
        <w:t>Shannon diversity index and Chao1 richness estimator.</w:t>
      </w:r>
    </w:p>
    <w:p>
      <w:pPr>
        <w:pStyle w:val="ListBullet"/>
      </w:pPr>
      <w:r>
        <w:rPr>
          <w:rFonts w:ascii="Times New Roman" w:hAnsi="Times New Roman"/>
          <w:sz w:val="24"/>
        </w:rPr>
        <w:t>Wilcoxon rank-sum test between cleared vs persistent groups.</w:t>
      </w:r>
    </w:p>
    <w:p>
      <w:pPr>
        <w:pStyle w:val="ListBullet"/>
      </w:pPr>
      <w:r>
        <w:rPr>
          <w:rFonts w:ascii="Times New Roman" w:hAnsi="Times New Roman"/>
          <w:sz w:val="24"/>
        </w:rPr>
        <w:t>Why: Standard companion to differential abundance testing.</w:t>
      </w:r>
    </w:p>
    <w:p>
      <w:r>
        <w:rPr>
          <w:rFonts w:ascii="Times New Roman" w:hAnsi="Times New Roman"/>
          <w:b/>
          <w:i w:val="0"/>
          <w:sz w:val="24"/>
        </w:rPr>
        <w:t>3.2.2 Beta Diversity (New)</w:t>
      </w:r>
    </w:p>
    <w:p>
      <w:pPr>
        <w:pStyle w:val="ListBullet"/>
      </w:pPr>
      <w:r>
        <w:rPr>
          <w:rFonts w:ascii="Times New Roman" w:hAnsi="Times New Roman"/>
          <w:sz w:val="24"/>
        </w:rPr>
        <w:t>Bray-Curtis dissimilarity, visualised by Principal Coordinate Analysis (PCoA).</w:t>
      </w:r>
    </w:p>
    <w:p>
      <w:pPr>
        <w:pStyle w:val="ListBullet"/>
      </w:pPr>
      <w:r>
        <w:rPr>
          <w:rFonts w:ascii="Times New Roman" w:hAnsi="Times New Roman"/>
          <w:sz w:val="24"/>
        </w:rPr>
        <w:t>PERMANOVA (adonis2 in vegan) to test group differences in community composition.</w:t>
      </w:r>
    </w:p>
    <w:p>
      <w:pPr>
        <w:pStyle w:val="ListBullet"/>
      </w:pPr>
      <w:r>
        <w:rPr>
          <w:rFonts w:ascii="Times New Roman" w:hAnsi="Times New Roman"/>
          <w:sz w:val="24"/>
        </w:rPr>
        <w:t>Why: Captures whether overall community structure shifts during treatment.</w:t>
      </w:r>
    </w:p>
    <w:p>
      <w:r>
        <w:rPr>
          <w:rFonts w:ascii="Times New Roman" w:hAnsi="Times New Roman"/>
          <w:b/>
          <w:i w:val="0"/>
          <w:sz w:val="24"/>
        </w:rPr>
        <w:t>3.2.3 Differential Abundance (Retained, refined)</w:t>
      </w:r>
    </w:p>
    <w:p>
      <w:pPr>
        <w:pStyle w:val="ListBullet"/>
      </w:pPr>
      <w:r>
        <w:rPr>
          <w:rFonts w:ascii="Times New Roman" w:hAnsi="Times New Roman"/>
          <w:sz w:val="24"/>
        </w:rPr>
        <w:t>ANCOM-BC - keep as primary method (excellent choice).</w:t>
      </w:r>
    </w:p>
    <w:p>
      <w:pPr>
        <w:pStyle w:val="ListBullet"/>
      </w:pPr>
      <w:r>
        <w:rPr>
          <w:rFonts w:ascii="Times New Roman" w:hAnsi="Times New Roman"/>
          <w:sz w:val="24"/>
        </w:rPr>
        <w:t>Sensitivity analysis: also run DESeq2 or MaAsLin2 to confirm results.</w:t>
      </w:r>
    </w:p>
    <w:p>
      <w:pPr>
        <w:pStyle w:val="ListBullet"/>
      </w:pPr>
      <w:r>
        <w:rPr>
          <w:rFonts w:ascii="Times New Roman" w:hAnsi="Times New Roman"/>
          <w:sz w:val="24"/>
        </w:rPr>
        <w:t>Thresholds: FDR-adjusted p &lt; 0.05 AND |log2 fold-change| &gt;= 1 (standard and appropriate).</w:t>
      </w:r>
    </w:p>
    <w:p>
      <w:r>
        <w:rPr>
          <w:rFonts w:ascii="Times New Roman" w:hAnsi="Times New Roman"/>
          <w:b/>
          <w:i w:val="0"/>
          <w:sz w:val="24"/>
        </w:rPr>
        <w:t>Why ANCOM-BC:</w:t>
      </w:r>
    </w:p>
    <w:p>
      <w:r>
        <w:rPr>
          <w:rFonts w:ascii="Times New Roman" w:hAnsi="Times New Roman"/>
          <w:b w:val="0"/>
          <w:i w:val="0"/>
          <w:sz w:val="24"/>
        </w:rPr>
        <w:t>Standard tools (DESeq2, edgeR) assume most features do not change. In microbiome data, many taxa may shift, violating this. ANCOM-BC uses bias-correction that accounts for this.</w:t>
      </w:r>
    </w:p>
    <w:p>
      <w:pPr>
        <w:pStyle w:val="Heading2"/>
      </w:pPr>
      <w:r>
        <w:rPr>
          <w:color w:val="2E7D32"/>
        </w:rPr>
        <w:t>3.3 Longitudinal Trajectories - Clarified</w:t>
      </w:r>
    </w:p>
    <w:p>
      <w:r>
        <w:rPr>
          <w:rFonts w:ascii="Times New Roman" w:hAnsi="Times New Roman"/>
          <w:b w:val="0"/>
          <w:i w:val="0"/>
          <w:sz w:val="24"/>
        </w:rPr>
        <w:t>Original: RM-ANOVA and linear mixed models listed without specifying primary.</w:t>
      </w:r>
    </w:p>
    <w:p>
      <w:r>
        <w:rPr>
          <w:rFonts w:ascii="Times New Roman" w:hAnsi="Times New Roman"/>
          <w:b/>
          <w:i w:val="0"/>
          <w:sz w:val="24"/>
        </w:rPr>
        <w:t>Recommendation:</w:t>
      </w:r>
    </w:p>
    <w:p>
      <w:pPr>
        <w:pStyle w:val="ListBullet"/>
      </w:pPr>
      <w:r>
        <w:rPr>
          <w:rFonts w:ascii="Times New Roman" w:hAnsi="Times New Roman"/>
          <w:sz w:val="24"/>
        </w:rPr>
        <w:t>Primary: Linear mixed-effects model:</w:t>
      </w:r>
    </w:p>
    <w:p>
      <w:pPr>
        <w:jc w:val="center"/>
      </w:pPr>
      <w:r>
        <w:rPr>
          <w:rFonts w:ascii="Consolas" w:hAnsi="Consolas"/>
          <w:i/>
          <w:sz w:val="22"/>
        </w:rPr>
        <w:t>log10(abundance) ~ Treatment + Time + Treatment x Time + (1 | Culture_ID)</w:t>
      </w:r>
    </w:p>
    <w:p>
      <w:pPr>
        <w:pStyle w:val="ListBullet"/>
      </w:pPr>
      <w:r>
        <w:rPr>
          <w:rFonts w:ascii="Times New Roman" w:hAnsi="Times New Roman"/>
          <w:sz w:val="24"/>
        </w:rPr>
        <w:t>Treatment = MTZ alone vs MTZ + clindamycin (fixed effect)</w:t>
      </w:r>
    </w:p>
    <w:p>
      <w:pPr>
        <w:pStyle w:val="ListBullet"/>
      </w:pPr>
      <w:r>
        <w:rPr>
          <w:rFonts w:ascii="Times New Roman" w:hAnsi="Times New Roman"/>
          <w:sz w:val="24"/>
        </w:rPr>
        <w:t>Time = baseline, days 1-7, post-treatment, recovery (categorical)</w:t>
      </w:r>
    </w:p>
    <w:p>
      <w:pPr>
        <w:pStyle w:val="ListBullet"/>
      </w:pPr>
      <w:r>
        <w:rPr>
          <w:rFonts w:ascii="Times New Roman" w:hAnsi="Times New Roman"/>
          <w:sz w:val="24"/>
        </w:rPr>
        <w:t>Treatment x Time = tests whether trajectory differs between regimens</w:t>
      </w:r>
    </w:p>
    <w:p>
      <w:pPr>
        <w:pStyle w:val="ListBullet"/>
      </w:pPr>
      <w:r>
        <w:rPr>
          <w:rFonts w:ascii="Times New Roman" w:hAnsi="Times New Roman"/>
          <w:sz w:val="24"/>
        </w:rPr>
        <w:t>(1 | Culture_ID) = random intercept for each independent culture</w:t>
      </w:r>
    </w:p>
    <w:p>
      <w:r>
        <w:rPr>
          <w:rFonts w:ascii="Times New Roman" w:hAnsi="Times New Roman"/>
          <w:b/>
          <w:i w:val="0"/>
          <w:sz w:val="24"/>
        </w:rPr>
        <w:t>Why mixed models over RM-ANOVA:</w:t>
      </w:r>
    </w:p>
    <w:p>
      <w:pPr>
        <w:pStyle w:val="ListBullet"/>
      </w:pPr>
      <w:r>
        <w:rPr>
          <w:rFonts w:ascii="Times New Roman" w:hAnsi="Times New Roman"/>
          <w:sz w:val="24"/>
        </w:rPr>
        <w:t>Handle missing time points without dropping entire cultures.</w:t>
      </w:r>
    </w:p>
    <w:p>
      <w:pPr>
        <w:pStyle w:val="ListBullet"/>
      </w:pPr>
      <w:r>
        <w:rPr>
          <w:rFonts w:ascii="Times New Roman" w:hAnsi="Times New Roman"/>
          <w:sz w:val="24"/>
        </w:rPr>
        <w:t>Do not require sphericity assumption.</w:t>
      </w:r>
    </w:p>
    <w:p>
      <w:pPr>
        <w:pStyle w:val="ListBullet"/>
      </w:pPr>
      <w:r>
        <w:rPr>
          <w:rFonts w:ascii="Times New Roman" w:hAnsi="Times New Roman"/>
          <w:sz w:val="24"/>
        </w:rPr>
        <w:t>Handle uneven time spacing (e.g., daily samples then a recovery gap).</w:t>
      </w:r>
    </w:p>
    <w:p>
      <w:r>
        <w:rPr>
          <w:rFonts w:ascii="Times New Roman" w:hAnsi="Times New Roman"/>
          <w:b/>
          <w:i w:val="0"/>
          <w:sz w:val="24"/>
        </w:rPr>
        <w:t>If residuals remain non-normal:</w:t>
      </w:r>
    </w:p>
    <w:p>
      <w:r>
        <w:rPr>
          <w:rFonts w:ascii="Times New Roman" w:hAnsi="Times New Roman"/>
          <w:b w:val="0"/>
          <w:i w:val="0"/>
          <w:sz w:val="24"/>
        </w:rPr>
        <w:t>Use a generalised linear mixed model with negative binomial family.</w:t>
      </w:r>
    </w:p>
    <w:p>
      <w:pPr>
        <w:pStyle w:val="Heading2"/>
      </w:pPr>
      <w:r>
        <w:rPr>
          <w:color w:val="2E7D32"/>
        </w:rPr>
        <w:t>3.4 Cross-Sectional Group Comparisons - Retained</w:t>
      </w:r>
    </w:p>
    <w:p>
      <w:r>
        <w:rPr>
          <w:rFonts w:ascii="Times New Roman" w:hAnsi="Times New Roman"/>
          <w:b w:val="0"/>
          <w:i w:val="0"/>
          <w:sz w:val="24"/>
        </w:rPr>
        <w:t>Original: t-test or Wilcoxon; chi-square or Fisher's exact test.</w:t>
      </w:r>
    </w:p>
    <w:p>
      <w:r>
        <w:rPr>
          <w:rFonts w:ascii="Times New Roman" w:hAnsi="Times New Roman"/>
          <w:b w:val="0"/>
          <w:i w:val="0"/>
          <w:sz w:val="24"/>
        </w:rPr>
        <w:t>Assessment: These are appropriate. The proposal correctly notes "as appropriate."</w:t>
      </w:r>
    </w:p>
    <w:p>
      <w:r>
        <w:rPr>
          <w:rFonts w:ascii="Times New Roman" w:hAnsi="Times New Roman"/>
          <w:b w:val="0"/>
          <w:i w:val="0"/>
          <w:sz w:val="24"/>
        </w:rPr>
        <w:t>Refinement: Check normality via Shapiro-Wilk test and Q-Q plots. If n &lt; 10 per group, default to non-parametric.</w:t>
      </w:r>
    </w:p>
    <w:p>
      <w:pPr>
        <w:pStyle w:val="Heading2"/>
      </w:pPr>
      <w:r>
        <w:rPr>
          <w:color w:val="2E7D32"/>
        </w:rPr>
        <w:t>3.5 IAA vs qPCR Agreement - Retained and Justified</w:t>
      </w:r>
    </w:p>
    <w:p>
      <w:r>
        <w:rPr>
          <w:rFonts w:ascii="Times New Roman" w:hAnsi="Times New Roman"/>
          <w:b w:val="0"/>
          <w:i w:val="0"/>
          <w:sz w:val="24"/>
        </w:rPr>
        <w:t>Original: Spearman/Pearson correlation + Bland-Altman analysis.</w:t>
      </w:r>
    </w:p>
    <w:p>
      <w:r>
        <w:rPr>
          <w:rFonts w:ascii="Times New Roman" w:hAnsi="Times New Roman"/>
          <w:b w:val="0"/>
          <w:i w:val="0"/>
          <w:sz w:val="24"/>
        </w:rPr>
        <w:t>Assessment: Excellent addition. Bland-Altman is the correct method for assessing agreement.</w:t>
      </w:r>
    </w:p>
    <w:p>
      <w:r>
        <w:rPr>
          <w:rFonts w:ascii="Times New Roman" w:hAnsi="Times New Roman"/>
          <w:b w:val="0"/>
          <w:i w:val="0"/>
          <w:sz w:val="24"/>
        </w:rPr>
        <w:t>Refinement:</w:t>
      </w:r>
    </w:p>
    <w:p>
      <w:pPr>
        <w:pStyle w:val="ListBullet"/>
      </w:pPr>
      <w:r>
        <w:rPr>
          <w:rFonts w:ascii="Times New Roman" w:hAnsi="Times New Roman"/>
          <w:sz w:val="24"/>
        </w:rPr>
        <w:t>Default to Spearman (safer for microbial data).</w:t>
      </w:r>
    </w:p>
    <w:p>
      <w:pPr>
        <w:pStyle w:val="ListBullet"/>
      </w:pPr>
      <w:r>
        <w:rPr>
          <w:rFonts w:ascii="Times New Roman" w:hAnsi="Times New Roman"/>
          <w:sz w:val="24"/>
        </w:rPr>
        <w:t>Report mean difference (bias) and 95% limits of agreement.</w:t>
      </w:r>
    </w:p>
    <w:p>
      <w:pPr>
        <w:pStyle w:val="ListBullet"/>
      </w:pPr>
      <w:r>
        <w:rPr>
          <w:rFonts w:ascii="Times New Roman" w:hAnsi="Times New Roman"/>
          <w:sz w:val="24"/>
        </w:rPr>
        <w:t>Pre-define acceptable limits (e.g., bias within +/- 0.5 log10 copies/mL).</w:t>
      </w:r>
    </w:p>
    <w:p>
      <w:pPr>
        <w:pStyle w:val="Heading2"/>
      </w:pPr>
      <w:r>
        <w:rPr>
          <w:color w:val="2E7D32"/>
        </w:rPr>
        <w:t>3.6 Genomic Signatures - Expanded</w:t>
      </w:r>
    </w:p>
    <w:p>
      <w:r>
        <w:rPr>
          <w:rFonts w:ascii="Times New Roman" w:hAnsi="Times New Roman"/>
          <w:b w:val="0"/>
          <w:i w:val="0"/>
          <w:sz w:val="24"/>
        </w:rPr>
        <w:t>Original: FastQC, Kraken 2, Bracken, Metaphlan4, Humann3, Aldex2, Welch t-test, MetaSNV.</w:t>
      </w:r>
    </w:p>
    <w:p>
      <w:r>
        <w:rPr>
          <w:rFonts w:ascii="Times New Roman" w:hAnsi="Times New Roman"/>
          <w:b w:val="0"/>
          <w:i w:val="0"/>
          <w:sz w:val="24"/>
        </w:rPr>
        <w:t>The bioinformatics pipeline is well described. Below are statistical refinements:</w:t>
      </w:r>
    </w:p>
    <w:p>
      <w:r>
        <w:rPr>
          <w:rFonts w:ascii="Times New Roman" w:hAnsi="Times New Roman"/>
          <w:b/>
          <w:i w:val="0"/>
          <w:sz w:val="24"/>
        </w:rPr>
        <w:t>3.6.1 Differential Abundance of AMR Genes</w:t>
      </w:r>
    </w:p>
    <w:p>
      <w:pPr>
        <w:pStyle w:val="ListBullet"/>
      </w:pPr>
      <w:r>
        <w:rPr>
          <w:rFonts w:ascii="Times New Roman" w:hAnsi="Times New Roman"/>
          <w:sz w:val="24"/>
        </w:rPr>
        <w:t>Aldex2 is appropriate (uses Monte Carlo approach for compositional data).</w:t>
      </w:r>
    </w:p>
    <w:p>
      <w:pPr>
        <w:pStyle w:val="ListBullet"/>
      </w:pPr>
      <w:r>
        <w:rPr>
          <w:rFonts w:ascii="Times New Roman" w:hAnsi="Times New Roman"/>
          <w:sz w:val="24"/>
        </w:rPr>
        <w:t>Confirm FDR correction across all tested genes.</w:t>
      </w:r>
    </w:p>
    <w:p>
      <w:pPr>
        <w:pStyle w:val="ListBullet"/>
      </w:pPr>
      <w:r>
        <w:rPr>
          <w:rFonts w:ascii="Times New Roman" w:hAnsi="Times New Roman"/>
          <w:sz w:val="24"/>
        </w:rPr>
        <w:t>Add effect size reporting alongside p-values.</w:t>
      </w:r>
    </w:p>
    <w:p>
      <w:r>
        <w:rPr>
          <w:rFonts w:ascii="Times New Roman" w:hAnsi="Times New Roman"/>
          <w:b/>
          <w:i w:val="0"/>
          <w:sz w:val="24"/>
        </w:rPr>
        <w:t>3.6.2 Predictive Modelling (New)</w:t>
      </w:r>
    </w:p>
    <w:p>
      <w:r>
        <w:rPr>
          <w:rFonts w:ascii="Times New Roman" w:hAnsi="Times New Roman"/>
          <w:b w:val="0"/>
          <w:i w:val="0"/>
          <w:sz w:val="24"/>
        </w:rPr>
        <w:t>Objective 2 aims to "identify signatures predictive of treatment success." Differential abundance alone does not address this fully.</w:t>
      </w:r>
    </w:p>
    <w:p>
      <w:pPr>
        <w:pStyle w:val="ListBullet"/>
      </w:pPr>
      <w:r>
        <w:rPr>
          <w:rFonts w:ascii="Times New Roman" w:hAnsi="Times New Roman"/>
          <w:sz w:val="24"/>
        </w:rPr>
        <w:t>Random Forest classification: uses all genomic features to predict outcome.</w:t>
      </w:r>
    </w:p>
    <w:p>
      <w:pPr>
        <w:pStyle w:val="ListBullet"/>
      </w:pPr>
      <w:r>
        <w:rPr>
          <w:rFonts w:ascii="Times New Roman" w:hAnsi="Times New Roman"/>
          <w:sz w:val="24"/>
        </w:rPr>
        <w:t>Logistic regression with elastic net regularisation: identifies most important individual features.</w:t>
      </w:r>
    </w:p>
    <w:p>
      <w:pPr>
        <w:pStyle w:val="ListBullet"/>
      </w:pPr>
      <w:r>
        <w:rPr>
          <w:rFonts w:ascii="Times New Roman" w:hAnsi="Times New Roman"/>
          <w:sz w:val="24"/>
        </w:rPr>
        <w:t>5-fold cross-validation repeated 10 times to avoid overfitting.</w:t>
      </w:r>
    </w:p>
    <w:p>
      <w:pPr>
        <w:pStyle w:val="ListBullet"/>
      </w:pPr>
      <w:r>
        <w:rPr>
          <w:rFonts w:ascii="Times New Roman" w:hAnsi="Times New Roman"/>
          <w:sz w:val="24"/>
        </w:rPr>
        <w:t>Report AUC, sensitivity, specificity, positive/negative predictive values.</w:t>
      </w:r>
    </w:p>
    <w:p>
      <w:r>
        <w:rPr>
          <w:rFonts w:ascii="Times New Roman" w:hAnsi="Times New Roman"/>
          <w:b/>
          <w:i w:val="0"/>
          <w:sz w:val="24"/>
        </w:rPr>
        <w:t>3.6.3 SNV Analysis</w:t>
      </w:r>
    </w:p>
    <w:p>
      <w:pPr>
        <w:pStyle w:val="ListBullet"/>
      </w:pPr>
      <w:r>
        <w:rPr>
          <w:rFonts w:ascii="Times New Roman" w:hAnsi="Times New Roman"/>
          <w:sz w:val="24"/>
        </w:rPr>
        <w:t>MetaSNV + Manhattan distances - appropriate.</w:t>
      </w:r>
    </w:p>
    <w:p>
      <w:pPr>
        <w:pStyle w:val="ListBullet"/>
      </w:pPr>
      <w:r>
        <w:rPr>
          <w:rFonts w:ascii="Times New Roman" w:hAnsi="Times New Roman"/>
          <w:sz w:val="24"/>
        </w:rPr>
        <w:t>Add: PERMANOVA on Manhattan distance matrices to formally test profile differences between groups.</w:t>
      </w:r>
    </w:p>
    <w:p>
      <w:pPr>
        <w:pStyle w:val="ListBullet"/>
      </w:pPr>
      <w:r>
        <w:rPr>
          <w:rFonts w:ascii="Times New Roman" w:hAnsi="Times New Roman"/>
          <w:sz w:val="24"/>
        </w:rPr>
        <w:t>Add: PCoA visualisation of Manhattan distances.</w:t>
      </w:r>
    </w:p>
    <w:p>
      <w:pPr>
        <w:pStyle w:val="Heading2"/>
      </w:pPr>
      <w:r>
        <w:rPr>
          <w:color w:val="2E7D32"/>
        </w:rPr>
        <w:t>3.7 In Vitro to In Vivo Comparison - Structured</w:t>
      </w:r>
    </w:p>
    <w:p>
      <w:r>
        <w:rPr>
          <w:rFonts w:ascii="Times New Roman" w:hAnsi="Times New Roman"/>
          <w:b w:val="0"/>
          <w:i w:val="0"/>
          <w:sz w:val="24"/>
        </w:rPr>
        <w:t>Objective 3: compare biomarkers identified in vitro with those observed in vivo.</w:t>
      </w:r>
    </w:p>
    <w:p>
      <w:r>
        <w:rPr>
          <w:rFonts w:ascii="Times New Roman" w:hAnsi="Times New Roman"/>
          <w:b w:val="0"/>
          <w:i w:val="0"/>
          <w:sz w:val="24"/>
        </w:rPr>
        <w:t>Original: mentions multivariate analyses but does not specify which.</w:t>
      </w:r>
    </w:p>
    <w:p>
      <w:r>
        <w:rPr>
          <w:rFonts w:ascii="Times New Roman" w:hAnsi="Times New Roman"/>
          <w:b/>
          <w:i w:val="0"/>
          <w:sz w:val="24"/>
        </w:rPr>
        <w:t>Recommendation:</w:t>
      </w:r>
    </w:p>
    <w:p>
      <w:pPr>
        <w:pStyle w:val="ListBullet"/>
      </w:pPr>
      <w:r>
        <w:rPr>
          <w:rFonts w:ascii="Times New Roman" w:hAnsi="Times New Roman"/>
          <w:sz w:val="24"/>
        </w:rPr>
        <w:t>Step 1: Spearman correlation for key taxa abundance between in vitro and matched clinical samples.</w:t>
      </w:r>
    </w:p>
    <w:p>
      <w:pPr>
        <w:pStyle w:val="ListBullet"/>
      </w:pPr>
      <w:r>
        <w:rPr>
          <w:rFonts w:ascii="Times New Roman" w:hAnsi="Times New Roman"/>
          <w:sz w:val="24"/>
        </w:rPr>
        <w:t>Step 2: Concordance (percentage agreement) for AMR gene and SNV detection.</w:t>
      </w:r>
    </w:p>
    <w:p>
      <w:pPr>
        <w:pStyle w:val="ListBullet"/>
      </w:pPr>
      <w:r>
        <w:rPr>
          <w:rFonts w:ascii="Times New Roman" w:hAnsi="Times New Roman"/>
          <w:sz w:val="24"/>
        </w:rPr>
        <w:t>Step 3: Sensitivity and specificity of the in vitro model for predicting in vivo outcome.</w:t>
      </w:r>
    </w:p>
    <w:p>
      <w:pPr>
        <w:pStyle w:val="ListBullet"/>
      </w:pPr>
      <w:r>
        <w:rPr>
          <w:rFonts w:ascii="Times New Roman" w:hAnsi="Times New Roman"/>
          <w:sz w:val="24"/>
        </w:rPr>
        <w:t>Step 4: Logistic regression to identify which in vitro features best predict in vivo outcomes.</w:t>
      </w:r>
    </w:p>
    <w:p>
      <w:pPr>
        <w:pStyle w:val="Heading2"/>
      </w:pPr>
      <w:r>
        <w:rPr>
          <w:color w:val="2E7D32"/>
        </w:rPr>
        <w:t>3.8 Multiple Comparison Correction</w:t>
      </w:r>
    </w:p>
    <w:p>
      <w:r>
        <w:rPr>
          <w:rFonts w:ascii="Times New Roman" w:hAnsi="Times New Roman"/>
          <w:b w:val="0"/>
          <w:i w:val="0"/>
          <w:sz w:val="24"/>
        </w:rPr>
        <w:t>The original correctly uses FDR correction. Summary: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2"/>
              </w:rPr>
              <w:t>Analysis</w:t>
            </w:r>
          </w:p>
        </w:tc>
        <w:tc>
          <w:tcPr>
            <w:tcW w:type="dxa" w:w="3135"/>
          </w:tcPr>
          <w:p>
            <w:r>
              <w:rPr>
                <w:b/>
                <w:sz w:val="22"/>
              </w:rPr>
              <w:t>Correction Method</w:t>
            </w:r>
          </w:p>
        </w:tc>
        <w:tc>
          <w:tcPr>
            <w:tcW w:type="dxa" w:w="3135"/>
          </w:tcPr>
          <w:p>
            <w:r>
              <w:rPr>
                <w:b/>
                <w:sz w:val="22"/>
              </w:rPr>
              <w:t>Reason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Differential abundance (ANCOM-BC)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Benjamini-Hochberg FDR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Many taxa tested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Longitudinal mixed models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Tukey HSD or Bonferroni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Small number of pairwise comparisons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AMR genes (Aldex2)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Benjamini-Hochberg FDR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Many genes tested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In vitro vs in vivo correlations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Benjamini-Hochberg FDR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Multiple taxa vs outcomes</w:t>
            </w:r>
          </w:p>
        </w:tc>
      </w:tr>
    </w:tbl>
    <w:p>
      <w:pPr>
        <w:pStyle w:val="Heading2"/>
      </w:pPr>
      <w:r>
        <w:rPr>
          <w:color w:val="2E7D32"/>
        </w:rPr>
        <w:t>3.9 Handling Missing Data (New)</w:t>
      </w:r>
    </w:p>
    <w:p>
      <w:r>
        <w:rPr>
          <w:rFonts w:ascii="Times New Roman" w:hAnsi="Times New Roman"/>
          <w:b/>
          <w:i w:val="0"/>
          <w:sz w:val="24"/>
        </w:rPr>
        <w:t>In vitro experiments:</w:t>
      </w:r>
    </w:p>
    <w:p>
      <w:pPr>
        <w:pStyle w:val="ListBullet"/>
      </w:pPr>
      <w:r>
        <w:rPr>
          <w:rFonts w:ascii="Times New Roman" w:hAnsi="Times New Roman"/>
          <w:sz w:val="24"/>
        </w:rPr>
        <w:t>Technical failures - document and exclude only that measurement.</w:t>
      </w:r>
    </w:p>
    <w:p>
      <w:pPr>
        <w:pStyle w:val="ListBullet"/>
      </w:pPr>
      <w:r>
        <w:rPr>
          <w:rFonts w:ascii="Times New Roman" w:hAnsi="Times New Roman"/>
          <w:sz w:val="24"/>
        </w:rPr>
        <w:t>Contamination - discard entire replicate and note in lab record.</w:t>
      </w:r>
    </w:p>
    <w:p>
      <w:pPr>
        <w:pStyle w:val="ListBullet"/>
      </w:pPr>
      <w:r>
        <w:rPr>
          <w:rFonts w:ascii="Times New Roman" w:hAnsi="Times New Roman"/>
          <w:sz w:val="24"/>
        </w:rPr>
        <w:t>Mixed models handle missing time points without imputation.</w:t>
      </w:r>
    </w:p>
    <w:p>
      <w:r>
        <w:rPr>
          <w:rFonts w:ascii="Times New Roman" w:hAnsi="Times New Roman"/>
          <w:b/>
          <w:i w:val="0"/>
          <w:sz w:val="24"/>
        </w:rPr>
        <w:t>In vivo comparisons:</w:t>
      </w:r>
    </w:p>
    <w:p>
      <w:pPr>
        <w:pStyle w:val="ListBullet"/>
      </w:pPr>
      <w:r>
        <w:rPr>
          <w:rFonts w:ascii="Times New Roman" w:hAnsi="Times New Roman"/>
          <w:sz w:val="24"/>
        </w:rPr>
        <w:t>Report missingness by group and reason.</w:t>
      </w:r>
    </w:p>
    <w:p>
      <w:pPr>
        <w:pStyle w:val="ListBullet"/>
      </w:pPr>
      <w:r>
        <w:rPr>
          <w:rFonts w:ascii="Times New Roman" w:hAnsi="Times New Roman"/>
          <w:sz w:val="24"/>
        </w:rPr>
        <w:t>Compare baseline characteristics of completers vs non-completers.</w:t>
      </w:r>
    </w:p>
    <w:p>
      <w:pPr>
        <w:pStyle w:val="ListBullet"/>
      </w:pPr>
      <w:r>
        <w:rPr>
          <w:rFonts w:ascii="Times New Roman" w:hAnsi="Times New Roman"/>
          <w:sz w:val="24"/>
        </w:rPr>
        <w:t>If &gt; 5% missing: consider multiple imputation (mice R package) as sensitivity analysis.</w:t>
      </w:r>
    </w:p>
    <w:p>
      <w:pPr>
        <w:pStyle w:val="Heading2"/>
      </w:pPr>
      <w:r>
        <w:rPr>
          <w:color w:val="2E7D32"/>
        </w:rPr>
        <w:t>3.10 Statistical Software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2"/>
              </w:rPr>
              <w:t>Task</w:t>
            </w:r>
          </w:p>
        </w:tc>
        <w:tc>
          <w:tcPr>
            <w:tcW w:type="dxa" w:w="3135"/>
          </w:tcPr>
          <w:p>
            <w:r>
              <w:rPr>
                <w:b/>
                <w:sz w:val="22"/>
              </w:rPr>
              <w:t>Software / Package</w:t>
            </w:r>
          </w:p>
        </w:tc>
        <w:tc>
          <w:tcPr>
            <w:tcW w:type="dxa" w:w="3135"/>
          </w:tcPr>
          <w:p>
            <w:r>
              <w:rPr>
                <w:b/>
                <w:sz w:val="22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16S rRNA analysis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R: phyloseq, vegan, ANCOMBC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SILVA / Greengenes2 ref. db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Differential abundance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ANCOM-BC (primary), DESeq2 (sensitivity)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FDR-adjusted p &lt; 0.05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Longitudinal modelling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R: lme4, glmmTMB, emmeans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Mixed-effects models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Metagenomics / AMR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Kraken2, Bracken, MetaPhlan4, HUMAnN, Aldex2, MetaSNV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As originally proposed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Predictive modelling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R: randomForest, glmnet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Cross-validated; report AUC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Graphs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R: ggplot2, pheatmap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Publication-quality figures</w:t>
            </w:r>
          </w:p>
        </w:tc>
      </w:tr>
    </w:tbl>
    <w:p>
      <w:pPr>
        <w:pStyle w:val="Heading1"/>
      </w:pPr>
      <w:r>
        <w:rPr>
          <w:color w:val="01579B"/>
        </w:rPr>
        <w:t>4. Summary of Changes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2"/>
              </w:rPr>
              <w:t>Aspect</w:t>
            </w:r>
          </w:p>
        </w:tc>
        <w:tc>
          <w:tcPr>
            <w:tcW w:type="dxa" w:w="3135"/>
          </w:tcPr>
          <w:p>
            <w:r>
              <w:rPr>
                <w:b/>
                <w:sz w:val="22"/>
              </w:rPr>
              <w:t>Original Proposal</w:t>
            </w:r>
          </w:p>
        </w:tc>
        <w:tc>
          <w:tcPr>
            <w:tcW w:type="dxa" w:w="3135"/>
          </w:tcPr>
          <w:p>
            <w:r>
              <w:rPr>
                <w:b/>
                <w:sz w:val="22"/>
              </w:rPr>
              <w:t>Improved Version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Sample size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Not mentioned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Power analysis + replicate plan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Alpha diversity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Not mentioned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Shannon + Chao1 + Wilcoxon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Beta diversity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Not mentioned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Bray-Curtis PCoA + PERMANOVA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Differential abundance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ANCOM-BC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ANCOM-BC + DESeq2 sensitivity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Longitudinal analysis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RM-ANOVA or LMM (unclear)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Mixed model primary, justified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Predictive modelling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Not mentioned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Random Forest + elastic net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IAA vs qPCR agreement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Bland-Altman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Refined with pre-specified limits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Missing data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Not mentioned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Documentation + sensitivity analysis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In vitro vs in vivo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Vague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Structured: correlation + concordance + sens/spec</w:t>
            </w:r>
          </w:p>
        </w:tc>
      </w:tr>
    </w:tbl>
    <w:p/>
    <w:p>
      <w:pPr>
        <w:pStyle w:val="Heading1"/>
      </w:pPr>
      <w:r>
        <w:rPr>
          <w:color w:val="01579B"/>
        </w:rPr>
        <w:t>5. Plain-Language Summary</w:t>
      </w:r>
    </w:p>
    <w:p>
      <w:r>
        <w:rPr>
          <w:rFonts w:ascii="Times New Roman" w:hAnsi="Times New Roman"/>
          <w:b w:val="0"/>
          <w:i w:val="0"/>
          <w:sz w:val="24"/>
        </w:rPr>
        <w:t>The original Section 3.4 is significantly stronger than most Masters proposals, with modern methods (ANCOM-BC, FDR, Bland-Altman, mixed models) already included. The improvements focus on filling 8 specific gaps:</w:t>
      </w:r>
    </w:p>
    <w:p>
      <w:pPr>
        <w:pStyle w:val="ListBullet"/>
      </w:pPr>
      <w:r>
        <w:rPr>
          <w:rFonts w:ascii="Times New Roman" w:hAnsi="Times New Roman"/>
          <w:sz w:val="24"/>
        </w:rPr>
        <w:t>Adding a power analysis so reviewers can see the study is adequately sized.</w:t>
      </w:r>
    </w:p>
    <w:p>
      <w:pPr>
        <w:pStyle w:val="ListBullet"/>
      </w:pPr>
      <w:r>
        <w:rPr>
          <w:rFonts w:ascii="Times New Roman" w:hAnsi="Times New Roman"/>
          <w:sz w:val="24"/>
        </w:rPr>
        <w:t>Adding alpha and beta diversity analyses, which are standard in all 16S microbiome studies.</w:t>
      </w:r>
    </w:p>
    <w:p>
      <w:pPr>
        <w:pStyle w:val="ListBullet"/>
      </w:pPr>
      <w:r>
        <w:rPr>
          <w:rFonts w:ascii="Times New Roman" w:hAnsi="Times New Roman"/>
          <w:sz w:val="24"/>
        </w:rPr>
        <w:t>Clarifying that the primary longitudinal method is mixed-effects models (more flexible than RM-ANOVA).</w:t>
      </w:r>
    </w:p>
    <w:p>
      <w:pPr>
        <w:pStyle w:val="ListBullet"/>
      </w:pPr>
      <w:r>
        <w:rPr>
          <w:rFonts w:ascii="Times New Roman" w:hAnsi="Times New Roman"/>
          <w:sz w:val="24"/>
        </w:rPr>
        <w:t>Adding predictive modelling (Random Forest, elastic net) to formally address Objective 2.</w:t>
      </w:r>
    </w:p>
    <w:p>
      <w:pPr>
        <w:pStyle w:val="ListBullet"/>
      </w:pPr>
      <w:r>
        <w:rPr>
          <w:rFonts w:ascii="Times New Roman" w:hAnsi="Times New Roman"/>
          <w:sz w:val="24"/>
        </w:rPr>
        <w:t>Structuring the in vitro vs in vivo comparison into clear steps with defined metrics.</w:t>
      </w:r>
    </w:p>
    <w:p>
      <w:pPr>
        <w:pStyle w:val="ListBullet"/>
      </w:pPr>
      <w:r>
        <w:rPr>
          <w:rFonts w:ascii="Times New Roman" w:hAnsi="Times New Roman"/>
          <w:sz w:val="24"/>
        </w:rPr>
        <w:t>Adding a plan for missing data and replicate handling.</w:t>
      </w:r>
    </w:p>
    <w:p>
      <w:pPr>
        <w:pStyle w:val="ListBullet"/>
      </w:pPr>
      <w:r>
        <w:rPr>
          <w:rFonts w:ascii="Times New Roman" w:hAnsi="Times New Roman"/>
          <w:sz w:val="24"/>
        </w:rPr>
        <w:t>Better distinguishing between Objectives 1, 2, and 3 in the analysis structure.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These additions transform the analysis from a collection of good methods into a coherent, justified statistical framework.</w:t>
      </w:r>
    </w:p>
    <w:p>
      <w:r>
        <w:br w:type="page"/>
      </w:r>
    </w:p>
    <w:p>
      <w:pPr>
        <w:pStyle w:val="Heading1"/>
      </w:pPr>
      <w:r>
        <w:rPr>
          <w:color w:val="01579B"/>
        </w:rPr>
        <w:t>6. References (Statistical Methods)</w:t>
      </w:r>
    </w:p>
    <w:p>
      <w:pPr>
        <w:ind w:left="720" w:hanging="720"/>
      </w:pPr>
      <w:r>
        <w:rPr>
          <w:sz w:val="22"/>
        </w:rPr>
        <w:t>Anderson, M.J. (2001). A new method for non-parametric multivariate analysis of variance. Austral Ecology, 26(1), 32-46.</w:t>
      </w:r>
    </w:p>
    <w:p>
      <w:pPr>
        <w:ind w:left="720" w:hanging="720"/>
      </w:pPr>
      <w:r>
        <w:rPr>
          <w:sz w:val="22"/>
        </w:rPr>
        <w:t>Bates, D. et al. (2015). Fitting linear mixed-effects models using lme4. Journal of Statistical Software, 67(1), 1-48.</w:t>
      </w:r>
    </w:p>
    <w:p>
      <w:pPr>
        <w:ind w:left="720" w:hanging="720"/>
      </w:pPr>
      <w:r>
        <w:rPr>
          <w:sz w:val="22"/>
        </w:rPr>
        <w:t>Benjamini, Y. &amp; Hochberg, Y. (1995). Controlling the false discovery rate. Journal of the Royal Statistical Society: Series B, 57(1), 289-300.</w:t>
      </w:r>
    </w:p>
    <w:p>
      <w:pPr>
        <w:ind w:left="720" w:hanging="720"/>
      </w:pPr>
      <w:r>
        <w:rPr>
          <w:sz w:val="22"/>
        </w:rPr>
        <w:t>Bland, J.M. &amp; Altman, D.G. (1986). Statistical methods for assessing agreement between two methods of clinical measurement. The Lancet, 327(8476), 307-310.</w:t>
      </w:r>
    </w:p>
    <w:p>
      <w:pPr>
        <w:ind w:left="720" w:hanging="720"/>
      </w:pPr>
      <w:r>
        <w:rPr>
          <w:sz w:val="22"/>
        </w:rPr>
        <w:t>Breiman, L. (2001). Random forests. Machine Learning, 45(1), 5-32.</w:t>
      </w:r>
    </w:p>
    <w:p>
      <w:pPr>
        <w:ind w:left="720" w:hanging="720"/>
      </w:pPr>
      <w:r>
        <w:rPr>
          <w:sz w:val="22"/>
        </w:rPr>
        <w:t>Faul, F. et al. (2007). G*Power 3: A flexible statistical power analysis program. Behavior Research Methods, 39(2), 175-191.</w:t>
      </w:r>
    </w:p>
    <w:p>
      <w:pPr>
        <w:ind w:left="720" w:hanging="720"/>
      </w:pPr>
      <w:r>
        <w:rPr>
          <w:sz w:val="22"/>
        </w:rPr>
        <w:t>Lin, H. &amp; Peddada, S.D. (2020). Analysis of compositions of microbiomes with bias correction. Nature Communications, 11, 3514.</w:t>
      </w:r>
    </w:p>
    <w:p>
      <w:pPr>
        <w:ind w:left="720" w:hanging="720"/>
      </w:pPr>
      <w:r>
        <w:rPr>
          <w:sz w:val="22"/>
        </w:rPr>
        <w:t>McMurdie, P.J. &amp; Holmes, S. (2013). phyloseq: An R package for reproducible interactive analysis and graphics of microbiome census data. PLoS ONE, 8(4), e61217.</w:t>
      </w:r>
    </w:p>
    <w:p>
      <w:pPr>
        <w:ind w:left="720" w:hanging="720"/>
      </w:pPr>
      <w:r>
        <w:rPr>
          <w:sz w:val="22"/>
        </w:rPr>
        <w:t>Oksanen, J. et al. (2022). vegan: Community Ecology Package. R package version 2.6-4.</w:t>
      </w:r>
    </w:p>
    <w:p>
      <w:pPr>
        <w:ind w:left="720" w:hanging="720"/>
      </w:pPr>
      <w:r>
        <w:rPr>
          <w:sz w:val="22"/>
        </w:rPr>
        <w:t>Zou, H. &amp; Hastie, T. (2005). Regularization and variable selection via the elastic net. Journal of the Royal Statistical Society: Series B, 67(2), 301-320.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