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2317630"/>
            <wp:docPr id="1" name="Picture 1"/>
            <wp:cNvGraphicFramePr>
              <a:graphicFrameLocks noChangeAspect="1"/>
            </wp:cNvGraphicFramePr>
            <a:graphic>
              <a:graphicData uri="http://schemas.openxmlformats.org/drawingml/2006/picture">
                <pic:pic>
                  <pic:nvPicPr>
                    <pic:cNvPr id="0" name="primary_lockup.png"/>
                    <pic:cNvPicPr/>
                  </pic:nvPicPr>
                  <pic:blipFill>
                    <a:blip r:embed="rId11"/>
                    <a:stretch>
                      <a:fillRect/>
                    </a:stretch>
                  </pic:blipFill>
                  <pic:spPr>
                    <a:xfrm>
                      <a:off x="0" y="0"/>
                      <a:ext cx="5943600" cy="2317630"/>
                    </a:xfrm>
                    <a:prstGeom prst="rect"/>
                  </pic:spPr>
                </pic:pic>
              </a:graphicData>
            </a:graphic>
          </wp:inline>
        </w:drawing>
      </w:r>
    </w:p>
    <w:p>
      <w:pPr>
        <w:jc w:val="center"/>
      </w:pPr>
      <w:r>
        <w:rPr>
          <w:b/>
          <w:color w:val="013948"/>
          <w:sz w:val="48"/>
        </w:rPr>
        <w:t>OFFICIAL BRAND IDENTITY GUIDELINES</w:t>
      </w:r>
    </w:p>
    <w:p>
      <w:pPr>
        <w:jc w:val="center"/>
      </w:pPr>
      <w:r>
        <w:rPr>
          <w:color w:val="607D89"/>
          <w:sz w:val="20"/>
        </w:rPr>
        <w:t>Version 2.0  |  19 August 2026  |  Parent: The Noble's Technology Services</w:t>
      </w:r>
    </w:p>
    <w:p>
      <w:pPr>
        <w:jc w:val="center"/>
      </w:pPr>
      <w:r>
        <w:rPr>
          <w:i/>
          <w:color w:val="01779D"/>
          <w:sz w:val="22"/>
        </w:rPr>
        <w:t>The global-ready identity system for an intelligent business operating system.</w:t>
      </w:r>
    </w:p>
    <w:p/>
    <w:tbl>
      <w:tblPr>
        <w:tblW w:type="auto" w:w="0"/>
        <w:jc w:val="center"/>
        <w:tblLayout w:type="autofit"/>
        <w:tblLook w:firstColumn="1" w:firstRow="1" w:lastColumn="0" w:lastRow="0" w:noHBand="0" w:noVBand="1" w:val="04A0"/>
      </w:tblPr>
      <w:tblGrid>
        <w:gridCol w:w="10166"/>
      </w:tblGrid>
      <w:tr>
        <w:tc>
          <w:tcPr>
            <w:tcW w:type="dxa" w:w="10166"/>
            <w:shd w:fill="EAF7FC"/>
            <w:tcMar>
              <w:top w:w="180" w:type="dxa"/>
              <w:start w:w="220" w:type="dxa"/>
              <w:bottom w:w="180" w:type="dxa"/>
              <w:end w:w="220" w:type="dxa"/>
            </w:tcMar>
          </w:tcPr>
          <w:p>
            <w:r>
              <w:rPr>
                <w:b/>
                <w:color w:val="01A0E2"/>
                <w:sz w:val="18"/>
              </w:rPr>
              <w:t>BRAND PROMISE</w:t>
            </w:r>
          </w:p>
          <w:p>
            <w:pPr>
              <w:spacing w:after="0"/>
            </w:pPr>
            <w:r>
              <w:t>Everything Your Business Needs. One Intelligent Platform.</w:t>
            </w:r>
          </w:p>
        </w:tc>
      </w:tr>
    </w:tbl>
    <w:tbl>
      <w:tblPr>
        <w:tblW w:type="auto" w:w="0"/>
        <w:jc w:val="center"/>
        <w:tblLayout w:type="autofit"/>
        <w:tblLook w:firstColumn="1" w:firstRow="1" w:lastColumn="0" w:lastRow="0" w:noHBand="0" w:noVBand="1" w:val="04A0"/>
      </w:tblPr>
      <w:tblGrid>
        <w:gridCol w:w="10166"/>
      </w:tblGrid>
      <w:tr>
        <w:tc>
          <w:tcPr>
            <w:tcW w:type="dxa" w:w="10166"/>
            <w:shd w:fill="F4FBFD"/>
            <w:tcMar>
              <w:top w:w="180" w:type="dxa"/>
              <w:start w:w="220" w:type="dxa"/>
              <w:bottom w:w="180" w:type="dxa"/>
              <w:end w:w="220" w:type="dxa"/>
            </w:tcMar>
          </w:tcPr>
          <w:p>
            <w:r>
              <w:rPr>
                <w:b/>
                <w:color w:val="01A0E2"/>
                <w:sz w:val="18"/>
              </w:rPr>
              <w:t>PRODUCT MANTRA</w:t>
            </w:r>
          </w:p>
          <w:p>
            <w:pPr>
              <w:spacing w:after="0"/>
            </w:pPr>
            <w:r>
              <w:t>Run. Connect. Grow.</w:t>
            </w:r>
          </w:p>
        </w:tc>
      </w:tr>
    </w:tbl>
    <w:p>
      <w:r>
        <w:br w:type="page"/>
      </w:r>
    </w:p>
    <w:p>
      <w:pPr>
        <w:pStyle w:val="Heading1"/>
        <w:keepNext/>
      </w:pPr>
      <w:r>
        <w:rPr>
          <w:color w:val="013948"/>
        </w:rPr>
        <w:t>01. Document Control &amp; Brand Governance</w:t>
      </w:r>
    </w:p>
    <w:p>
      <w:pPr>
        <w:pStyle w:val="Subtitle"/>
        <w:spacing w:after="200"/>
      </w:pPr>
      <w:r>
        <w:t>The source-of-truth rules for how Nobevra is represented.</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Brand</w:t>
            </w:r>
          </w:p>
        </w:tc>
        <w:tc>
          <w:tcPr>
            <w:tcW w:type="dxa" w:w="5083"/>
            <w:tcMar>
              <w:top w:w="100" w:type="dxa"/>
              <w:start w:w="120" w:type="dxa"/>
              <w:bottom w:w="100" w:type="dxa"/>
              <w:end w:w="120" w:type="dxa"/>
            </w:tcMar>
            <w:vAlign w:val="center"/>
          </w:tcPr>
          <w:p>
            <w:r>
              <w:t>Nobevra</w:t>
            </w:r>
          </w:p>
        </w:tc>
      </w:tr>
      <w:tr>
        <w:tc>
          <w:tcPr>
            <w:tcW w:type="dxa" w:w="5083"/>
            <w:shd w:fill="F4F9FC"/>
            <w:tcMar>
              <w:top w:w="100" w:type="dxa"/>
              <w:start w:w="120" w:type="dxa"/>
              <w:bottom w:w="100" w:type="dxa"/>
              <w:end w:w="120" w:type="dxa"/>
            </w:tcMar>
            <w:vAlign w:val="center"/>
          </w:tcPr>
          <w:p>
            <w:r>
              <w:t>Positioning</w:t>
            </w:r>
          </w:p>
        </w:tc>
        <w:tc>
          <w:tcPr>
            <w:tcW w:type="dxa" w:w="5083"/>
            <w:tcMar>
              <w:top w:w="100" w:type="dxa"/>
              <w:start w:w="120" w:type="dxa"/>
              <w:bottom w:w="100" w:type="dxa"/>
              <w:end w:w="120" w:type="dxa"/>
            </w:tcMar>
            <w:vAlign w:val="center"/>
          </w:tcPr>
          <w:p>
            <w:r>
              <w:t>The Intelligent Business Operating System</w:t>
            </w:r>
          </w:p>
        </w:tc>
      </w:tr>
      <w:tr>
        <w:tc>
          <w:tcPr>
            <w:tcW w:type="dxa" w:w="5083"/>
            <w:shd w:fill="F4F9FC"/>
            <w:tcMar>
              <w:top w:w="100" w:type="dxa"/>
              <w:start w:w="120" w:type="dxa"/>
              <w:bottom w:w="100" w:type="dxa"/>
              <w:end w:w="120" w:type="dxa"/>
            </w:tcMar>
            <w:vAlign w:val="center"/>
          </w:tcPr>
          <w:p>
            <w:r>
              <w:t>Parent / legal entity</w:t>
            </w:r>
          </w:p>
        </w:tc>
        <w:tc>
          <w:tcPr>
            <w:tcW w:type="dxa" w:w="5083"/>
            <w:tcMar>
              <w:top w:w="100" w:type="dxa"/>
              <w:start w:w="120" w:type="dxa"/>
              <w:bottom w:w="100" w:type="dxa"/>
              <w:end w:w="120" w:type="dxa"/>
            </w:tcMar>
            <w:vAlign w:val="center"/>
          </w:tcPr>
          <w:p>
            <w:r>
              <w:t>The Noble's Technology Services</w:t>
            </w:r>
          </w:p>
        </w:tc>
      </w:tr>
      <w:tr>
        <w:tc>
          <w:tcPr>
            <w:tcW w:type="dxa" w:w="5083"/>
            <w:shd w:fill="F4F9FC"/>
            <w:tcMar>
              <w:top w:w="100" w:type="dxa"/>
              <w:start w:w="120" w:type="dxa"/>
              <w:bottom w:w="100" w:type="dxa"/>
              <w:end w:w="120" w:type="dxa"/>
            </w:tcMar>
            <w:vAlign w:val="center"/>
          </w:tcPr>
          <w:p>
            <w:r>
              <w:t>Brand role</w:t>
            </w:r>
          </w:p>
        </w:tc>
        <w:tc>
          <w:tcPr>
            <w:tcW w:type="dxa" w:w="5083"/>
            <w:tcMar>
              <w:top w:w="100" w:type="dxa"/>
              <w:start w:w="120" w:type="dxa"/>
              <w:bottom w:w="100" w:type="dxa"/>
              <w:end w:w="120" w:type="dxa"/>
            </w:tcMar>
            <w:vAlign w:val="center"/>
          </w:tcPr>
          <w:p>
            <w:r>
              <w:t>Master product / platform brand</w:t>
            </w:r>
          </w:p>
        </w:tc>
      </w:tr>
      <w:tr>
        <w:tc>
          <w:tcPr>
            <w:tcW w:type="dxa" w:w="5083"/>
            <w:shd w:fill="F4F9FC"/>
            <w:tcMar>
              <w:top w:w="100" w:type="dxa"/>
              <w:start w:w="120" w:type="dxa"/>
              <w:bottom w:w="100" w:type="dxa"/>
              <w:end w:w="120" w:type="dxa"/>
            </w:tcMar>
            <w:vAlign w:val="center"/>
          </w:tcPr>
          <w:p>
            <w:r>
              <w:t>Version</w:t>
            </w:r>
          </w:p>
        </w:tc>
        <w:tc>
          <w:tcPr>
            <w:tcW w:type="dxa" w:w="5083"/>
            <w:tcMar>
              <w:top w:w="100" w:type="dxa"/>
              <w:start w:w="120" w:type="dxa"/>
              <w:bottom w:w="100" w:type="dxa"/>
              <w:end w:w="120" w:type="dxa"/>
            </w:tcMar>
            <w:vAlign w:val="center"/>
          </w:tcPr>
          <w:p>
            <w:r>
              <w:t>2.0</w:t>
            </w:r>
          </w:p>
        </w:tc>
      </w:tr>
      <w:tr>
        <w:tc>
          <w:tcPr>
            <w:tcW w:type="dxa" w:w="5083"/>
            <w:shd w:fill="F4F9FC"/>
            <w:tcMar>
              <w:top w:w="100" w:type="dxa"/>
              <w:start w:w="120" w:type="dxa"/>
              <w:bottom w:w="100" w:type="dxa"/>
              <w:end w:w="120" w:type="dxa"/>
            </w:tcMar>
            <w:vAlign w:val="center"/>
          </w:tcPr>
          <w:p>
            <w:r>
              <w:t>Status</w:t>
            </w:r>
          </w:p>
        </w:tc>
        <w:tc>
          <w:tcPr>
            <w:tcW w:type="dxa" w:w="5083"/>
            <w:tcMar>
              <w:top w:w="100" w:type="dxa"/>
              <w:start w:w="120" w:type="dxa"/>
              <w:bottom w:w="100" w:type="dxa"/>
              <w:end w:w="120" w:type="dxa"/>
            </w:tcMar>
            <w:vAlign w:val="center"/>
          </w:tcPr>
          <w:p>
            <w:r>
              <w:t>Official brand identity and governance guide; legal trademark clearance is separate.</w:t>
            </w:r>
          </w:p>
        </w:tc>
      </w:tr>
      <w:tr>
        <w:tc>
          <w:tcPr>
            <w:tcW w:type="dxa" w:w="5083"/>
            <w:shd w:fill="F4F9FC"/>
            <w:tcMar>
              <w:top w:w="100" w:type="dxa"/>
              <w:start w:w="120" w:type="dxa"/>
              <w:bottom w:w="100" w:type="dxa"/>
              <w:end w:w="120" w:type="dxa"/>
            </w:tcMar>
            <w:vAlign w:val="center"/>
          </w:tcPr>
          <w:p>
            <w:r>
              <w:t>Primary typeface</w:t>
            </w:r>
          </w:p>
        </w:tc>
        <w:tc>
          <w:tcPr>
            <w:tcW w:type="dxa" w:w="5083"/>
            <w:tcMar>
              <w:top w:w="100" w:type="dxa"/>
              <w:start w:w="120" w:type="dxa"/>
              <w:bottom w:w="100" w:type="dxa"/>
              <w:end w:w="120" w:type="dxa"/>
            </w:tcMar>
            <w:vAlign w:val="center"/>
          </w:tcPr>
          <w:p>
            <w:r>
              <w:t>Inter</w:t>
            </w:r>
          </w:p>
        </w:tc>
      </w:tr>
      <w:tr>
        <w:tc>
          <w:tcPr>
            <w:tcW w:type="dxa" w:w="5083"/>
            <w:shd w:fill="F4F9FC"/>
            <w:tcMar>
              <w:top w:w="100" w:type="dxa"/>
              <w:start w:w="120" w:type="dxa"/>
              <w:bottom w:w="100" w:type="dxa"/>
              <w:end w:w="120" w:type="dxa"/>
            </w:tcMar>
            <w:vAlign w:val="center"/>
          </w:tcPr>
          <w:p>
            <w:r>
              <w:t>Primary digital domain strategy</w:t>
            </w:r>
          </w:p>
        </w:tc>
        <w:tc>
          <w:tcPr>
            <w:tcW w:type="dxa" w:w="5083"/>
            <w:tcMar>
              <w:top w:w="100" w:type="dxa"/>
              <w:start w:w="120" w:type="dxa"/>
              <w:bottom w:w="100" w:type="dxa"/>
              <w:end w:w="120" w:type="dxa"/>
            </w:tcMar>
            <w:vAlign w:val="center"/>
          </w:tcPr>
          <w:p>
            <w:r>
              <w:t>Use the controlled production hostname until the preferred global domain is legally and operationally ready.</w:t>
            </w:r>
          </w:p>
        </w:tc>
      </w:tr>
    </w:tbl>
    <w:tbl>
      <w:tblPr>
        <w:tblW w:type="auto" w:w="0"/>
        <w:jc w:val="center"/>
        <w:tblLayout w:type="autofit"/>
        <w:tblLook w:firstColumn="1" w:firstRow="1" w:lastColumn="0" w:lastRow="0" w:noHBand="0" w:noVBand="1" w:val="04A0"/>
      </w:tblPr>
      <w:tblGrid>
        <w:gridCol w:w="10166"/>
      </w:tblGrid>
      <w:tr>
        <w:tc>
          <w:tcPr>
            <w:tcW w:type="dxa" w:w="10166"/>
            <w:shd w:fill="FFF6E8"/>
            <w:tcMar>
              <w:top w:w="180" w:type="dxa"/>
              <w:start w:w="220" w:type="dxa"/>
              <w:bottom w:w="180" w:type="dxa"/>
              <w:end w:w="220" w:type="dxa"/>
            </w:tcMar>
          </w:tcPr>
          <w:p>
            <w:r>
              <w:rPr>
                <w:b/>
                <w:color w:val="B87900"/>
                <w:sz w:val="18"/>
              </w:rPr>
              <w:t>IMPORTANT LEGAL BOUNDARY</w:t>
            </w:r>
          </w:p>
          <w:p>
            <w:pPr>
              <w:spacing w:after="0"/>
            </w:pPr>
            <w:r>
              <w:t>This guide establishes brand standards; it does not certify trademark clearance, domain availability, or worldwide legal protection. Trademark, corporate-name, domain and class-specific clearance must be handled by qualified professionals.</w:t>
            </w:r>
          </w:p>
        </w:tc>
      </w:tr>
    </w:tbl>
    <w:p>
      <w:r>
        <w:rPr>
          <w:b/>
        </w:rPr>
        <w:t xml:space="preserve">Governance principle. </w:t>
      </w:r>
      <w:r>
        <w:t>Nobevra is the customer-facing product brand. The Noble's Technology Services remains the legal parent entity and should appear where legal ownership, contracts, statutory notices, privacy, terms and compliance require it.</w:t>
      </w:r>
    </w:p>
    <w:p>
      <w:pPr>
        <w:pStyle w:val="Heading1"/>
        <w:keepNext/>
      </w:pPr>
      <w:r>
        <w:rPr>
          <w:color w:val="013948"/>
        </w:rPr>
        <w:t>02. Brand Foundation</w:t>
      </w:r>
    </w:p>
    <w:p>
      <w:pPr>
        <w:pStyle w:val="Subtitle"/>
        <w:spacing w:after="200"/>
      </w:pPr>
      <w:r>
        <w:t>A broader platform identity that can scale beyond invoicing.</w:t>
      </w:r>
    </w:p>
    <w:p>
      <w:pPr>
        <w:pStyle w:val="Heading2"/>
      </w:pPr>
      <w:r>
        <w:t>What Nobevra is</w:t>
      </w:r>
    </w:p>
    <w:p>
      <w:r>
        <w:t>Nobevra is an all-in-one business toolkit and invoicing platform for businesses and freelancers. It unifies invoicing, CRM, expenses, productivity, QR utilities, business identity, AI, payments, financial intelligence and team collaboration across Web, Mobile and a unified backend.</w:t>
      </w:r>
    </w:p>
    <w:p>
      <w:pPr>
        <w:pStyle w:val="Heading2"/>
      </w:pPr>
      <w:r>
        <w:t>Brand definition</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Master definition</w:t>
            </w:r>
          </w:p>
        </w:tc>
        <w:tc>
          <w:tcPr>
            <w:tcW w:type="dxa" w:w="5083"/>
            <w:tcMar>
              <w:top w:w="100" w:type="dxa"/>
              <w:start w:w="120" w:type="dxa"/>
              <w:bottom w:w="100" w:type="dxa"/>
              <w:end w:w="120" w:type="dxa"/>
            </w:tcMar>
            <w:vAlign w:val="center"/>
          </w:tcPr>
          <w:p>
            <w:r>
              <w:t>Nobevra — The Intelligent Business Operating System.</w:t>
            </w:r>
          </w:p>
        </w:tc>
      </w:tr>
      <w:tr>
        <w:tc>
          <w:tcPr>
            <w:tcW w:type="dxa" w:w="5083"/>
            <w:shd w:fill="F4F9FC"/>
            <w:tcMar>
              <w:top w:w="100" w:type="dxa"/>
              <w:start w:w="120" w:type="dxa"/>
              <w:bottom w:w="100" w:type="dxa"/>
              <w:end w:w="120" w:type="dxa"/>
            </w:tcMar>
            <w:vAlign w:val="center"/>
          </w:tcPr>
          <w:p>
            <w:r>
              <w:t>Brand promise</w:t>
            </w:r>
          </w:p>
        </w:tc>
        <w:tc>
          <w:tcPr>
            <w:tcW w:type="dxa" w:w="5083"/>
            <w:tcMar>
              <w:top w:w="100" w:type="dxa"/>
              <w:start w:w="120" w:type="dxa"/>
              <w:bottom w:w="100" w:type="dxa"/>
              <w:end w:w="120" w:type="dxa"/>
            </w:tcMar>
            <w:vAlign w:val="center"/>
          </w:tcPr>
          <w:p>
            <w:r>
              <w:t>Everything Your Business Needs. One Intelligent Platform.</w:t>
            </w:r>
          </w:p>
        </w:tc>
      </w:tr>
      <w:tr>
        <w:tc>
          <w:tcPr>
            <w:tcW w:type="dxa" w:w="5083"/>
            <w:shd w:fill="F4F9FC"/>
            <w:tcMar>
              <w:top w:w="100" w:type="dxa"/>
              <w:start w:w="120" w:type="dxa"/>
              <w:bottom w:w="100" w:type="dxa"/>
              <w:end w:w="120" w:type="dxa"/>
            </w:tcMar>
            <w:vAlign w:val="center"/>
          </w:tcPr>
          <w:p>
            <w:r>
              <w:t>Product mantra</w:t>
            </w:r>
          </w:p>
        </w:tc>
        <w:tc>
          <w:tcPr>
            <w:tcW w:type="dxa" w:w="5083"/>
            <w:tcMar>
              <w:top w:w="100" w:type="dxa"/>
              <w:start w:w="120" w:type="dxa"/>
              <w:bottom w:w="100" w:type="dxa"/>
              <w:end w:w="120" w:type="dxa"/>
            </w:tcMar>
            <w:vAlign w:val="center"/>
          </w:tcPr>
          <w:p>
            <w:r>
              <w:t>Run. Connect. Grow.</w:t>
            </w:r>
          </w:p>
        </w:tc>
      </w:tr>
      <w:tr>
        <w:tc>
          <w:tcPr>
            <w:tcW w:type="dxa" w:w="5083"/>
            <w:shd w:fill="F4F9FC"/>
            <w:tcMar>
              <w:top w:w="100" w:type="dxa"/>
              <w:start w:w="120" w:type="dxa"/>
              <w:bottom w:w="100" w:type="dxa"/>
              <w:end w:w="120" w:type="dxa"/>
            </w:tcMar>
            <w:vAlign w:val="center"/>
          </w:tcPr>
          <w:p>
            <w:r>
              <w:t>Core outcome</w:t>
            </w:r>
          </w:p>
        </w:tc>
        <w:tc>
          <w:tcPr>
            <w:tcW w:type="dxa" w:w="5083"/>
            <w:tcMar>
              <w:top w:w="100" w:type="dxa"/>
              <w:start w:w="120" w:type="dxa"/>
              <w:bottom w:w="100" w:type="dxa"/>
              <w:end w:w="120" w:type="dxa"/>
            </w:tcMar>
            <w:vAlign w:val="center"/>
          </w:tcPr>
          <w:p>
            <w:r>
              <w:t>Less operational friction, stronger business visibility, faster revenue collection and a more professional digital identity.</w:t>
            </w:r>
          </w:p>
        </w:tc>
      </w:tr>
      <w:tr>
        <w:tc>
          <w:tcPr>
            <w:tcW w:type="dxa" w:w="5083"/>
            <w:shd w:fill="F4F9FC"/>
            <w:tcMar>
              <w:top w:w="100" w:type="dxa"/>
              <w:start w:w="120" w:type="dxa"/>
              <w:bottom w:w="100" w:type="dxa"/>
              <w:end w:w="120" w:type="dxa"/>
            </w:tcMar>
            <w:vAlign w:val="center"/>
          </w:tcPr>
          <w:p>
            <w:r>
              <w:t>Category</w:t>
            </w:r>
          </w:p>
        </w:tc>
        <w:tc>
          <w:tcPr>
            <w:tcW w:type="dxa" w:w="5083"/>
            <w:tcMar>
              <w:top w:w="100" w:type="dxa"/>
              <w:start w:w="120" w:type="dxa"/>
              <w:bottom w:w="100" w:type="dxa"/>
              <w:end w:w="120" w:type="dxa"/>
            </w:tcMar>
            <w:vAlign w:val="center"/>
          </w:tcPr>
          <w:p>
            <w:r>
              <w:t>Intelligent business operating system / all-in-one business toolkit.</w:t>
            </w:r>
          </w:p>
        </w:tc>
      </w:tr>
    </w:tbl>
    <w:p>
      <w:pPr>
        <w:pStyle w:val="Heading2"/>
      </w:pPr>
      <w:r>
        <w:t>Brand story</w:t>
      </w:r>
    </w:p>
    <w:p>
      <w:r>
        <w:t>Nobevra represents the evolution of business operations from fragmented tools into one connected, intelligent ecosystem. The name is a coined, expandable technology mark designed to preserve a connection to the Noble parent brand while moving the product beyond the narrow invoice category. The brand story may be expressed as Noble + evolution + business intelligence; this is a positioning narrative, not a claimed dictionary etymology.</w:t>
      </w:r>
    </w:p>
    <w:p>
      <w:pPr>
        <w:pStyle w:val="Heading2"/>
      </w:pPr>
      <w:r>
        <w:t>The three-part value model</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RUN</w:t>
            </w:r>
          </w:p>
        </w:tc>
        <w:tc>
          <w:tcPr>
            <w:tcW w:type="dxa" w:w="5083"/>
            <w:tcMar>
              <w:top w:w="100" w:type="dxa"/>
              <w:start w:w="120" w:type="dxa"/>
              <w:bottom w:w="100" w:type="dxa"/>
              <w:end w:w="120" w:type="dxa"/>
            </w:tcMar>
            <w:vAlign w:val="center"/>
          </w:tcPr>
          <w:p>
            <w:r>
              <w:t>Operate the everyday business: invoices, expenses, products, inventory, payments, productivity and workflows.</w:t>
            </w:r>
          </w:p>
        </w:tc>
      </w:tr>
      <w:tr>
        <w:tc>
          <w:tcPr>
            <w:tcW w:type="dxa" w:w="5083"/>
            <w:shd w:fill="F4F9FC"/>
            <w:tcMar>
              <w:top w:w="100" w:type="dxa"/>
              <w:start w:w="120" w:type="dxa"/>
              <w:bottom w:w="100" w:type="dxa"/>
              <w:end w:w="120" w:type="dxa"/>
            </w:tcMar>
            <w:vAlign w:val="center"/>
          </w:tcPr>
          <w:p>
            <w:r>
              <w:t>CONNECT</w:t>
            </w:r>
          </w:p>
        </w:tc>
        <w:tc>
          <w:tcPr>
            <w:tcW w:type="dxa" w:w="5083"/>
            <w:tcMar>
              <w:top w:w="100" w:type="dxa"/>
              <w:start w:w="120" w:type="dxa"/>
              <w:bottom w:w="100" w:type="dxa"/>
              <w:end w:w="120" w:type="dxa"/>
            </w:tcMar>
            <w:vAlign w:val="center"/>
          </w:tcPr>
          <w:p>
            <w:r>
              <w:t>Build relationships and collaboration: CRM, client communication, portals, teams, business identity, QR and NFC.</w:t>
            </w:r>
          </w:p>
        </w:tc>
      </w:tr>
      <w:tr>
        <w:tc>
          <w:tcPr>
            <w:tcW w:type="dxa" w:w="5083"/>
            <w:shd w:fill="F4F9FC"/>
            <w:tcMar>
              <w:top w:w="100" w:type="dxa"/>
              <w:start w:w="120" w:type="dxa"/>
              <w:bottom w:w="100" w:type="dxa"/>
              <w:end w:w="120" w:type="dxa"/>
            </w:tcMar>
            <w:vAlign w:val="center"/>
          </w:tcPr>
          <w:p>
            <w:r>
              <w:t>GROW</w:t>
            </w:r>
          </w:p>
        </w:tc>
        <w:tc>
          <w:tcPr>
            <w:tcW w:type="dxa" w:w="5083"/>
            <w:tcMar>
              <w:top w:w="100" w:type="dxa"/>
              <w:start w:w="120" w:type="dxa"/>
              <w:bottom w:w="100" w:type="dxa"/>
              <w:end w:w="120" w:type="dxa"/>
            </w:tcMar>
            <w:vAlign w:val="center"/>
          </w:tcPr>
          <w:p>
            <w:r>
              <w:t>Improve outcomes: analytics, financial intelligence, AI assistance, SEO capabilities, engagement and scalable plans.</w:t>
            </w:r>
          </w:p>
        </w:tc>
      </w:tr>
    </w:tbl>
    <w:p>
      <w:pPr>
        <w:pStyle w:val="Heading1"/>
        <w:keepNext/>
      </w:pPr>
      <w:r>
        <w:rPr>
          <w:color w:val="013948"/>
        </w:rPr>
        <w:t>03. Audience &amp; Market Role</w:t>
      </w:r>
    </w:p>
    <w:p>
      <w:pPr>
        <w:pStyle w:val="Heading2"/>
      </w:pPr>
      <w:r>
        <w:t>Primary audiences</w:t>
      </w:r>
    </w:p>
    <w:p>
      <w:pPr>
        <w:pStyle w:val="ListBullet"/>
      </w:pPr>
      <w:r>
        <w:t>Freelancers and independent professionals who need invoicing, customer management and professional identity tools.</w:t>
      </w:r>
    </w:p>
    <w:p>
      <w:pPr>
        <w:pStyle w:val="ListBullet"/>
      </w:pPr>
      <w:r>
        <w:t>Small and growing businesses moving beyond spreadsheets and disconnected applications.</w:t>
      </w:r>
    </w:p>
    <w:p>
      <w:pPr>
        <w:pStyle w:val="ListBullet"/>
      </w:pPr>
      <w:r>
        <w:t>Agencies, consultants and service businesses managing clients, expenses, invoices and teams.</w:t>
      </w:r>
    </w:p>
    <w:p>
      <w:pPr>
        <w:pStyle w:val="ListBullet"/>
      </w:pPr>
      <w:r>
        <w:t>Businesses operating across currencies or countries and needing payments, reporting and operational visibility.</w:t>
      </w:r>
    </w:p>
    <w:p>
      <w:pPr>
        <w:pStyle w:val="ListBullet"/>
      </w:pPr>
      <w:r>
        <w:t>Future enterprise customers requiring teams, roles, organization identity, integrations and controlled access.</w:t>
      </w:r>
    </w:p>
    <w:p>
      <w:pPr>
        <w:pStyle w:val="Heading2"/>
      </w:pPr>
      <w:r>
        <w:t>Strategic category narrative</w:t>
      </w:r>
    </w:p>
    <w:p>
      <w:r>
        <w:t>Do not position Nobevra as only an invoicing application. Invoicing is a core entry point; the strategic category is the broader intelligent business operating system. Product pages should lead with the business outcome and then explain the relevant capabilities.</w:t>
      </w:r>
    </w:p>
    <w:tbl>
      <w:tblPr>
        <w:tblW w:type="auto" w:w="0"/>
        <w:jc w:val="center"/>
        <w:tblLayout w:type="autofit"/>
        <w:tblLook w:firstColumn="1" w:firstRow="1" w:lastColumn="0" w:lastRow="0" w:noHBand="0" w:noVBand="1" w:val="04A0"/>
      </w:tblPr>
      <w:tblGrid>
        <w:gridCol w:w="10166"/>
      </w:tblGrid>
      <w:tr>
        <w:tc>
          <w:tcPr>
            <w:tcW w:type="dxa" w:w="10166"/>
            <w:shd w:fill="EAF7FC"/>
            <w:tcMar>
              <w:top w:w="180" w:type="dxa"/>
              <w:start w:w="220" w:type="dxa"/>
              <w:bottom w:w="180" w:type="dxa"/>
              <w:end w:w="220" w:type="dxa"/>
            </w:tcMar>
          </w:tcPr>
          <w:p>
            <w:r>
              <w:rPr>
                <w:b/>
                <w:color w:val="01A0E2"/>
                <w:sz w:val="18"/>
              </w:rPr>
              <w:t>MESSAGE HIERARCHY</w:t>
            </w:r>
          </w:p>
          <w:p>
            <w:pPr>
              <w:spacing w:after="0"/>
            </w:pPr>
            <w:r>
              <w:t>Outcome first → platform value second → capability proof third → technical detail last.</w:t>
            </w:r>
          </w:p>
        </w:tc>
      </w:tr>
    </w:tbl>
    <w:p>
      <w:pPr>
        <w:pStyle w:val="Heading1"/>
        <w:keepNext/>
      </w:pPr>
      <w:r>
        <w:rPr>
          <w:color w:val="013948"/>
        </w:rPr>
        <w:t>04. Product &amp; Brand Architecture</w:t>
      </w:r>
    </w:p>
    <w:p>
      <w:pPr>
        <w:pStyle w:val="Subtitle"/>
        <w:spacing w:after="200"/>
      </w:pPr>
      <w:r>
        <w:t>One master brand, descriptive capability names, no unnecessary sub-brand sprawl.</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Master brand</w:t>
            </w:r>
          </w:p>
        </w:tc>
        <w:tc>
          <w:tcPr>
            <w:tcW w:type="dxa" w:w="5083"/>
            <w:tcMar>
              <w:top w:w="100" w:type="dxa"/>
              <w:start w:w="120" w:type="dxa"/>
              <w:bottom w:w="100" w:type="dxa"/>
              <w:end w:w="120" w:type="dxa"/>
            </w:tcMar>
            <w:vAlign w:val="center"/>
          </w:tcPr>
          <w:p>
            <w:r>
              <w:t>Nobevra — platform, website, mobile applications and ecosystem.</w:t>
            </w:r>
          </w:p>
        </w:tc>
      </w:tr>
      <w:tr>
        <w:tc>
          <w:tcPr>
            <w:tcW w:type="dxa" w:w="5083"/>
            <w:shd w:fill="F4F9FC"/>
            <w:tcMar>
              <w:top w:w="100" w:type="dxa"/>
              <w:start w:w="120" w:type="dxa"/>
              <w:bottom w:w="100" w:type="dxa"/>
              <w:end w:w="120" w:type="dxa"/>
            </w:tcMar>
            <w:vAlign w:val="center"/>
          </w:tcPr>
          <w:p>
            <w:r>
              <w:t>Core capability</w:t>
            </w:r>
          </w:p>
        </w:tc>
        <w:tc>
          <w:tcPr>
            <w:tcW w:type="dxa" w:w="5083"/>
            <w:tcMar>
              <w:top w:w="100" w:type="dxa"/>
              <w:start w:w="120" w:type="dxa"/>
              <w:bottom w:w="100" w:type="dxa"/>
              <w:end w:w="120" w:type="dxa"/>
            </w:tcMar>
            <w:vAlign w:val="center"/>
          </w:tcPr>
          <w:p>
            <w:r>
              <w:t>Nobevra Invoicing</w:t>
            </w:r>
          </w:p>
        </w:tc>
      </w:tr>
      <w:tr>
        <w:tc>
          <w:tcPr>
            <w:tcW w:type="dxa" w:w="5083"/>
            <w:shd w:fill="F4F9FC"/>
            <w:tcMar>
              <w:top w:w="100" w:type="dxa"/>
              <w:start w:w="120" w:type="dxa"/>
              <w:bottom w:w="100" w:type="dxa"/>
              <w:end w:w="120" w:type="dxa"/>
            </w:tcMar>
            <w:vAlign w:val="center"/>
          </w:tcPr>
          <w:p>
            <w:r>
              <w:t>Customer relationships</w:t>
            </w:r>
          </w:p>
        </w:tc>
        <w:tc>
          <w:tcPr>
            <w:tcW w:type="dxa" w:w="5083"/>
            <w:tcMar>
              <w:top w:w="100" w:type="dxa"/>
              <w:start w:w="120" w:type="dxa"/>
              <w:bottom w:w="100" w:type="dxa"/>
              <w:end w:w="120" w:type="dxa"/>
            </w:tcMar>
            <w:vAlign w:val="center"/>
          </w:tcPr>
          <w:p>
            <w:r>
              <w:t>Nobevra CRM</w:t>
            </w:r>
          </w:p>
        </w:tc>
      </w:tr>
      <w:tr>
        <w:tc>
          <w:tcPr>
            <w:tcW w:type="dxa" w:w="5083"/>
            <w:shd w:fill="F4F9FC"/>
            <w:tcMar>
              <w:top w:w="100" w:type="dxa"/>
              <w:start w:w="120" w:type="dxa"/>
              <w:bottom w:w="100" w:type="dxa"/>
              <w:end w:w="120" w:type="dxa"/>
            </w:tcMar>
            <w:vAlign w:val="center"/>
          </w:tcPr>
          <w:p>
            <w:r>
              <w:t>Money &amp; payments</w:t>
            </w:r>
          </w:p>
        </w:tc>
        <w:tc>
          <w:tcPr>
            <w:tcW w:type="dxa" w:w="5083"/>
            <w:tcMar>
              <w:top w:w="100" w:type="dxa"/>
              <w:start w:w="120" w:type="dxa"/>
              <w:bottom w:w="100" w:type="dxa"/>
              <w:end w:w="120" w:type="dxa"/>
            </w:tcMar>
            <w:vAlign w:val="center"/>
          </w:tcPr>
          <w:p>
            <w:r>
              <w:t>Nobevra Wallet / Payments</w:t>
            </w:r>
          </w:p>
        </w:tc>
      </w:tr>
      <w:tr>
        <w:tc>
          <w:tcPr>
            <w:tcW w:type="dxa" w:w="5083"/>
            <w:shd w:fill="F4F9FC"/>
            <w:tcMar>
              <w:top w:w="100" w:type="dxa"/>
              <w:start w:w="120" w:type="dxa"/>
              <w:bottom w:w="100" w:type="dxa"/>
              <w:end w:w="120" w:type="dxa"/>
            </w:tcMar>
            <w:vAlign w:val="center"/>
          </w:tcPr>
          <w:p>
            <w:r>
              <w:t>Intelligence</w:t>
            </w:r>
          </w:p>
        </w:tc>
        <w:tc>
          <w:tcPr>
            <w:tcW w:type="dxa" w:w="5083"/>
            <w:tcMar>
              <w:top w:w="100" w:type="dxa"/>
              <w:start w:w="120" w:type="dxa"/>
              <w:bottom w:w="100" w:type="dxa"/>
              <w:end w:w="120" w:type="dxa"/>
            </w:tcMar>
            <w:vAlign w:val="center"/>
          </w:tcPr>
          <w:p>
            <w:r>
              <w:t>Nobevra AI</w:t>
            </w:r>
          </w:p>
        </w:tc>
      </w:tr>
      <w:tr>
        <w:tc>
          <w:tcPr>
            <w:tcW w:type="dxa" w:w="5083"/>
            <w:shd w:fill="F4F9FC"/>
            <w:tcMar>
              <w:top w:w="100" w:type="dxa"/>
              <w:start w:w="120" w:type="dxa"/>
              <w:bottom w:w="100" w:type="dxa"/>
              <w:end w:w="120" w:type="dxa"/>
            </w:tcMar>
            <w:vAlign w:val="center"/>
          </w:tcPr>
          <w:p>
            <w:r>
              <w:t>Teams</w:t>
            </w:r>
          </w:p>
        </w:tc>
        <w:tc>
          <w:tcPr>
            <w:tcW w:type="dxa" w:w="5083"/>
            <w:tcMar>
              <w:top w:w="100" w:type="dxa"/>
              <w:start w:w="120" w:type="dxa"/>
              <w:bottom w:w="100" w:type="dxa"/>
              <w:end w:w="120" w:type="dxa"/>
            </w:tcMar>
            <w:vAlign w:val="center"/>
          </w:tcPr>
          <w:p>
            <w:r>
              <w:t>Nobevra Teams / Nobevra Enterprise</w:t>
            </w:r>
          </w:p>
        </w:tc>
      </w:tr>
      <w:tr>
        <w:tc>
          <w:tcPr>
            <w:tcW w:type="dxa" w:w="5083"/>
            <w:shd w:fill="F4F9FC"/>
            <w:tcMar>
              <w:top w:w="100" w:type="dxa"/>
              <w:start w:w="120" w:type="dxa"/>
              <w:bottom w:w="100" w:type="dxa"/>
              <w:end w:w="120" w:type="dxa"/>
            </w:tcMar>
            <w:vAlign w:val="center"/>
          </w:tcPr>
          <w:p>
            <w:r>
              <w:t>Identity &amp; networking</w:t>
            </w:r>
          </w:p>
        </w:tc>
        <w:tc>
          <w:tcPr>
            <w:tcW w:type="dxa" w:w="5083"/>
            <w:tcMar>
              <w:top w:w="100" w:type="dxa"/>
              <w:start w:w="120" w:type="dxa"/>
              <w:bottom w:w="100" w:type="dxa"/>
              <w:end w:w="120" w:type="dxa"/>
            </w:tcMar>
            <w:vAlign w:val="center"/>
          </w:tcPr>
          <w:p>
            <w:r>
              <w:t>Nobevra Business Identity / QR / NFC capabilities</w:t>
            </w:r>
          </w:p>
        </w:tc>
      </w:tr>
      <w:tr>
        <w:tc>
          <w:tcPr>
            <w:tcW w:type="dxa" w:w="5083"/>
            <w:shd w:fill="F4F9FC"/>
            <w:tcMar>
              <w:top w:w="100" w:type="dxa"/>
              <w:start w:w="120" w:type="dxa"/>
              <w:bottom w:w="100" w:type="dxa"/>
              <w:end w:w="120" w:type="dxa"/>
            </w:tcMar>
            <w:vAlign w:val="center"/>
          </w:tcPr>
          <w:p>
            <w:r>
              <w:t>Developer ecosystem</w:t>
            </w:r>
          </w:p>
        </w:tc>
        <w:tc>
          <w:tcPr>
            <w:tcW w:type="dxa" w:w="5083"/>
            <w:tcMar>
              <w:top w:w="100" w:type="dxa"/>
              <w:start w:w="120" w:type="dxa"/>
              <w:bottom w:w="100" w:type="dxa"/>
              <w:end w:w="120" w:type="dxa"/>
            </w:tcMar>
            <w:vAlign w:val="center"/>
          </w:tcPr>
          <w:p>
            <w:r>
              <w:t>Nobevra API / Nobevra SDK</w:t>
            </w:r>
          </w:p>
        </w:tc>
      </w:tr>
    </w:tbl>
    <w:p>
      <w:r>
        <w:t>Naming rule: extensions explain a capability; they do not compete with Nobevra. New customer-facing feature names should pass brand governance before becoming standalone marks.</w:t>
      </w:r>
    </w:p>
    <w:p>
      <w:pPr>
        <w:pStyle w:val="Heading2"/>
      </w:pPr>
      <w:r>
        <w:t>Capability map</w:t>
      </w:r>
    </w:p>
    <w:tbl>
      <w:tblPr>
        <w:tblW w:type="auto" w:w="0"/>
        <w:jc w:val="center"/>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Capability</w:t>
            </w:r>
          </w:p>
        </w:tc>
        <w:tc>
          <w:tcPr>
            <w:tcW w:type="dxa" w:w="5083"/>
            <w:shd w:fill="013948"/>
          </w:tcPr>
          <w:p>
            <w:r>
              <w:rPr>
                <w:b/>
                <w:color w:val="FFFFFF"/>
              </w:rPr>
              <w:t>Brand role / customer value</w:t>
            </w:r>
          </w:p>
        </w:tc>
      </w:tr>
      <w:tr>
        <w:tc>
          <w:tcPr>
            <w:tcW w:type="dxa" w:w="5083"/>
            <w:shd w:fill="F4F9FC"/>
            <w:tcMar>
              <w:top w:w="100" w:type="dxa"/>
              <w:start w:w="120" w:type="dxa"/>
              <w:bottom w:w="100" w:type="dxa"/>
              <w:end w:w="120" w:type="dxa"/>
            </w:tcMar>
          </w:tcPr>
          <w:p>
            <w:r>
              <w:t>Invoicing</w:t>
            </w:r>
          </w:p>
        </w:tc>
        <w:tc>
          <w:tcPr>
            <w:tcW w:type="dxa" w:w="5083"/>
            <w:tcMar>
              <w:top w:w="100" w:type="dxa"/>
              <w:start w:w="120" w:type="dxa"/>
              <w:bottom w:w="100" w:type="dxa"/>
              <w:end w:w="120" w:type="dxa"/>
            </w:tcMar>
          </w:tcPr>
          <w:p>
            <w:r>
              <w:t>Professional templates, multiple invoice types, tax, discounts, recurring billing and payment collection.</w:t>
            </w:r>
          </w:p>
        </w:tc>
      </w:tr>
      <w:tr>
        <w:tc>
          <w:tcPr>
            <w:tcW w:type="dxa" w:w="5083"/>
            <w:shd w:fill="F4F9FC"/>
            <w:tcMar>
              <w:top w:w="100" w:type="dxa"/>
              <w:start w:w="120" w:type="dxa"/>
              <w:bottom w:w="100" w:type="dxa"/>
              <w:end w:w="120" w:type="dxa"/>
            </w:tcMar>
          </w:tcPr>
          <w:p>
            <w:r>
              <w:t>CRM</w:t>
            </w:r>
          </w:p>
        </w:tc>
        <w:tc>
          <w:tcPr>
            <w:tcW w:type="dxa" w:w="5083"/>
            <w:tcMar>
              <w:top w:w="100" w:type="dxa"/>
              <w:start w:w="120" w:type="dxa"/>
              <w:bottom w:w="100" w:type="dxa"/>
              <w:end w:w="120" w:type="dxa"/>
            </w:tcMar>
          </w:tcPr>
          <w:p>
            <w:r>
              <w:t>Clients, notes, communication logs, client ledger and dynamic client portals.</w:t>
            </w:r>
          </w:p>
        </w:tc>
      </w:tr>
      <w:tr>
        <w:tc>
          <w:tcPr>
            <w:tcW w:type="dxa" w:w="5083"/>
            <w:shd w:fill="F4F9FC"/>
            <w:tcMar>
              <w:top w:w="100" w:type="dxa"/>
              <w:start w:w="120" w:type="dxa"/>
              <w:bottom w:w="100" w:type="dxa"/>
              <w:end w:w="120" w:type="dxa"/>
            </w:tcMar>
          </w:tcPr>
          <w:p>
            <w:r>
              <w:t>Expenses</w:t>
            </w:r>
          </w:p>
        </w:tc>
        <w:tc>
          <w:tcPr>
            <w:tcW w:type="dxa" w:w="5083"/>
            <w:tcMar>
              <w:top w:w="100" w:type="dxa"/>
              <w:start w:w="120" w:type="dxa"/>
              <w:bottom w:w="100" w:type="dxa"/>
              <w:end w:w="120" w:type="dxa"/>
            </w:tcMar>
          </w:tcPr>
          <w:p>
            <w:r>
              <w:t>Expense categories, receipt attachments/scanning and vendor management.</w:t>
            </w:r>
          </w:p>
        </w:tc>
      </w:tr>
      <w:tr>
        <w:tc>
          <w:tcPr>
            <w:tcW w:type="dxa" w:w="5083"/>
            <w:shd w:fill="F4F9FC"/>
            <w:tcMar>
              <w:top w:w="100" w:type="dxa"/>
              <w:start w:w="120" w:type="dxa"/>
              <w:bottom w:w="100" w:type="dxa"/>
              <w:end w:w="120" w:type="dxa"/>
            </w:tcMar>
          </w:tcPr>
          <w:p>
            <w:r>
              <w:t>Products &amp; Services</w:t>
            </w:r>
          </w:p>
        </w:tc>
        <w:tc>
          <w:tcPr>
            <w:tcW w:type="dxa" w:w="5083"/>
            <w:tcMar>
              <w:top w:w="100" w:type="dxa"/>
              <w:start w:w="120" w:type="dxa"/>
              <w:bottom w:w="100" w:type="dxa"/>
              <w:end w:w="120" w:type="dxa"/>
            </w:tcMar>
          </w:tcPr>
          <w:p>
            <w:r>
              <w:t>Catalogues, categories, stock ledger and Product Passports.</w:t>
            </w:r>
          </w:p>
        </w:tc>
      </w:tr>
      <w:tr>
        <w:tc>
          <w:tcPr>
            <w:tcW w:type="dxa" w:w="5083"/>
            <w:shd w:fill="F4F9FC"/>
            <w:tcMar>
              <w:top w:w="100" w:type="dxa"/>
              <w:start w:w="120" w:type="dxa"/>
              <w:bottom w:w="100" w:type="dxa"/>
              <w:end w:w="120" w:type="dxa"/>
            </w:tcMar>
          </w:tcPr>
          <w:p>
            <w:r>
              <w:t>Wallet &amp; Payments</w:t>
            </w:r>
          </w:p>
        </w:tc>
        <w:tc>
          <w:tcPr>
            <w:tcW w:type="dxa" w:w="5083"/>
            <w:tcMar>
              <w:top w:w="100" w:type="dxa"/>
              <w:start w:w="120" w:type="dxa"/>
              <w:bottom w:w="100" w:type="dxa"/>
              <w:end w:w="120" w:type="dxa"/>
            </w:tcMar>
          </w:tcPr>
          <w:p>
            <w:r>
              <w:t>Payment methods, wallet operations, secure gateway integration and multi-currency support.</w:t>
            </w:r>
          </w:p>
        </w:tc>
      </w:tr>
      <w:tr>
        <w:tc>
          <w:tcPr>
            <w:tcW w:type="dxa" w:w="5083"/>
            <w:shd w:fill="F4F9FC"/>
            <w:tcMar>
              <w:top w:w="100" w:type="dxa"/>
              <w:start w:w="120" w:type="dxa"/>
              <w:bottom w:w="100" w:type="dxa"/>
              <w:end w:w="120" w:type="dxa"/>
            </w:tcMar>
          </w:tcPr>
          <w:p>
            <w:r>
              <w:t>Growth &amp; Intelligence</w:t>
            </w:r>
          </w:p>
        </w:tc>
        <w:tc>
          <w:tcPr>
            <w:tcW w:type="dxa" w:w="5083"/>
            <w:tcMar>
              <w:top w:w="100" w:type="dxa"/>
              <w:start w:w="120" w:type="dxa"/>
              <w:bottom w:w="100" w:type="dxa"/>
              <w:end w:w="120" w:type="dxa"/>
            </w:tcMar>
          </w:tcPr>
          <w:p>
            <w:r>
              <w:t>Business analytics, billing history and SEO tools for public business presence.</w:t>
            </w:r>
          </w:p>
        </w:tc>
      </w:tr>
      <w:tr>
        <w:tc>
          <w:tcPr>
            <w:tcW w:type="dxa" w:w="5083"/>
            <w:shd w:fill="F4F9FC"/>
            <w:tcMar>
              <w:top w:w="100" w:type="dxa"/>
              <w:start w:w="120" w:type="dxa"/>
              <w:bottom w:w="100" w:type="dxa"/>
              <w:end w:w="120" w:type="dxa"/>
            </w:tcMar>
          </w:tcPr>
          <w:p>
            <w:r>
              <w:t>QR Engine</w:t>
            </w:r>
          </w:p>
        </w:tc>
        <w:tc>
          <w:tcPr>
            <w:tcW w:type="dxa" w:w="5083"/>
            <w:tcMar>
              <w:top w:w="100" w:type="dxa"/>
              <w:start w:w="120" w:type="dxa"/>
              <w:bottom w:w="100" w:type="dxa"/>
              <w:end w:w="120" w:type="dxa"/>
            </w:tcMar>
          </w:tcPr>
          <w:p>
            <w:r>
              <w:t>21 business QR-code types, invoice/payment retrieval and scan analytics.</w:t>
            </w:r>
          </w:p>
        </w:tc>
      </w:tr>
      <w:tr>
        <w:tc>
          <w:tcPr>
            <w:tcW w:type="dxa" w:w="5083"/>
            <w:shd w:fill="F4F9FC"/>
            <w:tcMar>
              <w:top w:w="100" w:type="dxa"/>
              <w:start w:w="120" w:type="dxa"/>
              <w:bottom w:w="100" w:type="dxa"/>
              <w:end w:w="120" w:type="dxa"/>
            </w:tcMar>
          </w:tcPr>
          <w:p>
            <w:r>
              <w:t>Business Identity</w:t>
            </w:r>
          </w:p>
        </w:tc>
        <w:tc>
          <w:tcPr>
            <w:tcW w:type="dxa" w:w="5083"/>
            <w:tcMar>
              <w:top w:w="100" w:type="dxa"/>
              <w:start w:w="120" w:type="dxa"/>
              <w:bottom w:w="100" w:type="dxa"/>
              <w:end w:w="120" w:type="dxa"/>
            </w:tcMar>
          </w:tcPr>
          <w:p>
            <w:r>
              <w:t>Business profile, public business cards and synchronized brand identity.</w:t>
            </w:r>
          </w:p>
        </w:tc>
      </w:tr>
      <w:tr>
        <w:tc>
          <w:tcPr>
            <w:tcW w:type="dxa" w:w="5083"/>
            <w:shd w:fill="F4F9FC"/>
            <w:tcMar>
              <w:top w:w="100" w:type="dxa"/>
              <w:start w:w="120" w:type="dxa"/>
              <w:bottom w:w="100" w:type="dxa"/>
              <w:end w:w="120" w:type="dxa"/>
            </w:tcMar>
          </w:tcPr>
          <w:p>
            <w:r>
              <w:t>Smart Connect</w:t>
            </w:r>
          </w:p>
        </w:tc>
        <w:tc>
          <w:tcPr>
            <w:tcW w:type="dxa" w:w="5083"/>
            <w:tcMar>
              <w:top w:w="100" w:type="dxa"/>
              <w:start w:w="120" w:type="dxa"/>
              <w:bottom w:w="100" w:type="dxa"/>
              <w:end w:w="120" w:type="dxa"/>
            </w:tcMar>
          </w:tcPr>
          <w:p>
            <w:r>
              <w:t>Client communications, live chat and NFC profile writing.</w:t>
            </w:r>
          </w:p>
        </w:tc>
      </w:tr>
      <w:tr>
        <w:tc>
          <w:tcPr>
            <w:tcW w:type="dxa" w:w="5083"/>
            <w:shd w:fill="F4F9FC"/>
            <w:tcMar>
              <w:top w:w="100" w:type="dxa"/>
              <w:start w:w="120" w:type="dxa"/>
              <w:bottom w:w="100" w:type="dxa"/>
              <w:end w:w="120" w:type="dxa"/>
            </w:tcMar>
          </w:tcPr>
          <w:p>
            <w:r>
              <w:t>Teams</w:t>
            </w:r>
          </w:p>
        </w:tc>
        <w:tc>
          <w:tcPr>
            <w:tcW w:type="dxa" w:w="5083"/>
            <w:tcMar>
              <w:top w:w="100" w:type="dxa"/>
              <w:start w:w="120" w:type="dxa"/>
              <w:bottom w:w="100" w:type="dxa"/>
              <w:end w:w="120" w:type="dxa"/>
            </w:tcMar>
          </w:tcPr>
          <w:p>
            <w:r>
              <w:t>Workspace collaboration, roles and team members.</w:t>
            </w:r>
          </w:p>
        </w:tc>
      </w:tr>
      <w:tr>
        <w:tc>
          <w:tcPr>
            <w:tcW w:type="dxa" w:w="5083"/>
            <w:shd w:fill="F4F9FC"/>
            <w:tcMar>
              <w:top w:w="100" w:type="dxa"/>
              <w:start w:w="120" w:type="dxa"/>
              <w:bottom w:w="100" w:type="dxa"/>
              <w:end w:w="120" w:type="dxa"/>
            </w:tcMar>
          </w:tcPr>
          <w:p>
            <w:r>
              <w:t>AI</w:t>
            </w:r>
          </w:p>
        </w:tc>
        <w:tc>
          <w:tcPr>
            <w:tcW w:type="dxa" w:w="5083"/>
            <w:tcMar>
              <w:top w:w="100" w:type="dxa"/>
              <w:start w:w="120" w:type="dxa"/>
              <w:bottom w:w="100" w:type="dxa"/>
              <w:end w:w="120" w:type="dxa"/>
            </w:tcMar>
          </w:tcPr>
          <w:p>
            <w:r>
              <w:t>Generative invoice text, receipt-image analysis and conversational commands with usage monitoring.</w:t>
            </w:r>
          </w:p>
        </w:tc>
      </w:tr>
      <w:tr>
        <w:tc>
          <w:tcPr>
            <w:tcW w:type="dxa" w:w="5083"/>
            <w:shd w:fill="F4F9FC"/>
            <w:tcMar>
              <w:top w:w="100" w:type="dxa"/>
              <w:start w:w="120" w:type="dxa"/>
              <w:bottom w:w="100" w:type="dxa"/>
              <w:end w:w="120" w:type="dxa"/>
            </w:tcMar>
          </w:tcPr>
          <w:p>
            <w:r>
              <w:t>Notifications</w:t>
            </w:r>
          </w:p>
        </w:tc>
        <w:tc>
          <w:tcPr>
            <w:tcW w:type="dxa" w:w="5083"/>
            <w:tcMar>
              <w:top w:w="100" w:type="dxa"/>
              <w:start w:w="120" w:type="dxa"/>
              <w:bottom w:w="100" w:type="dxa"/>
              <w:end w:w="120" w:type="dxa"/>
            </w:tcMar>
          </w:tcPr>
          <w:p>
            <w:r>
              <w:t>Cross-platform alerts for invoice views, payments and administrative events.</w:t>
            </w:r>
          </w:p>
        </w:tc>
      </w:tr>
      <w:tr>
        <w:tc>
          <w:tcPr>
            <w:tcW w:type="dxa" w:w="5083"/>
            <w:shd w:fill="F4F9FC"/>
            <w:tcMar>
              <w:top w:w="100" w:type="dxa"/>
              <w:start w:w="120" w:type="dxa"/>
              <w:bottom w:w="100" w:type="dxa"/>
              <w:end w:w="120" w:type="dxa"/>
            </w:tcMar>
          </w:tcPr>
          <w:p>
            <w:r>
              <w:t>Subscriptions</w:t>
            </w:r>
          </w:p>
        </w:tc>
        <w:tc>
          <w:tcPr>
            <w:tcW w:type="dxa" w:w="5083"/>
            <w:tcMar>
              <w:top w:w="100" w:type="dxa"/>
              <w:start w:w="120" w:type="dxa"/>
              <w:bottom w:w="100" w:type="dxa"/>
              <w:end w:w="120" w:type="dxa"/>
            </w:tcMar>
          </w:tcPr>
          <w:p>
            <w:r>
              <w:t>Free, Pulse and Elite tiers plus granular Pay-As-You-Go entitlements.</w:t>
            </w:r>
          </w:p>
        </w:tc>
      </w:tr>
      <w:tr>
        <w:tc>
          <w:tcPr>
            <w:tcW w:type="dxa" w:w="5083"/>
            <w:shd w:fill="F4F9FC"/>
            <w:tcMar>
              <w:top w:w="100" w:type="dxa"/>
              <w:start w:w="120" w:type="dxa"/>
              <w:bottom w:w="100" w:type="dxa"/>
              <w:end w:w="120" w:type="dxa"/>
            </w:tcMar>
          </w:tcPr>
          <w:p>
            <w:r>
              <w:t>Platform resilience</w:t>
            </w:r>
          </w:p>
        </w:tc>
        <w:tc>
          <w:tcPr>
            <w:tcW w:type="dxa" w:w="5083"/>
            <w:tcMar>
              <w:top w:w="100" w:type="dxa"/>
              <w:start w:w="120" w:type="dxa"/>
              <w:bottom w:w="100" w:type="dxa"/>
              <w:end w:w="120" w:type="dxa"/>
            </w:tcMar>
          </w:tcPr>
          <w:p>
            <w:r>
              <w:t>Offline-first caching/sync, gamification and automated image processing.</w:t>
            </w:r>
          </w:p>
        </w:tc>
      </w:tr>
    </w:tbl>
    <w:p>
      <w:pPr>
        <w:pStyle w:val="Heading1"/>
        <w:keepNext/>
      </w:pPr>
      <w:r>
        <w:rPr>
          <w:color w:val="013948"/>
        </w:rPr>
        <w:t>05. Official Visual Identity System</w:t>
      </w:r>
    </w:p>
    <w:p>
      <w:pPr>
        <w:pStyle w:val="Subtitle"/>
        <w:spacing w:after="200"/>
      </w:pPr>
      <w:r>
        <w:t>The supplied artwork is the approved v2.0 reference for the identity applications shown below.</w:t>
      </w:r>
    </w:p>
    <w:p>
      <w:r>
        <w:t>The following identity applications are included exactly as represented in the supplied official brand board. Until editable vector masters are formally issued, the supplied artwork should be treated as the visual reference and should not be redrawn or geometrically altered.</w:t>
      </w:r>
    </w:p>
    <w:p>
      <w:pPr>
        <w:jc w:val="center"/>
      </w:pPr>
      <w:r>
        <w:drawing>
          <wp:inline xmlns:a="http://schemas.openxmlformats.org/drawingml/2006/main" xmlns:pic="http://schemas.openxmlformats.org/drawingml/2006/picture">
            <wp:extent cx="6309360" cy="4206240"/>
            <wp:docPr id="2" name="Picture 2"/>
            <wp:cNvGraphicFramePr>
              <a:graphicFrameLocks noChangeAspect="1"/>
            </wp:cNvGraphicFramePr>
            <a:graphic>
              <a:graphicData uri="http://schemas.openxmlformats.org/drawingml/2006/picture">
                <pic:pic>
                  <pic:nvPicPr>
                    <pic:cNvPr id="0" name="Nobevra2.png"/>
                    <pic:cNvPicPr/>
                  </pic:nvPicPr>
                  <pic:blipFill>
                    <a:blip r:embed="rId12"/>
                    <a:stretch>
                      <a:fillRect/>
                    </a:stretch>
                  </pic:blipFill>
                  <pic:spPr>
                    <a:xfrm>
                      <a:off x="0" y="0"/>
                      <a:ext cx="6309360" cy="4206240"/>
                    </a:xfrm>
                    <a:prstGeom prst="rect"/>
                  </pic:spPr>
                </pic:pic>
              </a:graphicData>
            </a:graphic>
          </wp:inline>
        </w:drawing>
      </w:r>
    </w:p>
    <w:p>
      <w:pPr>
        <w:jc w:val="center"/>
      </w:pPr>
      <w:r>
        <w:t>Official identity board supplied for Nobevra.</w:t>
      </w:r>
    </w:p>
    <w:p>
      <w:pPr>
        <w:pStyle w:val="Heading2"/>
      </w:pPr>
      <w:r>
        <w:t>Primary Logo Lockup</w:t>
      </w:r>
    </w:p>
    <w:p>
      <w:pPr>
        <w:spacing w:after="80"/>
      </w:pPr>
      <w:r>
        <w:t>Use for high-visibility brand introductions, corporate presentations and major marketing surfaces.</w:t>
      </w:r>
    </w:p>
    <w:p>
      <w:pPr>
        <w:jc w:val="center"/>
      </w:pPr>
      <w:r>
        <w:drawing>
          <wp:inline xmlns:a="http://schemas.openxmlformats.org/drawingml/2006/main" xmlns:pic="http://schemas.openxmlformats.org/drawingml/2006/picture">
            <wp:extent cx="5303520" cy="2068039"/>
            <wp:docPr id="3" name="Picture 3"/>
            <wp:cNvGraphicFramePr>
              <a:graphicFrameLocks noChangeAspect="1"/>
            </wp:cNvGraphicFramePr>
            <a:graphic>
              <a:graphicData uri="http://schemas.openxmlformats.org/drawingml/2006/picture">
                <pic:pic>
                  <pic:nvPicPr>
                    <pic:cNvPr id="0" name="primary_lockup.png"/>
                    <pic:cNvPicPr/>
                  </pic:nvPicPr>
                  <pic:blipFill>
                    <a:blip r:embed="rId11"/>
                    <a:stretch>
                      <a:fillRect/>
                    </a:stretch>
                  </pic:blipFill>
                  <pic:spPr>
                    <a:xfrm>
                      <a:off x="0" y="0"/>
                      <a:ext cx="5303520" cy="2068039"/>
                    </a:xfrm>
                    <a:prstGeom prst="rect"/>
                  </pic:spPr>
                </pic:pic>
              </a:graphicData>
            </a:graphic>
          </wp:inline>
        </w:drawing>
      </w:r>
    </w:p>
    <w:p>
      <w:pPr>
        <w:pStyle w:val="Heading2"/>
      </w:pPr>
      <w:r>
        <w:t>Icon / Symbol</w:t>
      </w:r>
    </w:p>
    <w:p>
      <w:pPr>
        <w:spacing w:after="80"/>
      </w:pPr>
      <w:r>
        <w:t>Use where the brand name is not required or space is constrained.</w:t>
      </w:r>
    </w:p>
    <w:p>
      <w:pPr>
        <w:jc w:val="center"/>
      </w:pPr>
      <w:r>
        <w:drawing>
          <wp:inline xmlns:a="http://schemas.openxmlformats.org/drawingml/2006/main" xmlns:pic="http://schemas.openxmlformats.org/drawingml/2006/picture">
            <wp:extent cx="2286000" cy="2549769"/>
            <wp:docPr id="4" name="Picture 4"/>
            <wp:cNvGraphicFramePr>
              <a:graphicFrameLocks noChangeAspect="1"/>
            </wp:cNvGraphicFramePr>
            <a:graphic>
              <a:graphicData uri="http://schemas.openxmlformats.org/drawingml/2006/picture">
                <pic:pic>
                  <pic:nvPicPr>
                    <pic:cNvPr id="0" name="symbol.png"/>
                    <pic:cNvPicPr/>
                  </pic:nvPicPr>
                  <pic:blipFill>
                    <a:blip r:embed="rId13"/>
                    <a:stretch>
                      <a:fillRect/>
                    </a:stretch>
                  </pic:blipFill>
                  <pic:spPr>
                    <a:xfrm>
                      <a:off x="0" y="0"/>
                      <a:ext cx="2286000" cy="2549769"/>
                    </a:xfrm>
                    <a:prstGeom prst="rect"/>
                  </pic:spPr>
                </pic:pic>
              </a:graphicData>
            </a:graphic>
          </wp:inline>
        </w:drawing>
      </w:r>
    </w:p>
    <w:p>
      <w:pPr>
        <w:pStyle w:val="Heading2"/>
      </w:pPr>
      <w:r>
        <w:t>App Icon Concept</w:t>
      </w:r>
    </w:p>
    <w:p>
      <w:pPr>
        <w:spacing w:after="80"/>
      </w:pPr>
      <w:r>
        <w:t>Use as the reference for application icon construction and store/device contexts.</w:t>
      </w:r>
    </w:p>
    <w:p>
      <w:pPr>
        <w:jc w:val="center"/>
      </w:pPr>
      <w:r>
        <w:drawing>
          <wp:inline xmlns:a="http://schemas.openxmlformats.org/drawingml/2006/main" xmlns:pic="http://schemas.openxmlformats.org/drawingml/2006/picture">
            <wp:extent cx="2286000" cy="2286000"/>
            <wp:docPr id="5" name="Picture 5"/>
            <wp:cNvGraphicFramePr>
              <a:graphicFrameLocks noChangeAspect="1"/>
            </wp:cNvGraphicFramePr>
            <a:graphic>
              <a:graphicData uri="http://schemas.openxmlformats.org/drawingml/2006/picture">
                <pic:pic>
                  <pic:nvPicPr>
                    <pic:cNvPr id="0" name="app_icon.png"/>
                    <pic:cNvPicPr/>
                  </pic:nvPicPr>
                  <pic:blipFill>
                    <a:blip r:embed="rId14"/>
                    <a:stretch>
                      <a:fillRect/>
                    </a:stretch>
                  </pic:blipFill>
                  <pic:spPr>
                    <a:xfrm>
                      <a:off x="0" y="0"/>
                      <a:ext cx="2286000" cy="2286000"/>
                    </a:xfrm>
                    <a:prstGeom prst="rect"/>
                  </pic:spPr>
                </pic:pic>
              </a:graphicData>
            </a:graphic>
          </wp:inline>
        </w:drawing>
      </w:r>
    </w:p>
    <w:p>
      <w:pPr>
        <w:pStyle w:val="Heading2"/>
      </w:pPr>
      <w:r>
        <w:t>Horizontal Logo</w:t>
      </w:r>
    </w:p>
    <w:p>
      <w:pPr>
        <w:spacing w:after="80"/>
      </w:pPr>
      <w:r>
        <w:t>Preferred compact lockup for website headers, dashboards, documents and partner placements.</w:t>
      </w:r>
    </w:p>
    <w:p>
      <w:pPr>
        <w:jc w:val="center"/>
      </w:pPr>
      <w:r>
        <w:drawing>
          <wp:inline xmlns:a="http://schemas.openxmlformats.org/drawingml/2006/main" xmlns:pic="http://schemas.openxmlformats.org/drawingml/2006/picture">
            <wp:extent cx="5303520" cy="1734796"/>
            <wp:docPr id="6" name="Picture 6"/>
            <wp:cNvGraphicFramePr>
              <a:graphicFrameLocks noChangeAspect="1"/>
            </wp:cNvGraphicFramePr>
            <a:graphic>
              <a:graphicData uri="http://schemas.openxmlformats.org/drawingml/2006/picture">
                <pic:pic>
                  <pic:nvPicPr>
                    <pic:cNvPr id="0" name="horizontal_logo.png"/>
                    <pic:cNvPicPr/>
                  </pic:nvPicPr>
                  <pic:blipFill>
                    <a:blip r:embed="rId15"/>
                    <a:stretch>
                      <a:fillRect/>
                    </a:stretch>
                  </pic:blipFill>
                  <pic:spPr>
                    <a:xfrm>
                      <a:off x="0" y="0"/>
                      <a:ext cx="5303520" cy="1734796"/>
                    </a:xfrm>
                    <a:prstGeom prst="rect"/>
                  </pic:spPr>
                </pic:pic>
              </a:graphicData>
            </a:graphic>
          </wp:inline>
        </w:drawing>
      </w:r>
    </w:p>
    <w:p>
      <w:pPr>
        <w:pStyle w:val="Heading2"/>
      </w:pPr>
      <w:r>
        <w:t>Icon Only</w:t>
      </w:r>
    </w:p>
    <w:p>
      <w:pPr>
        <w:spacing w:after="80"/>
      </w:pPr>
      <w:r>
        <w:t>Use for favicons, avatars, compact navigation, app shortcuts and small digital surfaces.</w:t>
      </w:r>
    </w:p>
    <w:p>
      <w:pPr>
        <w:jc w:val="center"/>
      </w:pPr>
      <w:r>
        <w:drawing>
          <wp:inline xmlns:a="http://schemas.openxmlformats.org/drawingml/2006/main" xmlns:pic="http://schemas.openxmlformats.org/drawingml/2006/picture">
            <wp:extent cx="2286000" cy="1702340"/>
            <wp:docPr id="7" name="Picture 7"/>
            <wp:cNvGraphicFramePr>
              <a:graphicFrameLocks noChangeAspect="1"/>
            </wp:cNvGraphicFramePr>
            <a:graphic>
              <a:graphicData uri="http://schemas.openxmlformats.org/drawingml/2006/picture">
                <pic:pic>
                  <pic:nvPicPr>
                    <pic:cNvPr id="0" name="icon_only.png"/>
                    <pic:cNvPicPr/>
                  </pic:nvPicPr>
                  <pic:blipFill>
                    <a:blip r:embed="rId16"/>
                    <a:stretch>
                      <a:fillRect/>
                    </a:stretch>
                  </pic:blipFill>
                  <pic:spPr>
                    <a:xfrm>
                      <a:off x="0" y="0"/>
                      <a:ext cx="2286000" cy="1702340"/>
                    </a:xfrm>
                    <a:prstGeom prst="rect"/>
                  </pic:spPr>
                </pic:pic>
              </a:graphicData>
            </a:graphic>
          </wp:inline>
        </w:drawing>
      </w:r>
    </w:p>
    <w:p>
      <w:pPr>
        <w:pStyle w:val="Heading2"/>
      </w:pPr>
      <w:r>
        <w:t>Monochrome</w:t>
      </w:r>
    </w:p>
    <w:p>
      <w:pPr>
        <w:spacing w:after="80"/>
      </w:pPr>
      <w:r>
        <w:t>Use when color reproduction is unavailable, restricted or visually inappropriate.</w:t>
      </w:r>
    </w:p>
    <w:p>
      <w:pPr>
        <w:jc w:val="center"/>
      </w:pPr>
      <w:r>
        <w:drawing>
          <wp:inline xmlns:a="http://schemas.openxmlformats.org/drawingml/2006/main" xmlns:pic="http://schemas.openxmlformats.org/drawingml/2006/picture">
            <wp:extent cx="5303520" cy="1767840"/>
            <wp:docPr id="8" name="Picture 8"/>
            <wp:cNvGraphicFramePr>
              <a:graphicFrameLocks noChangeAspect="1"/>
            </wp:cNvGraphicFramePr>
            <a:graphic>
              <a:graphicData uri="http://schemas.openxmlformats.org/drawingml/2006/picture">
                <pic:pic>
                  <pic:nvPicPr>
                    <pic:cNvPr id="0" name="monochrome.png"/>
                    <pic:cNvPicPr/>
                  </pic:nvPicPr>
                  <pic:blipFill>
                    <a:blip r:embed="rId17"/>
                    <a:stretch>
                      <a:fillRect/>
                    </a:stretch>
                  </pic:blipFill>
                  <pic:spPr>
                    <a:xfrm>
                      <a:off x="0" y="0"/>
                      <a:ext cx="5303520" cy="1767840"/>
                    </a:xfrm>
                    <a:prstGeom prst="rect"/>
                  </pic:spPr>
                </pic:pic>
              </a:graphicData>
            </a:graphic>
          </wp:inline>
        </w:drawing>
      </w:r>
    </w:p>
    <w:p>
      <w:pPr>
        <w:pStyle w:val="Heading2"/>
      </w:pPr>
      <w:r>
        <w:t>Dark Background Version</w:t>
      </w:r>
    </w:p>
    <w:p>
      <w:pPr>
        <w:spacing w:after="80"/>
      </w:pPr>
      <w:r>
        <w:t>Use on approved dark surfaces where the light wordmark maintains strong contrast.</w:t>
      </w:r>
    </w:p>
    <w:p>
      <w:pPr>
        <w:jc w:val="center"/>
      </w:pPr>
      <w:r>
        <w:drawing>
          <wp:inline xmlns:a="http://schemas.openxmlformats.org/drawingml/2006/main" xmlns:pic="http://schemas.openxmlformats.org/drawingml/2006/picture">
            <wp:extent cx="5303520" cy="1239784"/>
            <wp:docPr id="9" name="Picture 9"/>
            <wp:cNvGraphicFramePr>
              <a:graphicFrameLocks noChangeAspect="1"/>
            </wp:cNvGraphicFramePr>
            <a:graphic>
              <a:graphicData uri="http://schemas.openxmlformats.org/drawingml/2006/picture">
                <pic:pic>
                  <pic:nvPicPr>
                    <pic:cNvPr id="0" name="dark_background.png"/>
                    <pic:cNvPicPr/>
                  </pic:nvPicPr>
                  <pic:blipFill>
                    <a:blip r:embed="rId18"/>
                    <a:stretch>
                      <a:fillRect/>
                    </a:stretch>
                  </pic:blipFill>
                  <pic:spPr>
                    <a:xfrm>
                      <a:off x="0" y="0"/>
                      <a:ext cx="5303520" cy="1239784"/>
                    </a:xfrm>
                    <a:prstGeom prst="rect"/>
                  </pic:spPr>
                </pic:pic>
              </a:graphicData>
            </a:graphic>
          </wp:inline>
        </w:drawing>
      </w:r>
    </w:p>
    <w:p>
      <w:pPr>
        <w:pStyle w:val="Heading2"/>
      </w:pPr>
      <w:r>
        <w:t>Light Background Version</w:t>
      </w:r>
    </w:p>
    <w:p>
      <w:pPr>
        <w:spacing w:after="80"/>
      </w:pPr>
      <w:r>
        <w:t>Preferred light-surface treatment for most documents and digital interfaces.</w:t>
      </w:r>
    </w:p>
    <w:p>
      <w:pPr>
        <w:jc w:val="center"/>
      </w:pPr>
      <w:r>
        <w:drawing>
          <wp:inline xmlns:a="http://schemas.openxmlformats.org/drawingml/2006/main" xmlns:pic="http://schemas.openxmlformats.org/drawingml/2006/picture">
            <wp:extent cx="5303520" cy="1246258"/>
            <wp:docPr id="10" name="Picture 10"/>
            <wp:cNvGraphicFramePr>
              <a:graphicFrameLocks noChangeAspect="1"/>
            </wp:cNvGraphicFramePr>
            <a:graphic>
              <a:graphicData uri="http://schemas.openxmlformats.org/drawingml/2006/picture">
                <pic:pic>
                  <pic:nvPicPr>
                    <pic:cNvPr id="0" name="light_background.png"/>
                    <pic:cNvPicPr/>
                  </pic:nvPicPr>
                  <pic:blipFill>
                    <a:blip r:embed="rId19"/>
                    <a:stretch>
                      <a:fillRect/>
                    </a:stretch>
                  </pic:blipFill>
                  <pic:spPr>
                    <a:xfrm>
                      <a:off x="0" y="0"/>
                      <a:ext cx="5303520" cy="1246258"/>
                    </a:xfrm>
                    <a:prstGeom prst="rect"/>
                  </pic:spPr>
                </pic:pic>
              </a:graphicData>
            </a:graphic>
          </wp:inline>
        </w:drawing>
      </w:r>
    </w:p>
    <w:p>
      <w:pPr>
        <w:pStyle w:val="Heading1"/>
        <w:keepNext/>
      </w:pPr>
      <w:r>
        <w:rPr>
          <w:color w:val="013948"/>
        </w:rPr>
        <w:t>06. Logo Usage Rules</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Clear space</w:t>
            </w:r>
          </w:p>
        </w:tc>
        <w:tc>
          <w:tcPr>
            <w:tcW w:type="dxa" w:w="5083"/>
            <w:tcMar>
              <w:top w:w="100" w:type="dxa"/>
              <w:start w:w="120" w:type="dxa"/>
              <w:bottom w:w="100" w:type="dxa"/>
              <w:end w:w="120" w:type="dxa"/>
            </w:tcMar>
            <w:vAlign w:val="center"/>
          </w:tcPr>
          <w:p>
            <w:r>
              <w:t>Maintain clear space on all sides. The minimum reference unit is the height of the internal document/mark element; never crowd the logo with text, UI controls or other marks.</w:t>
            </w:r>
          </w:p>
        </w:tc>
      </w:tr>
      <w:tr>
        <w:tc>
          <w:tcPr>
            <w:tcW w:type="dxa" w:w="5083"/>
            <w:shd w:fill="F4F9FC"/>
            <w:tcMar>
              <w:top w:w="100" w:type="dxa"/>
              <w:start w:w="120" w:type="dxa"/>
              <w:bottom w:w="100" w:type="dxa"/>
              <w:end w:w="120" w:type="dxa"/>
            </w:tcMar>
            <w:vAlign w:val="center"/>
          </w:tcPr>
          <w:p>
            <w:r>
              <w:t>Minimum size</w:t>
            </w:r>
          </w:p>
        </w:tc>
        <w:tc>
          <w:tcPr>
            <w:tcW w:type="dxa" w:w="5083"/>
            <w:tcMar>
              <w:top w:w="100" w:type="dxa"/>
              <w:start w:w="120" w:type="dxa"/>
              <w:bottom w:w="100" w:type="dxa"/>
              <w:end w:w="120" w:type="dxa"/>
            </w:tcMar>
            <w:vAlign w:val="center"/>
          </w:tcPr>
          <w:p>
            <w:r>
              <w:t>Do not reduce the full lockup until the wordmark and descriptor remain clearly legible. For very small contexts, switch to the icon-only mark.</w:t>
            </w:r>
          </w:p>
        </w:tc>
      </w:tr>
      <w:tr>
        <w:tc>
          <w:tcPr>
            <w:tcW w:type="dxa" w:w="5083"/>
            <w:shd w:fill="F4F9FC"/>
            <w:tcMar>
              <w:top w:w="100" w:type="dxa"/>
              <w:start w:w="120" w:type="dxa"/>
              <w:bottom w:w="100" w:type="dxa"/>
              <w:end w:w="120" w:type="dxa"/>
            </w:tcMar>
            <w:vAlign w:val="center"/>
          </w:tcPr>
          <w:p>
            <w:r>
              <w:t>Color</w:t>
            </w:r>
          </w:p>
        </w:tc>
        <w:tc>
          <w:tcPr>
            <w:tcW w:type="dxa" w:w="5083"/>
            <w:tcMar>
              <w:top w:w="100" w:type="dxa"/>
              <w:start w:w="120" w:type="dxa"/>
              <w:bottom w:w="100" w:type="dxa"/>
              <w:end w:w="120" w:type="dxa"/>
            </w:tcMar>
            <w:vAlign w:val="center"/>
          </w:tcPr>
          <w:p>
            <w:r>
              <w:t>Use only the approved full-color, light-background, dark-background or monochrome applications shown in the official artwork.</w:t>
            </w:r>
          </w:p>
        </w:tc>
      </w:tr>
      <w:tr>
        <w:tc>
          <w:tcPr>
            <w:tcW w:type="dxa" w:w="5083"/>
            <w:shd w:fill="F4F9FC"/>
            <w:tcMar>
              <w:top w:w="100" w:type="dxa"/>
              <w:start w:w="120" w:type="dxa"/>
              <w:bottom w:w="100" w:type="dxa"/>
              <w:end w:w="120" w:type="dxa"/>
            </w:tcMar>
            <w:vAlign w:val="center"/>
          </w:tcPr>
          <w:p>
            <w:r>
              <w:t>Background</w:t>
            </w:r>
          </w:p>
        </w:tc>
        <w:tc>
          <w:tcPr>
            <w:tcW w:type="dxa" w:w="5083"/>
            <w:tcMar>
              <w:top w:w="100" w:type="dxa"/>
              <w:start w:w="120" w:type="dxa"/>
              <w:bottom w:w="100" w:type="dxa"/>
              <w:end w:w="120" w:type="dxa"/>
            </w:tcMar>
            <w:vAlign w:val="center"/>
          </w:tcPr>
          <w:p>
            <w:r>
              <w:t>Prefer clean, quiet surfaces. Do not place the logo over busy imagery or low-contrast textures.</w:t>
            </w:r>
          </w:p>
        </w:tc>
      </w:tr>
      <w:tr>
        <w:tc>
          <w:tcPr>
            <w:tcW w:type="dxa" w:w="5083"/>
            <w:shd w:fill="F4F9FC"/>
            <w:tcMar>
              <w:top w:w="100" w:type="dxa"/>
              <w:start w:w="120" w:type="dxa"/>
              <w:bottom w:w="100" w:type="dxa"/>
              <w:end w:w="120" w:type="dxa"/>
            </w:tcMar>
            <w:vAlign w:val="center"/>
          </w:tcPr>
          <w:p>
            <w:r>
              <w:t>Geometry</w:t>
            </w:r>
          </w:p>
        </w:tc>
        <w:tc>
          <w:tcPr>
            <w:tcW w:type="dxa" w:w="5083"/>
            <w:tcMar>
              <w:top w:w="100" w:type="dxa"/>
              <w:start w:w="120" w:type="dxa"/>
              <w:bottom w:w="100" w:type="dxa"/>
              <w:end w:w="120" w:type="dxa"/>
            </w:tcMar>
            <w:vAlign w:val="center"/>
          </w:tcPr>
          <w:p>
            <w:r>
              <w:t>Never stretch, skew, rotate, distort, redraw or alter the proportions of the symbol or wordmark.</w:t>
            </w:r>
          </w:p>
        </w:tc>
      </w:tr>
      <w:tr>
        <w:tc>
          <w:tcPr>
            <w:tcW w:type="dxa" w:w="5083"/>
            <w:shd w:fill="F4F9FC"/>
            <w:tcMar>
              <w:top w:w="100" w:type="dxa"/>
              <w:start w:w="120" w:type="dxa"/>
              <w:bottom w:w="100" w:type="dxa"/>
              <w:end w:w="120" w:type="dxa"/>
            </w:tcMar>
            <w:vAlign w:val="center"/>
          </w:tcPr>
          <w:p>
            <w:r>
              <w:t>Effects</w:t>
            </w:r>
          </w:p>
        </w:tc>
        <w:tc>
          <w:tcPr>
            <w:tcW w:type="dxa" w:w="5083"/>
            <w:tcMar>
              <w:top w:w="100" w:type="dxa"/>
              <w:start w:w="120" w:type="dxa"/>
              <w:bottom w:w="100" w:type="dxa"/>
              <w:end w:w="120" w:type="dxa"/>
            </w:tcMar>
            <w:vAlign w:val="center"/>
          </w:tcPr>
          <w:p>
            <w:r>
              <w:t>Do not add arbitrary shadows, glows, outlines, bevels or gradients outside the supplied artwork.</w:t>
            </w:r>
          </w:p>
        </w:tc>
      </w:tr>
      <w:tr>
        <w:tc>
          <w:tcPr>
            <w:tcW w:type="dxa" w:w="5083"/>
            <w:shd w:fill="F4F9FC"/>
            <w:tcMar>
              <w:top w:w="100" w:type="dxa"/>
              <w:start w:w="120" w:type="dxa"/>
              <w:bottom w:w="100" w:type="dxa"/>
              <w:end w:w="120" w:type="dxa"/>
            </w:tcMar>
            <w:vAlign w:val="center"/>
          </w:tcPr>
          <w:p>
            <w:r>
              <w:t>Co-branding</w:t>
            </w:r>
          </w:p>
        </w:tc>
        <w:tc>
          <w:tcPr>
            <w:tcW w:type="dxa" w:w="5083"/>
            <w:tcMar>
              <w:top w:w="100" w:type="dxa"/>
              <w:start w:w="120" w:type="dxa"/>
              <w:bottom w:w="100" w:type="dxa"/>
              <w:end w:w="120" w:type="dxa"/>
            </w:tcMar>
            <w:vAlign w:val="center"/>
          </w:tcPr>
          <w:p>
            <w:r>
              <w:t>Give partner logos their own protected space; do not visually merge them with the Nobevra symbol.</w:t>
            </w:r>
          </w:p>
        </w:tc>
      </w:tr>
    </w:tbl>
    <w:p>
      <w:pPr>
        <w:pStyle w:val="Heading2"/>
      </w:pPr>
      <w:r>
        <w:t>Never do</w:t>
      </w:r>
    </w:p>
    <w:p>
      <w:pPr>
        <w:pStyle w:val="ListBullet"/>
      </w:pPr>
      <w:r>
        <w:t>Do not recreate the logo with a different typeface.</w:t>
      </w:r>
    </w:p>
    <w:p>
      <w:pPr>
        <w:pStyle w:val="ListBullet"/>
      </w:pPr>
      <w:r>
        <w:t>Do not recolor the mark with unapproved hues.</w:t>
      </w:r>
    </w:p>
    <w:p>
      <w:pPr>
        <w:pStyle w:val="ListBullet"/>
      </w:pPr>
      <w:r>
        <w:t>Do not compress or stretch the wordmark.</w:t>
      </w:r>
    </w:p>
    <w:p>
      <w:pPr>
        <w:pStyle w:val="ListBullet"/>
      </w:pPr>
      <w:r>
        <w:t>Do not place the full logo on visually noisy imagery.</w:t>
      </w:r>
    </w:p>
    <w:p>
      <w:pPr>
        <w:pStyle w:val="ListBullet"/>
      </w:pPr>
      <w:r>
        <w:t>Do not add decorative frames, badges or containers that imply a new logo variant.</w:t>
      </w:r>
    </w:p>
    <w:p>
      <w:pPr>
        <w:pStyle w:val="ListBullet"/>
      </w:pPr>
      <w:r>
        <w:t>Do not use an old NobleInvoice logo as a primary brand mark after migration.</w:t>
      </w:r>
    </w:p>
    <w:p>
      <w:pPr>
        <w:pStyle w:val="Heading1"/>
        <w:keepNext/>
      </w:pPr>
      <w:r>
        <w:rPr>
          <w:color w:val="013948"/>
        </w:rPr>
        <w:t>07. Color System</w:t>
      </w:r>
    </w:p>
    <w:p>
      <w:pPr>
        <w:pStyle w:val="Subtitle"/>
        <w:spacing w:after="200"/>
      </w:pPr>
      <w:r>
        <w:t>A restrained teal-to-blue system built for trust, intelligence and action.</w:t>
      </w:r>
    </w:p>
    <w:tbl>
      <w:tblPr>
        <w:tblW w:type="auto" w:w="0"/>
        <w:jc w:val="center"/>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3389"/>
        <w:gridCol w:w="3389"/>
        <w:gridCol w:w="3389"/>
      </w:tblGrid>
      <w:tr>
        <w:trPr>
          <w:tblHeader w:val="true"/>
        </w:trPr>
        <w:tc>
          <w:tcPr>
            <w:tcW w:type="dxa" w:w="3389"/>
            <w:shd w:fill="013948"/>
          </w:tcPr>
          <w:p>
            <w:r>
              <w:rPr>
                <w:b/>
                <w:color w:val="FFFFFF"/>
              </w:rPr>
              <w:t>Color</w:t>
            </w:r>
          </w:p>
        </w:tc>
        <w:tc>
          <w:tcPr>
            <w:tcW w:type="dxa" w:w="3389"/>
            <w:shd w:fill="013948"/>
          </w:tcPr>
          <w:p>
            <w:r>
              <w:rPr>
                <w:b/>
                <w:color w:val="FFFFFF"/>
              </w:rPr>
              <w:t>HEX</w:t>
            </w:r>
          </w:p>
        </w:tc>
        <w:tc>
          <w:tcPr>
            <w:tcW w:type="dxa" w:w="3389"/>
            <w:shd w:fill="013948"/>
          </w:tcPr>
          <w:p>
            <w:r>
              <w:rPr>
                <w:b/>
                <w:color w:val="FFFFFF"/>
              </w:rPr>
              <w:t>Primary use</w:t>
            </w:r>
          </w:p>
        </w:tc>
      </w:tr>
      <w:tr>
        <w:tc>
          <w:tcPr>
            <w:tcW w:type="dxa" w:w="3389"/>
            <w:shd w:fill="013948"/>
            <w:tcMar>
              <w:top w:w="100" w:type="dxa"/>
              <w:start w:w="120" w:type="dxa"/>
              <w:bottom w:w="100" w:type="dxa"/>
              <w:end w:w="120" w:type="dxa"/>
            </w:tcMar>
          </w:tcPr>
          <w:p>
            <w:r>
              <w:rPr>
                <w:color w:val="FFFFFF"/>
              </w:rPr>
              <w:t>Nobevra Navy</w:t>
            </w:r>
          </w:p>
        </w:tc>
        <w:tc>
          <w:tcPr>
            <w:tcW w:type="dxa" w:w="3389"/>
            <w:tcMar>
              <w:top w:w="100" w:type="dxa"/>
              <w:start w:w="120" w:type="dxa"/>
              <w:bottom w:w="100" w:type="dxa"/>
              <w:end w:w="120" w:type="dxa"/>
            </w:tcMar>
          </w:tcPr>
          <w:p>
            <w:r>
              <w:t>#013948</w:t>
            </w:r>
          </w:p>
        </w:tc>
        <w:tc>
          <w:tcPr>
            <w:tcW w:type="dxa" w:w="3389"/>
            <w:tcMar>
              <w:top w:w="100" w:type="dxa"/>
              <w:start w:w="120" w:type="dxa"/>
              <w:bottom w:w="100" w:type="dxa"/>
              <w:end w:w="120" w:type="dxa"/>
            </w:tcMar>
          </w:tcPr>
          <w:p>
            <w:r>
              <w:t>Primary dark surface, logo depth, navigation, primary text on light surfaces.</w:t>
            </w:r>
          </w:p>
        </w:tc>
      </w:tr>
      <w:tr>
        <w:tc>
          <w:tcPr>
            <w:tcW w:type="dxa" w:w="3389"/>
            <w:shd w:fill="01A0E2"/>
            <w:tcMar>
              <w:top w:w="100" w:type="dxa"/>
              <w:start w:w="120" w:type="dxa"/>
              <w:bottom w:w="100" w:type="dxa"/>
              <w:end w:w="120" w:type="dxa"/>
            </w:tcMar>
          </w:tcPr>
          <w:p>
            <w:r>
              <w:rPr>
                <w:color w:val="FFFFFF"/>
              </w:rPr>
              <w:t>Nobevra Blue</w:t>
            </w:r>
          </w:p>
        </w:tc>
        <w:tc>
          <w:tcPr>
            <w:tcW w:type="dxa" w:w="3389"/>
            <w:tcMar>
              <w:top w:w="100" w:type="dxa"/>
              <w:start w:w="120" w:type="dxa"/>
              <w:bottom w:w="100" w:type="dxa"/>
              <w:end w:w="120" w:type="dxa"/>
            </w:tcMar>
          </w:tcPr>
          <w:p>
            <w:r>
              <w:t>#01A0E2</w:t>
            </w:r>
          </w:p>
        </w:tc>
        <w:tc>
          <w:tcPr>
            <w:tcW w:type="dxa" w:w="3389"/>
            <w:tcMar>
              <w:top w:w="100" w:type="dxa"/>
              <w:start w:w="120" w:type="dxa"/>
              <w:bottom w:w="100" w:type="dxa"/>
              <w:end w:w="120" w:type="dxa"/>
            </w:tcMar>
          </w:tcPr>
          <w:p>
            <w:r>
              <w:t>Primary actions, links, active states and key highlights.</w:t>
            </w:r>
          </w:p>
        </w:tc>
      </w:tr>
      <w:tr>
        <w:tc>
          <w:tcPr>
            <w:tcW w:type="dxa" w:w="3389"/>
            <w:shd w:fill="01779D"/>
            <w:tcMar>
              <w:top w:w="100" w:type="dxa"/>
              <w:start w:w="120" w:type="dxa"/>
              <w:bottom w:w="100" w:type="dxa"/>
              <w:end w:w="120" w:type="dxa"/>
            </w:tcMar>
          </w:tcPr>
          <w:p>
            <w:r>
              <w:rPr>
                <w:color w:val="FFFFFF"/>
              </w:rPr>
              <w:t>Nobevra Teal</w:t>
            </w:r>
          </w:p>
        </w:tc>
        <w:tc>
          <w:tcPr>
            <w:tcW w:type="dxa" w:w="3389"/>
            <w:tcMar>
              <w:top w:w="100" w:type="dxa"/>
              <w:start w:w="120" w:type="dxa"/>
              <w:bottom w:w="100" w:type="dxa"/>
              <w:end w:w="120" w:type="dxa"/>
            </w:tcMar>
          </w:tcPr>
          <w:p>
            <w:r>
              <w:t>#01779D</w:t>
            </w:r>
          </w:p>
        </w:tc>
        <w:tc>
          <w:tcPr>
            <w:tcW w:type="dxa" w:w="3389"/>
            <w:tcMar>
              <w:top w:w="100" w:type="dxa"/>
              <w:start w:w="120" w:type="dxa"/>
              <w:bottom w:w="100" w:type="dxa"/>
              <w:end w:w="120" w:type="dxa"/>
            </w:tcMar>
          </w:tcPr>
          <w:p>
            <w:r>
              <w:t>Secondary actions, charts, supporting UI and information emphasis.</w:t>
            </w:r>
          </w:p>
        </w:tc>
      </w:tr>
      <w:tr>
        <w:tc>
          <w:tcPr>
            <w:tcW w:type="dxa" w:w="3389"/>
            <w:shd w:fill="00C7F2"/>
            <w:tcMar>
              <w:top w:w="100" w:type="dxa"/>
              <w:start w:w="120" w:type="dxa"/>
              <w:bottom w:w="100" w:type="dxa"/>
              <w:end w:w="120" w:type="dxa"/>
            </w:tcMar>
          </w:tcPr>
          <w:p>
            <w:r>
              <w:rPr>
                <w:color w:val="FFFFFF"/>
              </w:rPr>
              <w:t>Nobevra Cyan</w:t>
            </w:r>
          </w:p>
        </w:tc>
        <w:tc>
          <w:tcPr>
            <w:tcW w:type="dxa" w:w="3389"/>
            <w:tcMar>
              <w:top w:w="100" w:type="dxa"/>
              <w:start w:w="120" w:type="dxa"/>
              <w:bottom w:w="100" w:type="dxa"/>
              <w:end w:w="120" w:type="dxa"/>
            </w:tcMar>
          </w:tcPr>
          <w:p>
            <w:r>
              <w:t>#00C7F2</w:t>
            </w:r>
          </w:p>
        </w:tc>
        <w:tc>
          <w:tcPr>
            <w:tcW w:type="dxa" w:w="3389"/>
            <w:tcMar>
              <w:top w:w="100" w:type="dxa"/>
              <w:start w:w="120" w:type="dxa"/>
              <w:bottom w:w="100" w:type="dxa"/>
              <w:end w:w="120" w:type="dxa"/>
            </w:tcMar>
          </w:tcPr>
          <w:p>
            <w:r>
              <w:t>Sparingly for AI/innovation moments, accents and visual energy.</w:t>
            </w:r>
          </w:p>
        </w:tc>
      </w:tr>
      <w:tr>
        <w:tc>
          <w:tcPr>
            <w:tcW w:type="dxa" w:w="3389"/>
            <w:shd w:fill="FFFFFF"/>
            <w:tcMar>
              <w:top w:w="100" w:type="dxa"/>
              <w:start w:w="120" w:type="dxa"/>
              <w:bottom w:w="100" w:type="dxa"/>
              <w:end w:w="120" w:type="dxa"/>
            </w:tcMar>
          </w:tcPr>
          <w:p>
            <w:r>
              <w:t>White</w:t>
            </w:r>
          </w:p>
        </w:tc>
        <w:tc>
          <w:tcPr>
            <w:tcW w:type="dxa" w:w="3389"/>
            <w:tcMar>
              <w:top w:w="100" w:type="dxa"/>
              <w:start w:w="120" w:type="dxa"/>
              <w:bottom w:w="100" w:type="dxa"/>
              <w:end w:w="120" w:type="dxa"/>
            </w:tcMar>
          </w:tcPr>
          <w:p>
            <w:r>
              <w:t>#FFFFFF</w:t>
            </w:r>
          </w:p>
        </w:tc>
        <w:tc>
          <w:tcPr>
            <w:tcW w:type="dxa" w:w="3389"/>
            <w:tcMar>
              <w:top w:w="100" w:type="dxa"/>
              <w:start w:w="120" w:type="dxa"/>
              <w:bottom w:w="100" w:type="dxa"/>
              <w:end w:w="120" w:type="dxa"/>
            </w:tcMar>
          </w:tcPr>
          <w:p>
            <w:r>
              <w:t>Light surfaces and negative space.</w:t>
            </w:r>
          </w:p>
        </w:tc>
      </w:tr>
      <w:tr>
        <w:tc>
          <w:tcPr>
            <w:tcW w:type="dxa" w:w="3389"/>
            <w:shd w:fill="F4F9FC"/>
            <w:tcMar>
              <w:top w:w="100" w:type="dxa"/>
              <w:start w:w="120" w:type="dxa"/>
              <w:bottom w:w="100" w:type="dxa"/>
              <w:end w:w="120" w:type="dxa"/>
            </w:tcMar>
          </w:tcPr>
          <w:p>
            <w:r>
              <w:t>Cloud</w:t>
            </w:r>
          </w:p>
        </w:tc>
        <w:tc>
          <w:tcPr>
            <w:tcW w:type="dxa" w:w="3389"/>
            <w:tcMar>
              <w:top w:w="100" w:type="dxa"/>
              <w:start w:w="120" w:type="dxa"/>
              <w:bottom w:w="100" w:type="dxa"/>
              <w:end w:w="120" w:type="dxa"/>
            </w:tcMar>
          </w:tcPr>
          <w:p>
            <w:r>
              <w:t>#F4F9FC</w:t>
            </w:r>
          </w:p>
        </w:tc>
        <w:tc>
          <w:tcPr>
            <w:tcW w:type="dxa" w:w="3389"/>
            <w:tcMar>
              <w:top w:w="100" w:type="dxa"/>
              <w:start w:w="120" w:type="dxa"/>
              <w:bottom w:w="100" w:type="dxa"/>
              <w:end w:w="120" w:type="dxa"/>
            </w:tcMar>
          </w:tcPr>
          <w:p>
            <w:r>
              <w:t>App backgrounds, cards and page surfaces.</w:t>
            </w:r>
          </w:p>
        </w:tc>
      </w:tr>
      <w:tr>
        <w:tc>
          <w:tcPr>
            <w:tcW w:type="dxa" w:w="3389"/>
            <w:shd w:fill="0B1720"/>
            <w:tcMar>
              <w:top w:w="100" w:type="dxa"/>
              <w:start w:w="120" w:type="dxa"/>
              <w:bottom w:w="100" w:type="dxa"/>
              <w:end w:w="120" w:type="dxa"/>
            </w:tcMar>
          </w:tcPr>
          <w:p>
            <w:r>
              <w:t>Ink</w:t>
            </w:r>
          </w:p>
        </w:tc>
        <w:tc>
          <w:tcPr>
            <w:tcW w:type="dxa" w:w="3389"/>
            <w:tcMar>
              <w:top w:w="100" w:type="dxa"/>
              <w:start w:w="120" w:type="dxa"/>
              <w:bottom w:w="100" w:type="dxa"/>
              <w:end w:w="120" w:type="dxa"/>
            </w:tcMar>
          </w:tcPr>
          <w:p>
            <w:r>
              <w:t>#0B1720</w:t>
            </w:r>
          </w:p>
        </w:tc>
        <w:tc>
          <w:tcPr>
            <w:tcW w:type="dxa" w:w="3389"/>
            <w:tcMar>
              <w:top w:w="100" w:type="dxa"/>
              <w:start w:w="120" w:type="dxa"/>
              <w:bottom w:w="100" w:type="dxa"/>
              <w:end w:w="120" w:type="dxa"/>
            </w:tcMar>
          </w:tcPr>
          <w:p>
            <w:r>
              <w:t>Maximum-readability body text.</w:t>
            </w:r>
          </w:p>
        </w:tc>
      </w:tr>
    </w:tbl>
    <w:p>
      <w:r>
        <w:t>Production note: the supplied v1.0 guide states that the HEX values were derived from the supplied logo artwork. Before mass production, normalize the palette against the original vector master and verify digital/print color profiles.</w:t>
      </w:r>
    </w:p>
    <w:p>
      <w:pPr>
        <w:pStyle w:val="Heading2"/>
      </w:pPr>
      <w:r>
        <w:t>Semantic UI colors</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Positive / success</w:t>
            </w:r>
          </w:p>
        </w:tc>
        <w:tc>
          <w:tcPr>
            <w:tcW w:type="dxa" w:w="5083"/>
            <w:tcMar>
              <w:top w:w="100" w:type="dxa"/>
              <w:start w:w="120" w:type="dxa"/>
              <w:bottom w:w="100" w:type="dxa"/>
              <w:end w:w="120" w:type="dxa"/>
            </w:tcMar>
            <w:vAlign w:val="center"/>
          </w:tcPr>
          <w:p>
            <w:r>
              <w:t>Green family reserved for successful business or financial states.</w:t>
            </w:r>
          </w:p>
        </w:tc>
      </w:tr>
      <w:tr>
        <w:tc>
          <w:tcPr>
            <w:tcW w:type="dxa" w:w="5083"/>
            <w:shd w:fill="F4F9FC"/>
            <w:tcMar>
              <w:top w:w="100" w:type="dxa"/>
              <w:start w:w="120" w:type="dxa"/>
              <w:bottom w:w="100" w:type="dxa"/>
              <w:end w:w="120" w:type="dxa"/>
            </w:tcMar>
            <w:vAlign w:val="center"/>
          </w:tcPr>
          <w:p>
            <w:r>
              <w:t>Attention / pending</w:t>
            </w:r>
          </w:p>
        </w:tc>
        <w:tc>
          <w:tcPr>
            <w:tcW w:type="dxa" w:w="5083"/>
            <w:tcMar>
              <w:top w:w="100" w:type="dxa"/>
              <w:start w:w="120" w:type="dxa"/>
              <w:bottom w:w="100" w:type="dxa"/>
              <w:end w:w="120" w:type="dxa"/>
            </w:tcMar>
            <w:vAlign w:val="center"/>
          </w:tcPr>
          <w:p>
            <w:r>
              <w:t>Amber family reserved for warnings, pending actions and attention states.</w:t>
            </w:r>
          </w:p>
        </w:tc>
      </w:tr>
      <w:tr>
        <w:tc>
          <w:tcPr>
            <w:tcW w:type="dxa" w:w="5083"/>
            <w:shd w:fill="F4F9FC"/>
            <w:tcMar>
              <w:top w:w="100" w:type="dxa"/>
              <w:start w:w="120" w:type="dxa"/>
              <w:bottom w:w="100" w:type="dxa"/>
              <w:end w:w="120" w:type="dxa"/>
            </w:tcMar>
            <w:vAlign w:val="center"/>
          </w:tcPr>
          <w:p>
            <w:r>
              <w:t>Destructive / error</w:t>
            </w:r>
          </w:p>
        </w:tc>
        <w:tc>
          <w:tcPr>
            <w:tcW w:type="dxa" w:w="5083"/>
            <w:tcMar>
              <w:top w:w="100" w:type="dxa"/>
              <w:start w:w="120" w:type="dxa"/>
              <w:bottom w:w="100" w:type="dxa"/>
              <w:end w:w="120" w:type="dxa"/>
            </w:tcMar>
            <w:vAlign w:val="center"/>
          </w:tcPr>
          <w:p>
            <w:r>
              <w:t>Red family reserved for errors, failed actions and destructive confirmation states.</w:t>
            </w:r>
          </w:p>
        </w:tc>
      </w:tr>
      <w:tr>
        <w:tc>
          <w:tcPr>
            <w:tcW w:type="dxa" w:w="5083"/>
            <w:shd w:fill="F4F9FC"/>
            <w:tcMar>
              <w:top w:w="100" w:type="dxa"/>
              <w:start w:w="120" w:type="dxa"/>
              <w:bottom w:w="100" w:type="dxa"/>
              <w:end w:w="120" w:type="dxa"/>
            </w:tcMar>
            <w:vAlign w:val="center"/>
          </w:tcPr>
          <w:p>
            <w:r>
              <w:t>Brand blue</w:t>
            </w:r>
          </w:p>
        </w:tc>
        <w:tc>
          <w:tcPr>
            <w:tcW w:type="dxa" w:w="5083"/>
            <w:tcMar>
              <w:top w:w="100" w:type="dxa"/>
              <w:start w:w="120" w:type="dxa"/>
              <w:bottom w:w="100" w:type="dxa"/>
              <w:end w:w="120" w:type="dxa"/>
            </w:tcMar>
            <w:vAlign w:val="center"/>
          </w:tcPr>
          <w:p>
            <w:r>
              <w:t>Not a replacement for semantic status colors; use blue primarily for action, navigation and intelligence.</w:t>
            </w:r>
          </w:p>
        </w:tc>
      </w:tr>
    </w:tbl>
    <w:p>
      <w:pPr>
        <w:pStyle w:val="Heading1"/>
        <w:keepNext/>
      </w:pPr>
      <w:r>
        <w:rPr>
          <w:color w:val="013948"/>
        </w:rPr>
        <w:t>08. Typography</w:t>
      </w:r>
    </w:p>
    <w:p>
      <w:pPr>
        <w:jc w:val="center"/>
      </w:pPr>
      <w:r>
        <w:drawing>
          <wp:inline xmlns:a="http://schemas.openxmlformats.org/drawingml/2006/main" xmlns:pic="http://schemas.openxmlformats.org/drawingml/2006/picture">
            <wp:extent cx="6309360" cy="804987"/>
            <wp:docPr id="11" name="Picture 11"/>
            <wp:cNvGraphicFramePr>
              <a:graphicFrameLocks noChangeAspect="1"/>
            </wp:cNvGraphicFramePr>
            <a:graphic>
              <a:graphicData uri="http://schemas.openxmlformats.org/drawingml/2006/picture">
                <pic:pic>
                  <pic:nvPicPr>
                    <pic:cNvPr id="0" name="color_typography_mantra.png"/>
                    <pic:cNvPicPr/>
                  </pic:nvPicPr>
                  <pic:blipFill>
                    <a:blip r:embed="rId20"/>
                    <a:stretch>
                      <a:fillRect/>
                    </a:stretch>
                  </pic:blipFill>
                  <pic:spPr>
                    <a:xfrm>
                      <a:off x="0" y="0"/>
                      <a:ext cx="6309360" cy="804987"/>
                    </a:xfrm>
                    <a:prstGeom prst="rect"/>
                  </pic:spPr>
                </pic:pic>
              </a:graphicData>
            </a:graphic>
          </wp:inline>
        </w:drawing>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Typeface</w:t>
            </w:r>
          </w:p>
        </w:tc>
        <w:tc>
          <w:tcPr>
            <w:tcW w:type="dxa" w:w="5083"/>
            <w:tcMar>
              <w:top w:w="100" w:type="dxa"/>
              <w:start w:w="120" w:type="dxa"/>
              <w:bottom w:w="100" w:type="dxa"/>
              <w:end w:w="120" w:type="dxa"/>
            </w:tcMar>
            <w:vAlign w:val="center"/>
          </w:tcPr>
          <w:p>
            <w:r>
              <w:t>Inter</w:t>
            </w:r>
          </w:p>
        </w:tc>
      </w:tr>
      <w:tr>
        <w:tc>
          <w:tcPr>
            <w:tcW w:type="dxa" w:w="5083"/>
            <w:shd w:fill="F4F9FC"/>
            <w:tcMar>
              <w:top w:w="100" w:type="dxa"/>
              <w:start w:w="120" w:type="dxa"/>
              <w:bottom w:w="100" w:type="dxa"/>
              <w:end w:w="120" w:type="dxa"/>
            </w:tcMar>
            <w:vAlign w:val="center"/>
          </w:tcPr>
          <w:p>
            <w:r>
              <w:t>Display / hero</w:t>
            </w:r>
          </w:p>
        </w:tc>
        <w:tc>
          <w:tcPr>
            <w:tcW w:type="dxa" w:w="5083"/>
            <w:tcMar>
              <w:top w:w="100" w:type="dxa"/>
              <w:start w:w="120" w:type="dxa"/>
              <w:bottom w:w="100" w:type="dxa"/>
              <w:end w:w="120" w:type="dxa"/>
            </w:tcMar>
            <w:vAlign w:val="center"/>
          </w:tcPr>
          <w:p>
            <w:r>
              <w:t>Inter Bold / ExtraBold; strong hierarchy, short lines and confident scale.</w:t>
            </w:r>
          </w:p>
        </w:tc>
      </w:tr>
      <w:tr>
        <w:tc>
          <w:tcPr>
            <w:tcW w:type="dxa" w:w="5083"/>
            <w:shd w:fill="F4F9FC"/>
            <w:tcMar>
              <w:top w:w="100" w:type="dxa"/>
              <w:start w:w="120" w:type="dxa"/>
              <w:bottom w:w="100" w:type="dxa"/>
              <w:end w:w="120" w:type="dxa"/>
            </w:tcMar>
            <w:vAlign w:val="center"/>
          </w:tcPr>
          <w:p>
            <w:r>
              <w:t>Subheadings</w:t>
            </w:r>
          </w:p>
        </w:tc>
        <w:tc>
          <w:tcPr>
            <w:tcW w:type="dxa" w:w="5083"/>
            <w:tcMar>
              <w:top w:w="100" w:type="dxa"/>
              <w:start w:w="120" w:type="dxa"/>
              <w:bottom w:w="100" w:type="dxa"/>
              <w:end w:w="120" w:type="dxa"/>
            </w:tcMar>
            <w:vAlign w:val="center"/>
          </w:tcPr>
          <w:p>
            <w:r>
              <w:t>Inter Semibold.</w:t>
            </w:r>
          </w:p>
        </w:tc>
      </w:tr>
      <w:tr>
        <w:tc>
          <w:tcPr>
            <w:tcW w:type="dxa" w:w="5083"/>
            <w:shd w:fill="F4F9FC"/>
            <w:tcMar>
              <w:top w:w="100" w:type="dxa"/>
              <w:start w:w="120" w:type="dxa"/>
              <w:bottom w:w="100" w:type="dxa"/>
              <w:end w:w="120" w:type="dxa"/>
            </w:tcMar>
            <w:vAlign w:val="center"/>
          </w:tcPr>
          <w:p>
            <w:r>
              <w:t>Body</w:t>
            </w:r>
          </w:p>
        </w:tc>
        <w:tc>
          <w:tcPr>
            <w:tcW w:type="dxa" w:w="5083"/>
            <w:tcMar>
              <w:top w:w="100" w:type="dxa"/>
              <w:start w:w="120" w:type="dxa"/>
              <w:bottom w:w="100" w:type="dxa"/>
              <w:end w:w="120" w:type="dxa"/>
            </w:tcMar>
            <w:vAlign w:val="center"/>
          </w:tcPr>
          <w:p>
            <w:r>
              <w:t>Inter Regular / Medium.</w:t>
            </w:r>
          </w:p>
        </w:tc>
      </w:tr>
      <w:tr>
        <w:tc>
          <w:tcPr>
            <w:tcW w:type="dxa" w:w="5083"/>
            <w:shd w:fill="F4F9FC"/>
            <w:tcMar>
              <w:top w:w="100" w:type="dxa"/>
              <w:start w:w="120" w:type="dxa"/>
              <w:bottom w:w="100" w:type="dxa"/>
              <w:end w:w="120" w:type="dxa"/>
            </w:tcMar>
            <w:vAlign w:val="center"/>
          </w:tcPr>
          <w:p>
            <w:r>
              <w:t>Numbers / financial figures</w:t>
            </w:r>
          </w:p>
        </w:tc>
        <w:tc>
          <w:tcPr>
            <w:tcW w:type="dxa" w:w="5083"/>
            <w:tcMar>
              <w:top w:w="100" w:type="dxa"/>
              <w:start w:w="120" w:type="dxa"/>
              <w:bottom w:w="100" w:type="dxa"/>
              <w:end w:w="120" w:type="dxa"/>
            </w:tcMar>
            <w:vAlign w:val="center"/>
          </w:tcPr>
          <w:p>
            <w:r>
              <w:t>Inter Semibold / Bold with tabular numerals where supported.</w:t>
            </w:r>
          </w:p>
        </w:tc>
      </w:tr>
      <w:tr>
        <w:tc>
          <w:tcPr>
            <w:tcW w:type="dxa" w:w="5083"/>
            <w:shd w:fill="F4F9FC"/>
            <w:tcMar>
              <w:top w:w="100" w:type="dxa"/>
              <w:start w:w="120" w:type="dxa"/>
              <w:bottom w:w="100" w:type="dxa"/>
              <w:end w:w="120" w:type="dxa"/>
            </w:tcMar>
            <w:vAlign w:val="center"/>
          </w:tcPr>
          <w:p>
            <w:r>
              <w:t>Fallback</w:t>
            </w:r>
          </w:p>
        </w:tc>
        <w:tc>
          <w:tcPr>
            <w:tcW w:type="dxa" w:w="5083"/>
            <w:tcMar>
              <w:top w:w="100" w:type="dxa"/>
              <w:start w:w="120" w:type="dxa"/>
              <w:bottom w:w="100" w:type="dxa"/>
              <w:end w:w="120" w:type="dxa"/>
            </w:tcMar>
            <w:vAlign w:val="center"/>
          </w:tcPr>
          <w:p>
            <w:r>
              <w:t>Use a platform-safe sans-serif fallback only when Inter cannot be delivered; do not introduce a decorative display face.</w:t>
            </w:r>
          </w:p>
        </w:tc>
      </w:tr>
    </w:tbl>
    <w:p>
      <w:pPr>
        <w:pStyle w:val="Heading2"/>
      </w:pPr>
      <w:r>
        <w:t>Recommended hierarchy</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H1</w:t>
            </w:r>
          </w:p>
        </w:tc>
        <w:tc>
          <w:tcPr>
            <w:tcW w:type="dxa" w:w="5083"/>
            <w:tcMar>
              <w:top w:w="100" w:type="dxa"/>
              <w:start w:w="120" w:type="dxa"/>
              <w:bottom w:w="100" w:type="dxa"/>
              <w:end w:w="120" w:type="dxa"/>
            </w:tcMar>
            <w:vAlign w:val="center"/>
          </w:tcPr>
          <w:p>
            <w:r>
              <w:t>Large, decisive, outcome-led. Avoid long feature lists in hero headlines.</w:t>
            </w:r>
          </w:p>
        </w:tc>
      </w:tr>
      <w:tr>
        <w:tc>
          <w:tcPr>
            <w:tcW w:type="dxa" w:w="5083"/>
            <w:shd w:fill="F4F9FC"/>
            <w:tcMar>
              <w:top w:w="100" w:type="dxa"/>
              <w:start w:w="120" w:type="dxa"/>
              <w:bottom w:w="100" w:type="dxa"/>
              <w:end w:w="120" w:type="dxa"/>
            </w:tcMar>
            <w:vAlign w:val="center"/>
          </w:tcPr>
          <w:p>
            <w:r>
              <w:t>H2</w:t>
            </w:r>
          </w:p>
        </w:tc>
        <w:tc>
          <w:tcPr>
            <w:tcW w:type="dxa" w:w="5083"/>
            <w:tcMar>
              <w:top w:w="100" w:type="dxa"/>
              <w:start w:w="120" w:type="dxa"/>
              <w:bottom w:w="100" w:type="dxa"/>
              <w:end w:w="120" w:type="dxa"/>
            </w:tcMar>
            <w:vAlign w:val="center"/>
          </w:tcPr>
          <w:p>
            <w:r>
              <w:t>Clear section promise or capability.</w:t>
            </w:r>
          </w:p>
        </w:tc>
      </w:tr>
      <w:tr>
        <w:tc>
          <w:tcPr>
            <w:tcW w:type="dxa" w:w="5083"/>
            <w:shd w:fill="F4F9FC"/>
            <w:tcMar>
              <w:top w:w="100" w:type="dxa"/>
              <w:start w:w="120" w:type="dxa"/>
              <w:bottom w:w="100" w:type="dxa"/>
              <w:end w:w="120" w:type="dxa"/>
            </w:tcMar>
            <w:vAlign w:val="center"/>
          </w:tcPr>
          <w:p>
            <w:r>
              <w:t>Body</w:t>
            </w:r>
          </w:p>
        </w:tc>
        <w:tc>
          <w:tcPr>
            <w:tcW w:type="dxa" w:w="5083"/>
            <w:tcMar>
              <w:top w:w="100" w:type="dxa"/>
              <w:start w:w="120" w:type="dxa"/>
              <w:bottom w:w="100" w:type="dxa"/>
              <w:end w:w="120" w:type="dxa"/>
            </w:tcMar>
            <w:vAlign w:val="center"/>
          </w:tcPr>
          <w:p>
            <w:r>
              <w:t>Short paragraphs, generous line height, readable measure.</w:t>
            </w:r>
          </w:p>
        </w:tc>
      </w:tr>
      <w:tr>
        <w:tc>
          <w:tcPr>
            <w:tcW w:type="dxa" w:w="5083"/>
            <w:shd w:fill="F4F9FC"/>
            <w:tcMar>
              <w:top w:w="100" w:type="dxa"/>
              <w:start w:w="120" w:type="dxa"/>
              <w:bottom w:w="100" w:type="dxa"/>
              <w:end w:w="120" w:type="dxa"/>
            </w:tcMar>
            <w:vAlign w:val="center"/>
          </w:tcPr>
          <w:p>
            <w:r>
              <w:t>UI labels</w:t>
            </w:r>
          </w:p>
        </w:tc>
        <w:tc>
          <w:tcPr>
            <w:tcW w:type="dxa" w:w="5083"/>
            <w:tcMar>
              <w:top w:w="100" w:type="dxa"/>
              <w:start w:w="120" w:type="dxa"/>
              <w:bottom w:w="100" w:type="dxa"/>
              <w:end w:w="120" w:type="dxa"/>
            </w:tcMar>
            <w:vAlign w:val="center"/>
          </w:tcPr>
          <w:p>
            <w:r>
              <w:t>Concise, action-oriented, consistent capitalization.</w:t>
            </w:r>
          </w:p>
        </w:tc>
      </w:tr>
      <w:tr>
        <w:tc>
          <w:tcPr>
            <w:tcW w:type="dxa" w:w="5083"/>
            <w:shd w:fill="F4F9FC"/>
            <w:tcMar>
              <w:top w:w="100" w:type="dxa"/>
              <w:start w:w="120" w:type="dxa"/>
              <w:bottom w:w="100" w:type="dxa"/>
              <w:end w:w="120" w:type="dxa"/>
            </w:tcMar>
            <w:vAlign w:val="center"/>
          </w:tcPr>
          <w:p>
            <w:r>
              <w:t>Data</w:t>
            </w:r>
          </w:p>
        </w:tc>
        <w:tc>
          <w:tcPr>
            <w:tcW w:type="dxa" w:w="5083"/>
            <w:tcMar>
              <w:top w:w="100" w:type="dxa"/>
              <w:start w:w="120" w:type="dxa"/>
              <w:bottom w:w="100" w:type="dxa"/>
              <w:end w:w="120" w:type="dxa"/>
            </w:tcMar>
            <w:vAlign w:val="center"/>
          </w:tcPr>
          <w:p>
            <w:r>
              <w:t>Tabular numerals where comparison and financial scanning matter.</w:t>
            </w:r>
          </w:p>
        </w:tc>
      </w:tr>
    </w:tbl>
    <w:p>
      <w:pPr>
        <w:pStyle w:val="Heading1"/>
        <w:keepNext/>
      </w:pPr>
      <w:r>
        <w:rPr>
          <w:color w:val="013948"/>
        </w:rPr>
        <w:t>09. Layout, UI &amp; Digital Experience</w:t>
      </w:r>
    </w:p>
    <w:p>
      <w:pPr>
        <w:pStyle w:val="ListBullet"/>
      </w:pPr>
      <w:r>
        <w:t>Use white/cloud surfaces with deep-teal text and electric-blue actions as the default product language.</w:t>
      </w:r>
    </w:p>
    <w:p>
      <w:pPr>
        <w:pStyle w:val="ListBullet"/>
      </w:pPr>
      <w:r>
        <w:t>Use blue as a signal of action and intelligence—not as decoration everywhere.</w:t>
      </w:r>
    </w:p>
    <w:p>
      <w:pPr>
        <w:pStyle w:val="ListBullet"/>
      </w:pPr>
      <w:r>
        <w:t>Build clear hierarchy with generous spacing, strong alignment and short labels.</w:t>
      </w:r>
    </w:p>
    <w:p>
      <w:pPr>
        <w:pStyle w:val="ListBullet"/>
      </w:pPr>
      <w:r>
        <w:t>Keep interaction states consistent across Web and Mobile: default, hover/focus, pressed, disabled, loading, success, warning and error.</w:t>
      </w:r>
    </w:p>
    <w:p>
      <w:pPr>
        <w:pStyle w:val="ListBullet"/>
      </w:pPr>
      <w:r>
        <w:t>Use one coherent icon family across platforms wherever practical.</w:t>
      </w:r>
    </w:p>
    <w:p>
      <w:pPr>
        <w:pStyle w:val="ListBullet"/>
      </w:pPr>
      <w:r>
        <w:t>Design accessibility into the brand: readable contrast, visible focus, scalable text and appropriate mobile touch targets.</w:t>
      </w:r>
    </w:p>
    <w:p>
      <w:pPr>
        <w:pStyle w:val="ListBullet"/>
      </w:pPr>
      <w:r>
        <w:t>Prefer authentic product screenshots and current UI; never show fake metrics, unavailable capabilities or misleading interface states.</w:t>
      </w:r>
    </w:p>
    <w:p>
      <w:pPr>
        <w:pStyle w:val="Heading2"/>
      </w:pPr>
      <w:r>
        <w:t>Digital brand tokens</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Primary action</w:t>
            </w:r>
          </w:p>
        </w:tc>
        <w:tc>
          <w:tcPr>
            <w:tcW w:type="dxa" w:w="5083"/>
            <w:tcMar>
              <w:top w:w="100" w:type="dxa"/>
              <w:start w:w="120" w:type="dxa"/>
              <w:bottom w:w="100" w:type="dxa"/>
              <w:end w:w="120" w:type="dxa"/>
            </w:tcMar>
            <w:vAlign w:val="center"/>
          </w:tcPr>
          <w:p>
            <w:r>
              <w:t>Nobevra Blue #01A0E2.</w:t>
            </w:r>
          </w:p>
        </w:tc>
      </w:tr>
      <w:tr>
        <w:tc>
          <w:tcPr>
            <w:tcW w:type="dxa" w:w="5083"/>
            <w:shd w:fill="F4F9FC"/>
            <w:tcMar>
              <w:top w:w="100" w:type="dxa"/>
              <w:start w:w="120" w:type="dxa"/>
              <w:bottom w:w="100" w:type="dxa"/>
              <w:end w:w="120" w:type="dxa"/>
            </w:tcMar>
            <w:vAlign w:val="center"/>
          </w:tcPr>
          <w:p>
            <w:r>
              <w:t>Primary dark</w:t>
            </w:r>
          </w:p>
        </w:tc>
        <w:tc>
          <w:tcPr>
            <w:tcW w:type="dxa" w:w="5083"/>
            <w:tcMar>
              <w:top w:w="100" w:type="dxa"/>
              <w:start w:w="120" w:type="dxa"/>
              <w:bottom w:w="100" w:type="dxa"/>
              <w:end w:w="120" w:type="dxa"/>
            </w:tcMar>
            <w:vAlign w:val="center"/>
          </w:tcPr>
          <w:p>
            <w:r>
              <w:t>Nobevra Navy #013948.</w:t>
            </w:r>
          </w:p>
        </w:tc>
      </w:tr>
      <w:tr>
        <w:tc>
          <w:tcPr>
            <w:tcW w:type="dxa" w:w="5083"/>
            <w:shd w:fill="F4F9FC"/>
            <w:tcMar>
              <w:top w:w="100" w:type="dxa"/>
              <w:start w:w="120" w:type="dxa"/>
              <w:bottom w:w="100" w:type="dxa"/>
              <w:end w:w="120" w:type="dxa"/>
            </w:tcMar>
            <w:vAlign w:val="center"/>
          </w:tcPr>
          <w:p>
            <w:r>
              <w:t>Surface</w:t>
            </w:r>
          </w:p>
        </w:tc>
        <w:tc>
          <w:tcPr>
            <w:tcW w:type="dxa" w:w="5083"/>
            <w:tcMar>
              <w:top w:w="100" w:type="dxa"/>
              <w:start w:w="120" w:type="dxa"/>
              <w:bottom w:w="100" w:type="dxa"/>
              <w:end w:w="120" w:type="dxa"/>
            </w:tcMar>
            <w:vAlign w:val="center"/>
          </w:tcPr>
          <w:p>
            <w:r>
              <w:t>White #FFFFFF / Cloud #F4F9FC.</w:t>
            </w:r>
          </w:p>
        </w:tc>
      </w:tr>
      <w:tr>
        <w:tc>
          <w:tcPr>
            <w:tcW w:type="dxa" w:w="5083"/>
            <w:shd w:fill="F4F9FC"/>
            <w:tcMar>
              <w:top w:w="100" w:type="dxa"/>
              <w:start w:w="120" w:type="dxa"/>
              <w:bottom w:w="100" w:type="dxa"/>
              <w:end w:w="120" w:type="dxa"/>
            </w:tcMar>
            <w:vAlign w:val="center"/>
          </w:tcPr>
          <w:p>
            <w:r>
              <w:t>Text</w:t>
            </w:r>
          </w:p>
        </w:tc>
        <w:tc>
          <w:tcPr>
            <w:tcW w:type="dxa" w:w="5083"/>
            <w:tcMar>
              <w:top w:w="100" w:type="dxa"/>
              <w:start w:w="120" w:type="dxa"/>
              <w:bottom w:w="100" w:type="dxa"/>
              <w:end w:w="120" w:type="dxa"/>
            </w:tcMar>
            <w:vAlign w:val="center"/>
          </w:tcPr>
          <w:p>
            <w:r>
              <w:t>Ink #0B1720 for maximum readability.</w:t>
            </w:r>
          </w:p>
        </w:tc>
      </w:tr>
      <w:tr>
        <w:tc>
          <w:tcPr>
            <w:tcW w:type="dxa" w:w="5083"/>
            <w:shd w:fill="F4F9FC"/>
            <w:tcMar>
              <w:top w:w="100" w:type="dxa"/>
              <w:start w:w="120" w:type="dxa"/>
              <w:bottom w:w="100" w:type="dxa"/>
              <w:end w:w="120" w:type="dxa"/>
            </w:tcMar>
            <w:vAlign w:val="center"/>
          </w:tcPr>
          <w:p>
            <w:r>
              <w:t>Accent</w:t>
            </w:r>
          </w:p>
        </w:tc>
        <w:tc>
          <w:tcPr>
            <w:tcW w:type="dxa" w:w="5083"/>
            <w:tcMar>
              <w:top w:w="100" w:type="dxa"/>
              <w:start w:w="120" w:type="dxa"/>
              <w:bottom w:w="100" w:type="dxa"/>
              <w:end w:w="120" w:type="dxa"/>
            </w:tcMar>
            <w:vAlign w:val="center"/>
          </w:tcPr>
          <w:p>
            <w:r>
              <w:t>Nobevra Cyan #00C7F2 used sparingly.</w:t>
            </w:r>
          </w:p>
        </w:tc>
      </w:tr>
      <w:tr>
        <w:tc>
          <w:tcPr>
            <w:tcW w:type="dxa" w:w="5083"/>
            <w:shd w:fill="F4F9FC"/>
            <w:tcMar>
              <w:top w:w="100" w:type="dxa"/>
              <w:start w:w="120" w:type="dxa"/>
              <w:bottom w:w="100" w:type="dxa"/>
              <w:end w:w="120" w:type="dxa"/>
            </w:tcMar>
            <w:vAlign w:val="center"/>
          </w:tcPr>
          <w:p>
            <w:r>
              <w:t>Corner language</w:t>
            </w:r>
          </w:p>
        </w:tc>
        <w:tc>
          <w:tcPr>
            <w:tcW w:type="dxa" w:w="5083"/>
            <w:tcMar>
              <w:top w:w="100" w:type="dxa"/>
              <w:start w:w="120" w:type="dxa"/>
              <w:bottom w:w="100" w:type="dxa"/>
              <w:end w:w="120" w:type="dxa"/>
            </w:tcMar>
            <w:vAlign w:val="center"/>
          </w:tcPr>
          <w:p>
            <w:r>
              <w:t>Use restrained, consistent radii; avoid excessive pill-shaped UI unless functionally justified.</w:t>
            </w:r>
          </w:p>
        </w:tc>
      </w:tr>
      <w:tr>
        <w:tc>
          <w:tcPr>
            <w:tcW w:type="dxa" w:w="5083"/>
            <w:shd w:fill="F4F9FC"/>
            <w:tcMar>
              <w:top w:w="100" w:type="dxa"/>
              <w:start w:w="120" w:type="dxa"/>
              <w:bottom w:w="100" w:type="dxa"/>
              <w:end w:w="120" w:type="dxa"/>
            </w:tcMar>
            <w:vAlign w:val="center"/>
          </w:tcPr>
          <w:p>
            <w:r>
              <w:t>Density</w:t>
            </w:r>
          </w:p>
        </w:tc>
        <w:tc>
          <w:tcPr>
            <w:tcW w:type="dxa" w:w="5083"/>
            <w:tcMar>
              <w:top w:w="100" w:type="dxa"/>
              <w:start w:w="120" w:type="dxa"/>
              <w:bottom w:w="100" w:type="dxa"/>
              <w:end w:w="120" w:type="dxa"/>
            </w:tcMar>
            <w:vAlign w:val="center"/>
          </w:tcPr>
          <w:p>
            <w:r>
              <w:t>Information-rich but calm. Financial/productivity interfaces should feel efficient, not crowded.</w:t>
            </w:r>
          </w:p>
        </w:tc>
      </w:tr>
    </w:tbl>
    <w:p>
      <w:pPr>
        <w:pStyle w:val="Heading1"/>
        <w:keepNext/>
      </w:pPr>
      <w:r>
        <w:rPr>
          <w:color w:val="013948"/>
        </w:rPr>
        <w:t>10. Imagery, Illustration &amp; Motion</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People</w:t>
            </w:r>
          </w:p>
        </w:tc>
        <w:tc>
          <w:tcPr>
            <w:tcW w:type="dxa" w:w="5083"/>
            <w:tcMar>
              <w:top w:w="100" w:type="dxa"/>
              <w:start w:w="120" w:type="dxa"/>
              <w:bottom w:w="100" w:type="dxa"/>
              <w:end w:w="120" w:type="dxa"/>
            </w:tcMar>
            <w:vAlign w:val="center"/>
          </w:tcPr>
          <w:p>
            <w:r>
              <w:t>Show real business contexts across regions, genders, ages and business types without stereotypes.</w:t>
            </w:r>
          </w:p>
        </w:tc>
      </w:tr>
      <w:tr>
        <w:tc>
          <w:tcPr>
            <w:tcW w:type="dxa" w:w="5083"/>
            <w:shd w:fill="F4F9FC"/>
            <w:tcMar>
              <w:top w:w="100" w:type="dxa"/>
              <w:start w:w="120" w:type="dxa"/>
              <w:bottom w:w="100" w:type="dxa"/>
              <w:end w:w="120" w:type="dxa"/>
            </w:tcMar>
            <w:vAlign w:val="center"/>
          </w:tcPr>
          <w:p>
            <w:r>
              <w:t>Workspaces</w:t>
            </w:r>
          </w:p>
        </w:tc>
        <w:tc>
          <w:tcPr>
            <w:tcW w:type="dxa" w:w="5083"/>
            <w:tcMar>
              <w:top w:w="100" w:type="dxa"/>
              <w:start w:w="120" w:type="dxa"/>
              <w:bottom w:w="100" w:type="dxa"/>
              <w:end w:w="120" w:type="dxa"/>
            </w:tcMar>
            <w:vAlign w:val="center"/>
          </w:tcPr>
          <w:p>
            <w:r>
              <w:t>Clean, modern and believable; restrained teal/blue accents should echo the product.</w:t>
            </w:r>
          </w:p>
        </w:tc>
      </w:tr>
      <w:tr>
        <w:tc>
          <w:tcPr>
            <w:tcW w:type="dxa" w:w="5083"/>
            <w:shd w:fill="F4F9FC"/>
            <w:tcMar>
              <w:top w:w="100" w:type="dxa"/>
              <w:start w:w="120" w:type="dxa"/>
              <w:bottom w:w="100" w:type="dxa"/>
              <w:end w:w="120" w:type="dxa"/>
            </w:tcMar>
            <w:vAlign w:val="center"/>
          </w:tcPr>
          <w:p>
            <w:r>
              <w:t>Product screenshots</w:t>
            </w:r>
          </w:p>
        </w:tc>
        <w:tc>
          <w:tcPr>
            <w:tcW w:type="dxa" w:w="5083"/>
            <w:tcMar>
              <w:top w:w="100" w:type="dxa"/>
              <w:start w:w="120" w:type="dxa"/>
              <w:bottom w:w="100" w:type="dxa"/>
              <w:end w:w="120" w:type="dxa"/>
            </w:tcMar>
            <w:vAlign w:val="center"/>
          </w:tcPr>
          <w:p>
            <w:r>
              <w:t>Authentic, current and traceable to actual product capabilities.</w:t>
            </w:r>
          </w:p>
        </w:tc>
      </w:tr>
      <w:tr>
        <w:tc>
          <w:tcPr>
            <w:tcW w:type="dxa" w:w="5083"/>
            <w:shd w:fill="F4F9FC"/>
            <w:tcMar>
              <w:top w:w="100" w:type="dxa"/>
              <w:start w:w="120" w:type="dxa"/>
              <w:bottom w:w="100" w:type="dxa"/>
              <w:end w:w="120" w:type="dxa"/>
            </w:tcMar>
            <w:vAlign w:val="center"/>
          </w:tcPr>
          <w:p>
            <w:r>
              <w:t>Illustration</w:t>
            </w:r>
          </w:p>
        </w:tc>
        <w:tc>
          <w:tcPr>
            <w:tcW w:type="dxa" w:w="5083"/>
            <w:tcMar>
              <w:top w:w="100" w:type="dxa"/>
              <w:start w:w="120" w:type="dxa"/>
              <w:bottom w:w="100" w:type="dxa"/>
              <w:end w:w="120" w:type="dxa"/>
            </w:tcMar>
            <w:vAlign w:val="center"/>
          </w:tcPr>
          <w:p>
            <w:r>
              <w:t>Simple, geometric and functional; avoid competing with the logo's connected-structure language.</w:t>
            </w:r>
          </w:p>
        </w:tc>
      </w:tr>
      <w:tr>
        <w:tc>
          <w:tcPr>
            <w:tcW w:type="dxa" w:w="5083"/>
            <w:shd w:fill="F4F9FC"/>
            <w:tcMar>
              <w:top w:w="100" w:type="dxa"/>
              <w:start w:w="120" w:type="dxa"/>
              <w:bottom w:w="100" w:type="dxa"/>
              <w:end w:w="120" w:type="dxa"/>
            </w:tcMar>
            <w:vAlign w:val="center"/>
          </w:tcPr>
          <w:p>
            <w:r>
              <w:t>Photography</w:t>
            </w:r>
          </w:p>
        </w:tc>
        <w:tc>
          <w:tcPr>
            <w:tcW w:type="dxa" w:w="5083"/>
            <w:tcMar>
              <w:top w:w="100" w:type="dxa"/>
              <w:start w:w="120" w:type="dxa"/>
              <w:bottom w:w="100" w:type="dxa"/>
              <w:end w:w="120" w:type="dxa"/>
            </w:tcMar>
            <w:vAlign w:val="center"/>
          </w:tcPr>
          <w:p>
            <w:r>
              <w:t>Natural light, credible business moments, human confidence rather than staged corporate perfection.</w:t>
            </w:r>
          </w:p>
        </w:tc>
      </w:tr>
      <w:tr>
        <w:tc>
          <w:tcPr>
            <w:tcW w:type="dxa" w:w="5083"/>
            <w:shd w:fill="F4F9FC"/>
            <w:tcMar>
              <w:top w:w="100" w:type="dxa"/>
              <w:start w:w="120" w:type="dxa"/>
              <w:bottom w:w="100" w:type="dxa"/>
              <w:end w:w="120" w:type="dxa"/>
            </w:tcMar>
            <w:vAlign w:val="center"/>
          </w:tcPr>
          <w:p>
            <w:r>
              <w:t>Motion</w:t>
            </w:r>
          </w:p>
        </w:tc>
        <w:tc>
          <w:tcPr>
            <w:tcW w:type="dxa" w:w="5083"/>
            <w:tcMar>
              <w:top w:w="100" w:type="dxa"/>
              <w:start w:w="120" w:type="dxa"/>
              <w:bottom w:w="100" w:type="dxa"/>
              <w:end w:w="120" w:type="dxa"/>
            </w:tcMar>
            <w:vAlign w:val="center"/>
          </w:tcPr>
          <w:p>
            <w:r>
              <w:t>Fast, precise and purposeful. Favor subtle transitions, connected flows and progress metaphors.</w:t>
            </w:r>
          </w:p>
        </w:tc>
      </w:tr>
      <w:tr>
        <w:tc>
          <w:tcPr>
            <w:tcW w:type="dxa" w:w="5083"/>
            <w:shd w:fill="F4F9FC"/>
            <w:tcMar>
              <w:top w:w="100" w:type="dxa"/>
              <w:start w:w="120" w:type="dxa"/>
              <w:bottom w:w="100" w:type="dxa"/>
              <w:end w:w="120" w:type="dxa"/>
            </w:tcMar>
            <w:vAlign w:val="center"/>
          </w:tcPr>
          <w:p>
            <w:r>
              <w:t>Campaign thumbnails</w:t>
            </w:r>
          </w:p>
        </w:tc>
        <w:tc>
          <w:tcPr>
            <w:tcW w:type="dxa" w:w="5083"/>
            <w:tcMar>
              <w:top w:w="100" w:type="dxa"/>
              <w:start w:w="120" w:type="dxa"/>
              <w:bottom w:w="100" w:type="dxa"/>
              <w:end w:w="120" w:type="dxa"/>
            </w:tcMar>
            <w:vAlign w:val="center"/>
          </w:tcPr>
          <w:p>
            <w:r>
              <w:t>One dominant idea, 3–6 words of high-impact text, strong contrast and an unmistakable Nobevra cue.</w:t>
            </w:r>
          </w:p>
        </w:tc>
      </w:tr>
    </w:tbl>
    <w:p>
      <w:r>
        <w:t>Do not make one recurring human model the permanent face of Nobevra. Campaign people are campaign assets; the product identity remains the brand.</w:t>
      </w:r>
    </w:p>
    <w:p>
      <w:pPr>
        <w:pStyle w:val="Heading1"/>
        <w:keepNext/>
      </w:pPr>
      <w:r>
        <w:rPr>
          <w:color w:val="013948"/>
        </w:rPr>
        <w:t>11. Verbal Identity &amp; Voice</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Intelligent</w:t>
            </w:r>
          </w:p>
        </w:tc>
        <w:tc>
          <w:tcPr>
            <w:tcW w:type="dxa" w:w="5083"/>
            <w:tcMar>
              <w:top w:w="100" w:type="dxa"/>
              <w:start w:w="120" w:type="dxa"/>
              <w:bottom w:w="100" w:type="dxa"/>
              <w:end w:w="120" w:type="dxa"/>
            </w:tcMar>
            <w:vAlign w:val="center"/>
          </w:tcPr>
          <w:p>
            <w:r>
              <w:t>Clear, confident and practical; avoid jargon-heavy language.</w:t>
            </w:r>
          </w:p>
        </w:tc>
      </w:tr>
      <w:tr>
        <w:tc>
          <w:tcPr>
            <w:tcW w:type="dxa" w:w="5083"/>
            <w:shd w:fill="F4F9FC"/>
            <w:tcMar>
              <w:top w:w="100" w:type="dxa"/>
              <w:start w:w="120" w:type="dxa"/>
              <w:bottom w:w="100" w:type="dxa"/>
              <w:end w:w="120" w:type="dxa"/>
            </w:tcMar>
            <w:vAlign w:val="center"/>
          </w:tcPr>
          <w:p>
            <w:r>
              <w:t>Professional</w:t>
            </w:r>
          </w:p>
        </w:tc>
        <w:tc>
          <w:tcPr>
            <w:tcW w:type="dxa" w:w="5083"/>
            <w:tcMar>
              <w:top w:w="100" w:type="dxa"/>
              <w:start w:w="120" w:type="dxa"/>
              <w:bottom w:w="100" w:type="dxa"/>
              <w:end w:w="120" w:type="dxa"/>
            </w:tcMar>
            <w:vAlign w:val="center"/>
          </w:tcPr>
          <w:p>
            <w:r>
              <w:t>Precise and trustworthy; avoid corporate stiffness.</w:t>
            </w:r>
          </w:p>
        </w:tc>
      </w:tr>
      <w:tr>
        <w:tc>
          <w:tcPr>
            <w:tcW w:type="dxa" w:w="5083"/>
            <w:shd w:fill="F4F9FC"/>
            <w:tcMar>
              <w:top w:w="100" w:type="dxa"/>
              <w:start w:w="120" w:type="dxa"/>
              <w:bottom w:w="100" w:type="dxa"/>
              <w:end w:w="120" w:type="dxa"/>
            </w:tcMar>
            <w:vAlign w:val="center"/>
          </w:tcPr>
          <w:p>
            <w:r>
              <w:t>Empowering</w:t>
            </w:r>
          </w:p>
        </w:tc>
        <w:tc>
          <w:tcPr>
            <w:tcW w:type="dxa" w:w="5083"/>
            <w:tcMar>
              <w:top w:w="100" w:type="dxa"/>
              <w:start w:w="120" w:type="dxa"/>
              <w:bottom w:w="100" w:type="dxa"/>
              <w:end w:w="120" w:type="dxa"/>
            </w:tcMar>
            <w:vAlign w:val="center"/>
          </w:tcPr>
          <w:p>
            <w:r>
              <w:t>Action-oriented and encouraging; avoid pressure tactics.</w:t>
            </w:r>
          </w:p>
        </w:tc>
      </w:tr>
      <w:tr>
        <w:tc>
          <w:tcPr>
            <w:tcW w:type="dxa" w:w="5083"/>
            <w:shd w:fill="F4F9FC"/>
            <w:tcMar>
              <w:top w:w="100" w:type="dxa"/>
              <w:start w:w="120" w:type="dxa"/>
              <w:bottom w:w="100" w:type="dxa"/>
              <w:end w:w="120" w:type="dxa"/>
            </w:tcMar>
            <w:vAlign w:val="center"/>
          </w:tcPr>
          <w:p>
            <w:r>
              <w:t>Modern</w:t>
            </w:r>
          </w:p>
        </w:tc>
        <w:tc>
          <w:tcPr>
            <w:tcW w:type="dxa" w:w="5083"/>
            <w:tcMar>
              <w:top w:w="100" w:type="dxa"/>
              <w:start w:w="120" w:type="dxa"/>
              <w:bottom w:w="100" w:type="dxa"/>
              <w:end w:w="120" w:type="dxa"/>
            </w:tcMar>
            <w:vAlign w:val="center"/>
          </w:tcPr>
          <w:p>
            <w:r>
              <w:t>Simple, crisp and digital-first; avoid trend-chasing slang.</w:t>
            </w:r>
          </w:p>
        </w:tc>
      </w:tr>
      <w:tr>
        <w:tc>
          <w:tcPr>
            <w:tcW w:type="dxa" w:w="5083"/>
            <w:shd w:fill="F4F9FC"/>
            <w:tcMar>
              <w:top w:w="100" w:type="dxa"/>
              <w:start w:w="120" w:type="dxa"/>
              <w:bottom w:w="100" w:type="dxa"/>
              <w:end w:w="120" w:type="dxa"/>
            </w:tcMar>
            <w:vAlign w:val="center"/>
          </w:tcPr>
          <w:p>
            <w:r>
              <w:t>Global</w:t>
            </w:r>
          </w:p>
        </w:tc>
        <w:tc>
          <w:tcPr>
            <w:tcW w:type="dxa" w:w="5083"/>
            <w:tcMar>
              <w:top w:w="100" w:type="dxa"/>
              <w:start w:w="120" w:type="dxa"/>
              <w:bottom w:w="100" w:type="dxa"/>
              <w:end w:w="120" w:type="dxa"/>
            </w:tcMar>
            <w:vAlign w:val="center"/>
          </w:tcPr>
          <w:p>
            <w:r>
              <w:t>Inclusive and culturally neutral; avoid region-specific assumptions.</w:t>
            </w:r>
          </w:p>
        </w:tc>
      </w:tr>
      <w:tr>
        <w:tc>
          <w:tcPr>
            <w:tcW w:type="dxa" w:w="5083"/>
            <w:shd w:fill="F4F9FC"/>
            <w:tcMar>
              <w:top w:w="100" w:type="dxa"/>
              <w:start w:w="120" w:type="dxa"/>
              <w:bottom w:w="100" w:type="dxa"/>
              <w:end w:w="120" w:type="dxa"/>
            </w:tcMar>
            <w:vAlign w:val="center"/>
          </w:tcPr>
          <w:p>
            <w:r>
              <w:t>Human</w:t>
            </w:r>
          </w:p>
        </w:tc>
        <w:tc>
          <w:tcPr>
            <w:tcW w:type="dxa" w:w="5083"/>
            <w:tcMar>
              <w:top w:w="100" w:type="dxa"/>
              <w:start w:w="120" w:type="dxa"/>
              <w:bottom w:w="100" w:type="dxa"/>
              <w:end w:w="120" w:type="dxa"/>
            </w:tcMar>
            <w:vAlign w:val="center"/>
          </w:tcPr>
          <w:p>
            <w:r>
              <w:t>Helpful and warm; avoid overly robotic AI language.</w:t>
            </w:r>
          </w:p>
        </w:tc>
      </w:tr>
    </w:tbl>
    <w:p>
      <w:pPr>
        <w:pStyle w:val="Heading2"/>
      </w:pPr>
      <w:r>
        <w:t>Writing principles</w:t>
      </w:r>
    </w:p>
    <w:p>
      <w:pPr>
        <w:pStyle w:val="ListBullet"/>
      </w:pPr>
      <w:r>
        <w:t>Lead with the user's outcome, not the feature.</w:t>
      </w:r>
    </w:p>
    <w:p>
      <w:pPr>
        <w:pStyle w:val="ListBullet"/>
      </w:pPr>
      <w:r>
        <w:t>Prefer plain language over technical vocabulary in customer-facing copy.</w:t>
      </w:r>
    </w:p>
    <w:p>
      <w:pPr>
        <w:pStyle w:val="ListBullet"/>
      </w:pPr>
      <w:r>
        <w:t>Use active verbs: create, send, collect, track, connect, analyze, grow.</w:t>
      </w:r>
    </w:p>
    <w:p>
      <w:pPr>
        <w:pStyle w:val="ListBullet"/>
      </w:pPr>
      <w:r>
        <w:t>Make intelligence feel useful and controlled—not mysterious or magical.</w:t>
      </w:r>
    </w:p>
    <w:p>
      <w:pPr>
        <w:pStyle w:val="ListBullet"/>
      </w:pPr>
      <w:r>
        <w:t>Never imply guaranteed revenue, guaranteed savings or guaranteed business growth.</w:t>
      </w:r>
    </w:p>
    <w:p>
      <w:pPr>
        <w:pStyle w:val="ListBullet"/>
      </w:pPr>
      <w:r>
        <w:t>Keep the brand confident without making exaggerated claims.</w:t>
      </w:r>
    </w:p>
    <w:tbl>
      <w:tblPr>
        <w:tblW w:type="auto" w:w="0"/>
        <w:jc w:val="center"/>
        <w:tblLayout w:type="autofit"/>
        <w:tblLook w:firstColumn="1" w:firstRow="1" w:lastColumn="0" w:lastRow="0" w:noHBand="0" w:noVBand="1" w:val="04A0"/>
      </w:tblPr>
      <w:tblGrid>
        <w:gridCol w:w="10166"/>
      </w:tblGrid>
      <w:tr>
        <w:tc>
          <w:tcPr>
            <w:tcW w:type="dxa" w:w="10166"/>
            <w:shd w:fill="EAF7FC"/>
            <w:tcMar>
              <w:top w:w="180" w:type="dxa"/>
              <w:start w:w="220" w:type="dxa"/>
              <w:bottom w:w="180" w:type="dxa"/>
              <w:end w:w="220" w:type="dxa"/>
            </w:tcMar>
          </w:tcPr>
          <w:p>
            <w:r>
              <w:rPr>
                <w:b/>
                <w:color w:val="01A0E2"/>
                <w:sz w:val="18"/>
              </w:rPr>
              <w:t>PREFERRED MESSAGE PATTERN</w:t>
            </w:r>
          </w:p>
          <w:p>
            <w:pPr>
              <w:spacing w:after="0"/>
            </w:pPr>
            <w:r>
              <w:t>Get paid faster and keep your business organized. Nobevra brings invoicing, clients, expenses, payments and business intelligence together in one platform.</w:t>
            </w:r>
          </w:p>
        </w:tc>
      </w:tr>
    </w:tbl>
    <w:p>
      <w:pPr>
        <w:pStyle w:val="Heading1"/>
        <w:keepNext/>
      </w:pPr>
      <w:r>
        <w:rPr>
          <w:color w:val="013948"/>
        </w:rPr>
        <w:t>12. Messaging Architecture</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Brand level</w:t>
            </w:r>
          </w:p>
        </w:tc>
        <w:tc>
          <w:tcPr>
            <w:tcW w:type="dxa" w:w="5083"/>
            <w:tcMar>
              <w:top w:w="100" w:type="dxa"/>
              <w:start w:w="120" w:type="dxa"/>
              <w:bottom w:w="100" w:type="dxa"/>
              <w:end w:w="120" w:type="dxa"/>
            </w:tcMar>
            <w:vAlign w:val="center"/>
          </w:tcPr>
          <w:p>
            <w:r>
              <w:t>Nobevra — The Intelligent Business Operating System.</w:t>
            </w:r>
          </w:p>
        </w:tc>
      </w:tr>
      <w:tr>
        <w:tc>
          <w:tcPr>
            <w:tcW w:type="dxa" w:w="5083"/>
            <w:shd w:fill="F4F9FC"/>
            <w:tcMar>
              <w:top w:w="100" w:type="dxa"/>
              <w:start w:w="120" w:type="dxa"/>
              <w:bottom w:w="100" w:type="dxa"/>
              <w:end w:w="120" w:type="dxa"/>
            </w:tcMar>
            <w:vAlign w:val="center"/>
          </w:tcPr>
          <w:p>
            <w:r>
              <w:t>Promise</w:t>
            </w:r>
          </w:p>
        </w:tc>
        <w:tc>
          <w:tcPr>
            <w:tcW w:type="dxa" w:w="5083"/>
            <w:tcMar>
              <w:top w:w="100" w:type="dxa"/>
              <w:start w:w="120" w:type="dxa"/>
              <w:bottom w:w="100" w:type="dxa"/>
              <w:end w:w="120" w:type="dxa"/>
            </w:tcMar>
            <w:vAlign w:val="center"/>
          </w:tcPr>
          <w:p>
            <w:r>
              <w:t>Everything Your Business Needs. One Intelligent Platform.</w:t>
            </w:r>
          </w:p>
        </w:tc>
      </w:tr>
      <w:tr>
        <w:tc>
          <w:tcPr>
            <w:tcW w:type="dxa" w:w="5083"/>
            <w:shd w:fill="F4F9FC"/>
            <w:tcMar>
              <w:top w:w="100" w:type="dxa"/>
              <w:start w:w="120" w:type="dxa"/>
              <w:bottom w:w="100" w:type="dxa"/>
              <w:end w:w="120" w:type="dxa"/>
            </w:tcMar>
            <w:vAlign w:val="center"/>
          </w:tcPr>
          <w:p>
            <w:r>
              <w:t>Functional proof</w:t>
            </w:r>
          </w:p>
        </w:tc>
        <w:tc>
          <w:tcPr>
            <w:tcW w:type="dxa" w:w="5083"/>
            <w:tcMar>
              <w:top w:w="100" w:type="dxa"/>
              <w:start w:w="120" w:type="dxa"/>
              <w:bottom w:w="100" w:type="dxa"/>
              <w:end w:w="120" w:type="dxa"/>
            </w:tcMar>
            <w:vAlign w:val="center"/>
          </w:tcPr>
          <w:p>
            <w:r>
              <w:t>Invoicing + CRM + expenses + productivity + payments + identity + QR + AI + teams + financial intelligence.</w:t>
            </w:r>
          </w:p>
        </w:tc>
      </w:tr>
      <w:tr>
        <w:tc>
          <w:tcPr>
            <w:tcW w:type="dxa" w:w="5083"/>
            <w:shd w:fill="F4F9FC"/>
            <w:tcMar>
              <w:top w:w="100" w:type="dxa"/>
              <w:start w:w="120" w:type="dxa"/>
              <w:bottom w:w="100" w:type="dxa"/>
              <w:end w:w="120" w:type="dxa"/>
            </w:tcMar>
            <w:vAlign w:val="center"/>
          </w:tcPr>
          <w:p>
            <w:r>
              <w:t>Emotional benefit</w:t>
            </w:r>
          </w:p>
        </w:tc>
        <w:tc>
          <w:tcPr>
            <w:tcW w:type="dxa" w:w="5083"/>
            <w:tcMar>
              <w:top w:w="100" w:type="dxa"/>
              <w:start w:w="120" w:type="dxa"/>
              <w:bottom w:w="100" w:type="dxa"/>
              <w:end w:w="120" w:type="dxa"/>
            </w:tcMar>
            <w:vAlign w:val="center"/>
          </w:tcPr>
          <w:p>
            <w:r>
              <w:t>Feel in control, look professional and spend less time switching between disconnected tools.</w:t>
            </w:r>
          </w:p>
        </w:tc>
      </w:tr>
      <w:tr>
        <w:tc>
          <w:tcPr>
            <w:tcW w:type="dxa" w:w="5083"/>
            <w:shd w:fill="F4F9FC"/>
            <w:tcMar>
              <w:top w:w="100" w:type="dxa"/>
              <w:start w:w="120" w:type="dxa"/>
              <w:bottom w:w="100" w:type="dxa"/>
              <w:end w:w="120" w:type="dxa"/>
            </w:tcMar>
            <w:vAlign w:val="center"/>
          </w:tcPr>
          <w:p>
            <w:r>
              <w:t>Business outcome</w:t>
            </w:r>
          </w:p>
        </w:tc>
        <w:tc>
          <w:tcPr>
            <w:tcW w:type="dxa" w:w="5083"/>
            <w:tcMar>
              <w:top w:w="100" w:type="dxa"/>
              <w:start w:w="120" w:type="dxa"/>
              <w:bottom w:w="100" w:type="dxa"/>
              <w:end w:w="120" w:type="dxa"/>
            </w:tcMar>
            <w:vAlign w:val="center"/>
          </w:tcPr>
          <w:p>
            <w:r>
              <w:t>Operate with clarity, connect with customers and teams, and make better decisions.</w:t>
            </w:r>
          </w:p>
        </w:tc>
      </w:tr>
    </w:tbl>
    <w:p>
      <w:pPr>
        <w:pStyle w:val="Heading2"/>
      </w:pPr>
      <w:r>
        <w:t>Approved short descriptors</w:t>
      </w:r>
    </w:p>
    <w:p>
      <w:pPr>
        <w:pStyle w:val="ListBullet"/>
      </w:pPr>
      <w:r>
        <w:t>Intelligent business operating system</w:t>
      </w:r>
    </w:p>
    <w:p>
      <w:pPr>
        <w:pStyle w:val="ListBullet"/>
      </w:pPr>
      <w:r>
        <w:t>All-in-one business toolkit</w:t>
      </w:r>
    </w:p>
    <w:p>
      <w:pPr>
        <w:pStyle w:val="ListBullet"/>
      </w:pPr>
      <w:r>
        <w:t>Invoicing, CRM, expenses and business intelligence in one platform</w:t>
      </w:r>
    </w:p>
    <w:p>
      <w:pPr>
        <w:pStyle w:val="ListBullet"/>
      </w:pPr>
      <w:r>
        <w:t>Business operations, connected</w:t>
      </w:r>
    </w:p>
    <w:p>
      <w:pPr>
        <w:pStyle w:val="Heading2"/>
      </w:pPr>
      <w:r>
        <w:t>Claims discipline</w:t>
      </w:r>
    </w:p>
    <w:p>
      <w:r>
        <w:t>Every product claim should be traceable to an implemented capability or a clearly labeled roadmap item. Avoid fabricated customer counts, revenue figures, performance promises, security certifications or feature claims that cannot be substantiated.</w:t>
      </w:r>
    </w:p>
    <w:p>
      <w:pPr>
        <w:pStyle w:val="Heading1"/>
        <w:keepNext/>
      </w:pPr>
      <w:r>
        <w:rPr>
          <w:color w:val="013948"/>
        </w:rPr>
        <w:t>13. Product Experience Brand Map</w:t>
      </w:r>
    </w:p>
    <w:p>
      <w:pPr>
        <w:pStyle w:val="Heading2"/>
      </w:pPr>
      <w:r>
        <w:t>Run</w:t>
      </w:r>
    </w:p>
    <w:p>
      <w:pPr>
        <w:pStyle w:val="ListBullet"/>
      </w:pPr>
      <w:r>
        <w:t>Invoicing: standard, proforma, recurring, estimate, quote, progress, commercial, final, credit memo, debit memo and mixed invoice workflows.</w:t>
      </w:r>
    </w:p>
    <w:p>
      <w:pPr>
        <w:pStyle w:val="ListBullet"/>
      </w:pPr>
      <w:r>
        <w:t>Expenses: categories, receipt attachments/scanning and vendor management.</w:t>
      </w:r>
    </w:p>
    <w:p>
      <w:pPr>
        <w:pStyle w:val="ListBullet"/>
      </w:pPr>
      <w:r>
        <w:t>Products &amp; services: catalogues, categories, inventory ledger and Product Passports.</w:t>
      </w:r>
    </w:p>
    <w:p>
      <w:pPr>
        <w:pStyle w:val="ListBullet"/>
      </w:pPr>
      <w:r>
        <w:t>Wallet &amp; payments: payment methods, wallet operations, gateway checkout and currency services.</w:t>
      </w:r>
    </w:p>
    <w:p>
      <w:pPr>
        <w:pStyle w:val="ListBullet"/>
      </w:pPr>
      <w:r>
        <w:t>Productivity: dashboard visibility, notifications, offline-first workflows and engagement mechanics.</w:t>
      </w:r>
    </w:p>
    <w:p>
      <w:pPr>
        <w:pStyle w:val="Heading2"/>
      </w:pPr>
      <w:r>
        <w:t>Connect</w:t>
      </w:r>
    </w:p>
    <w:p>
      <w:pPr>
        <w:pStyle w:val="ListBullet"/>
      </w:pPr>
      <w:r>
        <w:t>CRM: clients, notes, communication logs, ledgers and client portals.</w:t>
      </w:r>
    </w:p>
    <w:p>
      <w:pPr>
        <w:pStyle w:val="ListBullet"/>
      </w:pPr>
      <w:r>
        <w:t>Business identity: public business cards and synchronized profile branding.</w:t>
      </w:r>
    </w:p>
    <w:p>
      <w:pPr>
        <w:pStyle w:val="ListBullet"/>
      </w:pPr>
      <w:r>
        <w:t>Smart Connect: live client communications and support interactions.</w:t>
      </w:r>
    </w:p>
    <w:p>
      <w:pPr>
        <w:pStyle w:val="ListBullet"/>
      </w:pPr>
      <w:r>
        <w:t>QR: 21 QR code types plus scan logging and engagement analytics.</w:t>
      </w:r>
    </w:p>
    <w:p>
      <w:pPr>
        <w:pStyle w:val="ListBullet"/>
      </w:pPr>
      <w:r>
        <w:t>NFC: business-profile writing to compatible NFC tags.</w:t>
      </w:r>
    </w:p>
    <w:p>
      <w:pPr>
        <w:pStyle w:val="ListBullet"/>
      </w:pPr>
      <w:r>
        <w:t>Teams: role-based collaboration within shared workspaces.</w:t>
      </w:r>
    </w:p>
    <w:p>
      <w:pPr>
        <w:pStyle w:val="Heading2"/>
      </w:pPr>
      <w:r>
        <w:t>Grow</w:t>
      </w:r>
    </w:p>
    <w:p>
      <w:pPr>
        <w:pStyle w:val="ListBullet"/>
      </w:pPr>
      <w:r>
        <w:t>Growth reports: business health, analytics and billing history.</w:t>
      </w:r>
    </w:p>
    <w:p>
      <w:pPr>
        <w:pStyle w:val="ListBullet"/>
      </w:pPr>
      <w:r>
        <w:t>SEO subsystem: articles, rankings tracking and keyword management for public business presence.</w:t>
      </w:r>
    </w:p>
    <w:p>
      <w:pPr>
        <w:pStyle w:val="ListBullet"/>
      </w:pPr>
      <w:r>
        <w:t>AI: invoice text generation, receipt-image analysis and conversational commands.</w:t>
      </w:r>
    </w:p>
    <w:p>
      <w:pPr>
        <w:pStyle w:val="ListBullet"/>
      </w:pPr>
      <w:r>
        <w:t>Financial intelligence: multi-currency visibility and operational insight.</w:t>
      </w:r>
    </w:p>
    <w:p>
      <w:pPr>
        <w:pStyle w:val="ListBullet"/>
      </w:pPr>
      <w:r>
        <w:t>Subscriptions: Free, Pulse and Elite plans with granular Pay-As-You-Go entitlements.</w:t>
      </w:r>
    </w:p>
    <w:p>
      <w:pPr>
        <w:pStyle w:val="Heading1"/>
        <w:keepNext/>
      </w:pPr>
      <w:r>
        <w:rPr>
          <w:color w:val="013948"/>
        </w:rPr>
        <w:t>14. Trust, Security &amp; Reliability Language</w:t>
      </w:r>
    </w:p>
    <w:p>
      <w:r>
        <w:t>Nobevra's brand should communicate confidence without making unsupported security or compliance claims. Product communications may describe implemented controls and architecture accurately, but certification claims require evidence.</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Authentication</w:t>
            </w:r>
          </w:p>
        </w:tc>
        <w:tc>
          <w:tcPr>
            <w:tcW w:type="dxa" w:w="5083"/>
            <w:tcMar>
              <w:top w:w="100" w:type="dxa"/>
              <w:start w:w="120" w:type="dxa"/>
              <w:bottom w:w="100" w:type="dxa"/>
              <w:end w:w="120" w:type="dxa"/>
            </w:tcMar>
            <w:vAlign w:val="center"/>
          </w:tcPr>
          <w:p>
            <w:r>
              <w:t>Supabase Auth and Firebase Auth integrations; email and third-party provider sign-in as implemented.</w:t>
            </w:r>
          </w:p>
        </w:tc>
      </w:tr>
      <w:tr>
        <w:tc>
          <w:tcPr>
            <w:tcW w:type="dxa" w:w="5083"/>
            <w:shd w:fill="F4F9FC"/>
            <w:tcMar>
              <w:top w:w="100" w:type="dxa"/>
              <w:start w:w="120" w:type="dxa"/>
              <w:bottom w:w="100" w:type="dxa"/>
              <w:end w:w="120" w:type="dxa"/>
            </w:tcMar>
            <w:vAlign w:val="center"/>
          </w:tcPr>
          <w:p>
            <w:r>
              <w:t>Device access</w:t>
            </w:r>
          </w:p>
        </w:tc>
        <w:tc>
          <w:tcPr>
            <w:tcW w:type="dxa" w:w="5083"/>
            <w:tcMar>
              <w:top w:w="100" w:type="dxa"/>
              <w:start w:w="120" w:type="dxa"/>
              <w:bottom w:w="100" w:type="dxa"/>
              <w:end w:w="120" w:type="dxa"/>
            </w:tcMar>
            <w:vAlign w:val="center"/>
          </w:tcPr>
          <w:p>
            <w:r>
              <w:t>BiometricService support where enabled by the product and device.</w:t>
            </w:r>
          </w:p>
        </w:tc>
      </w:tr>
      <w:tr>
        <w:tc>
          <w:tcPr>
            <w:tcW w:type="dxa" w:w="5083"/>
            <w:shd w:fill="F4F9FC"/>
            <w:tcMar>
              <w:top w:w="100" w:type="dxa"/>
              <w:start w:w="120" w:type="dxa"/>
              <w:bottom w:w="100" w:type="dxa"/>
              <w:end w:w="120" w:type="dxa"/>
            </w:tcMar>
            <w:vAlign w:val="center"/>
          </w:tcPr>
          <w:p>
            <w:r>
              <w:t>Workspace isolation</w:t>
            </w:r>
          </w:p>
        </w:tc>
        <w:tc>
          <w:tcPr>
            <w:tcW w:type="dxa" w:w="5083"/>
            <w:tcMar>
              <w:top w:w="100" w:type="dxa"/>
              <w:start w:w="120" w:type="dxa"/>
              <w:bottom w:w="100" w:type="dxa"/>
              <w:end w:w="120" w:type="dxa"/>
            </w:tcMar>
            <w:vAlign w:val="center"/>
          </w:tcPr>
          <w:p>
            <w:r>
              <w:t>User/workspace provisioning and role-based team collaboration as implemented.</w:t>
            </w:r>
          </w:p>
        </w:tc>
      </w:tr>
      <w:tr>
        <w:tc>
          <w:tcPr>
            <w:tcW w:type="dxa" w:w="5083"/>
            <w:shd w:fill="F4F9FC"/>
            <w:tcMar>
              <w:top w:w="100" w:type="dxa"/>
              <w:start w:w="120" w:type="dxa"/>
              <w:bottom w:w="100" w:type="dxa"/>
              <w:end w:w="120" w:type="dxa"/>
            </w:tcMar>
            <w:vAlign w:val="center"/>
          </w:tcPr>
          <w:p>
            <w:r>
              <w:t>Notifications</w:t>
            </w:r>
          </w:p>
        </w:tc>
        <w:tc>
          <w:tcPr>
            <w:tcW w:type="dxa" w:w="5083"/>
            <w:tcMar>
              <w:top w:w="100" w:type="dxa"/>
              <w:start w:w="120" w:type="dxa"/>
              <w:bottom w:w="100" w:type="dxa"/>
              <w:end w:w="120" w:type="dxa"/>
            </w:tcMar>
            <w:vAlign w:val="center"/>
          </w:tcPr>
          <w:p>
            <w:r>
              <w:t>Cross-platform notification routing via FCM infrastructure.</w:t>
            </w:r>
          </w:p>
        </w:tc>
      </w:tr>
      <w:tr>
        <w:tc>
          <w:tcPr>
            <w:tcW w:type="dxa" w:w="5083"/>
            <w:shd w:fill="F4F9FC"/>
            <w:tcMar>
              <w:top w:w="100" w:type="dxa"/>
              <w:start w:w="120" w:type="dxa"/>
              <w:bottom w:w="100" w:type="dxa"/>
              <w:end w:w="120" w:type="dxa"/>
            </w:tcMar>
            <w:vAlign w:val="center"/>
          </w:tcPr>
          <w:p>
            <w:r>
              <w:t>Offline-first</w:t>
            </w:r>
          </w:p>
        </w:tc>
        <w:tc>
          <w:tcPr>
            <w:tcW w:type="dxa" w:w="5083"/>
            <w:tcMar>
              <w:top w:w="100" w:type="dxa"/>
              <w:start w:w="120" w:type="dxa"/>
              <w:bottom w:w="100" w:type="dxa"/>
              <w:end w:w="120" w:type="dxa"/>
            </w:tcMar>
            <w:vAlign w:val="center"/>
          </w:tcPr>
          <w:p>
            <w:r>
              <w:t>Core cached workflows can operate offline and synchronize when connectivity returns, subject to actual implementation.</w:t>
            </w:r>
          </w:p>
        </w:tc>
      </w:tr>
      <w:tr>
        <w:tc>
          <w:tcPr>
            <w:tcW w:type="dxa" w:w="5083"/>
            <w:shd w:fill="F4F9FC"/>
            <w:tcMar>
              <w:top w:w="100" w:type="dxa"/>
              <w:start w:w="120" w:type="dxa"/>
              <w:bottom w:w="100" w:type="dxa"/>
              <w:end w:w="120" w:type="dxa"/>
            </w:tcMar>
            <w:vAlign w:val="center"/>
          </w:tcPr>
          <w:p>
            <w:r>
              <w:t>AI governance</w:t>
            </w:r>
          </w:p>
        </w:tc>
        <w:tc>
          <w:tcPr>
            <w:tcW w:type="dxa" w:w="5083"/>
            <w:tcMar>
              <w:top w:w="100" w:type="dxa"/>
              <w:start w:w="120" w:type="dxa"/>
              <w:bottom w:w="100" w:type="dxa"/>
              <w:end w:w="120" w:type="dxa"/>
            </w:tcMar>
            <w:vAlign w:val="center"/>
          </w:tcPr>
          <w:p>
            <w:r>
              <w:t>AI usage monitoring/token controls should be described factually; do not imply human-equivalent reasoning or guaranteed outcomes.</w:t>
            </w:r>
          </w:p>
        </w:tc>
      </w:tr>
    </w:tbl>
    <w:tbl>
      <w:tblPr>
        <w:tblW w:type="auto" w:w="0"/>
        <w:jc w:val="center"/>
        <w:tblLayout w:type="autofit"/>
        <w:tblLook w:firstColumn="1" w:firstRow="1" w:lastColumn="0" w:lastRow="0" w:noHBand="0" w:noVBand="1" w:val="04A0"/>
      </w:tblPr>
      <w:tblGrid>
        <w:gridCol w:w="10166"/>
      </w:tblGrid>
      <w:tr>
        <w:tc>
          <w:tcPr>
            <w:tcW w:type="dxa" w:w="10166"/>
            <w:shd w:fill="FFF6E8"/>
            <w:tcMar>
              <w:top w:w="180" w:type="dxa"/>
              <w:start w:w="220" w:type="dxa"/>
              <w:bottom w:w="180" w:type="dxa"/>
              <w:end w:w="220" w:type="dxa"/>
            </w:tcMar>
          </w:tcPr>
          <w:p>
            <w:r>
              <w:rPr>
                <w:b/>
                <w:color w:val="B87900"/>
                <w:sz w:val="18"/>
              </w:rPr>
              <w:t>TRUST RULE</w:t>
            </w:r>
          </w:p>
          <w:p>
            <w:pPr>
              <w:spacing w:after="0"/>
            </w:pPr>
            <w:r>
              <w:t>Say what the product does. Do not say what it has not been independently verified or certified to do.</w:t>
            </w:r>
          </w:p>
        </w:tc>
      </w:tr>
    </w:tbl>
    <w:p>
      <w:pPr>
        <w:pStyle w:val="Heading1"/>
        <w:keepNext/>
      </w:pPr>
      <w:r>
        <w:rPr>
          <w:color w:val="013948"/>
        </w:rPr>
        <w:t>15. Cross-Platform Brand Standards</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Web</w:t>
            </w:r>
          </w:p>
        </w:tc>
        <w:tc>
          <w:tcPr>
            <w:tcW w:type="dxa" w:w="5083"/>
            <w:tcMar>
              <w:top w:w="100" w:type="dxa"/>
              <w:start w:w="120" w:type="dxa"/>
              <w:bottom w:w="100" w:type="dxa"/>
              <w:end w:w="120" w:type="dxa"/>
            </w:tcMar>
            <w:vAlign w:val="center"/>
          </w:tcPr>
          <w:p>
            <w:r>
              <w:t>Use Nobevra as the master product name; maintain consistent favicon, metadata, OpenGraph, structured data and visual tokens.</w:t>
            </w:r>
          </w:p>
        </w:tc>
      </w:tr>
      <w:tr>
        <w:tc>
          <w:tcPr>
            <w:tcW w:type="dxa" w:w="5083"/>
            <w:shd w:fill="F4F9FC"/>
            <w:tcMar>
              <w:top w:w="100" w:type="dxa"/>
              <w:start w:w="120" w:type="dxa"/>
              <w:bottom w:w="100" w:type="dxa"/>
              <w:end w:w="120" w:type="dxa"/>
            </w:tcMar>
            <w:vAlign w:val="center"/>
          </w:tcPr>
          <w:p>
            <w:r>
              <w:t>Mobile</w:t>
            </w:r>
          </w:p>
        </w:tc>
        <w:tc>
          <w:tcPr>
            <w:tcW w:type="dxa" w:w="5083"/>
            <w:tcMar>
              <w:top w:w="100" w:type="dxa"/>
              <w:start w:w="120" w:type="dxa"/>
              <w:bottom w:w="100" w:type="dxa"/>
              <w:end w:w="120" w:type="dxa"/>
            </w:tcMar>
            <w:vAlign w:val="center"/>
          </w:tcPr>
          <w:p>
            <w:r>
              <w:t>Use Nobevra as the display brand; the supplied app icon concept is the visual reference.</w:t>
            </w:r>
          </w:p>
        </w:tc>
      </w:tr>
      <w:tr>
        <w:tc>
          <w:tcPr>
            <w:tcW w:type="dxa" w:w="5083"/>
            <w:shd w:fill="F4F9FC"/>
            <w:tcMar>
              <w:top w:w="100" w:type="dxa"/>
              <w:start w:w="120" w:type="dxa"/>
              <w:bottom w:w="100" w:type="dxa"/>
              <w:end w:w="120" w:type="dxa"/>
            </w:tcMar>
            <w:vAlign w:val="center"/>
          </w:tcPr>
          <w:p>
            <w:r>
              <w:t>Documents / PDFs</w:t>
            </w:r>
          </w:p>
        </w:tc>
        <w:tc>
          <w:tcPr>
            <w:tcW w:type="dxa" w:w="5083"/>
            <w:tcMar>
              <w:top w:w="100" w:type="dxa"/>
              <w:start w:w="120" w:type="dxa"/>
              <w:bottom w:w="100" w:type="dxa"/>
              <w:end w:w="120" w:type="dxa"/>
            </w:tcMar>
            <w:vAlign w:val="center"/>
          </w:tcPr>
          <w:p>
            <w:r>
              <w:t>Use approved light/dark logo applications, Inter and the core palette.</w:t>
            </w:r>
          </w:p>
        </w:tc>
      </w:tr>
      <w:tr>
        <w:tc>
          <w:tcPr>
            <w:tcW w:type="dxa" w:w="5083"/>
            <w:shd w:fill="F4F9FC"/>
            <w:tcMar>
              <w:top w:w="100" w:type="dxa"/>
              <w:start w:w="120" w:type="dxa"/>
              <w:bottom w:w="100" w:type="dxa"/>
              <w:end w:w="120" w:type="dxa"/>
            </w:tcMar>
            <w:vAlign w:val="center"/>
          </w:tcPr>
          <w:p>
            <w:r>
              <w:t>Invoice templates</w:t>
            </w:r>
          </w:p>
        </w:tc>
        <w:tc>
          <w:tcPr>
            <w:tcW w:type="dxa" w:w="5083"/>
            <w:tcMar>
              <w:top w:w="100" w:type="dxa"/>
              <w:start w:w="120" w:type="dxa"/>
              <w:bottom w:w="100" w:type="dxa"/>
              <w:end w:w="120" w:type="dxa"/>
            </w:tcMar>
            <w:vAlign w:val="center"/>
          </w:tcPr>
          <w:p>
            <w:r>
              <w:t>Customer customization may change the customer's brand, but Nobevra platform attribution should remain governed.</w:t>
            </w:r>
          </w:p>
        </w:tc>
      </w:tr>
      <w:tr>
        <w:tc>
          <w:tcPr>
            <w:tcW w:type="dxa" w:w="5083"/>
            <w:shd w:fill="F4F9FC"/>
            <w:tcMar>
              <w:top w:w="100" w:type="dxa"/>
              <w:start w:w="120" w:type="dxa"/>
              <w:bottom w:w="100" w:type="dxa"/>
              <w:end w:w="120" w:type="dxa"/>
            </w:tcMar>
            <w:vAlign w:val="center"/>
          </w:tcPr>
          <w:p>
            <w:r>
              <w:t>QR codes</w:t>
            </w:r>
          </w:p>
        </w:tc>
        <w:tc>
          <w:tcPr>
            <w:tcW w:type="dxa" w:w="5083"/>
            <w:tcMar>
              <w:top w:w="100" w:type="dxa"/>
              <w:start w:w="120" w:type="dxa"/>
              <w:bottom w:w="100" w:type="dxa"/>
              <w:end w:w="120" w:type="dxa"/>
            </w:tcMar>
            <w:vAlign w:val="center"/>
          </w:tcPr>
          <w:p>
            <w:r>
              <w:t>Public QR payloads and destinations should use the current canonical brand/domain strategy.</w:t>
            </w:r>
          </w:p>
        </w:tc>
      </w:tr>
      <w:tr>
        <w:tc>
          <w:tcPr>
            <w:tcW w:type="dxa" w:w="5083"/>
            <w:shd w:fill="F4F9FC"/>
            <w:tcMar>
              <w:top w:w="100" w:type="dxa"/>
              <w:start w:w="120" w:type="dxa"/>
              <w:bottom w:w="100" w:type="dxa"/>
              <w:end w:w="120" w:type="dxa"/>
            </w:tcMar>
            <w:vAlign w:val="center"/>
          </w:tcPr>
          <w:p>
            <w:r>
              <w:t>Email</w:t>
            </w:r>
          </w:p>
        </w:tc>
        <w:tc>
          <w:tcPr>
            <w:tcW w:type="dxa" w:w="5083"/>
            <w:tcMar>
              <w:top w:w="100" w:type="dxa"/>
              <w:start w:w="120" w:type="dxa"/>
              <w:bottom w:w="100" w:type="dxa"/>
              <w:end w:w="120" w:type="dxa"/>
            </w:tcMar>
            <w:vAlign w:val="center"/>
          </w:tcPr>
          <w:p>
            <w:r>
              <w:t>Sender identity, templates, footer and links should consistently use Nobevra and the correct legal entity where required.</w:t>
            </w:r>
          </w:p>
        </w:tc>
      </w:tr>
      <w:tr>
        <w:tc>
          <w:tcPr>
            <w:tcW w:type="dxa" w:w="5083"/>
            <w:shd w:fill="F4F9FC"/>
            <w:tcMar>
              <w:top w:w="100" w:type="dxa"/>
              <w:start w:w="120" w:type="dxa"/>
              <w:bottom w:w="100" w:type="dxa"/>
              <w:end w:w="120" w:type="dxa"/>
            </w:tcMar>
            <w:vAlign w:val="center"/>
          </w:tcPr>
          <w:p>
            <w:r>
              <w:t>Social</w:t>
            </w:r>
          </w:p>
        </w:tc>
        <w:tc>
          <w:tcPr>
            <w:tcW w:type="dxa" w:w="5083"/>
            <w:tcMar>
              <w:top w:w="100" w:type="dxa"/>
              <w:start w:w="120" w:type="dxa"/>
              <w:bottom w:w="100" w:type="dxa"/>
              <w:end w:w="120" w:type="dxa"/>
            </w:tcMar>
            <w:vAlign w:val="center"/>
          </w:tcPr>
          <w:p>
            <w:r>
              <w:t>Use consistent official handles where available; avoid unrelated variations.</w:t>
            </w:r>
          </w:p>
        </w:tc>
      </w:tr>
      <w:tr>
        <w:tc>
          <w:tcPr>
            <w:tcW w:type="dxa" w:w="5083"/>
            <w:shd w:fill="F4F9FC"/>
            <w:tcMar>
              <w:top w:w="100" w:type="dxa"/>
              <w:start w:w="120" w:type="dxa"/>
              <w:bottom w:w="100" w:type="dxa"/>
              <w:end w:w="120" w:type="dxa"/>
            </w:tcMar>
            <w:vAlign w:val="center"/>
          </w:tcPr>
          <w:p>
            <w:r>
              <w:t>App stores</w:t>
            </w:r>
          </w:p>
        </w:tc>
        <w:tc>
          <w:tcPr>
            <w:tcW w:type="dxa" w:w="5083"/>
            <w:tcMar>
              <w:top w:w="100" w:type="dxa"/>
              <w:start w:w="120" w:type="dxa"/>
              <w:bottom w:w="100" w:type="dxa"/>
              <w:end w:w="120" w:type="dxa"/>
            </w:tcMar>
            <w:vAlign w:val="center"/>
          </w:tcPr>
          <w:p>
            <w:r>
              <w:t>Product name, screenshots, iconography, descriptions and package/bundle identifiers should be finalized before publication.</w:t>
            </w:r>
          </w:p>
        </w:tc>
      </w:tr>
    </w:tbl>
    <w:p>
      <w:pPr>
        <w:pStyle w:val="Heading1"/>
        <w:keepNext/>
      </w:pPr>
      <w:r>
        <w:rPr>
          <w:color w:val="013948"/>
        </w:rPr>
        <w:t>16. Naming, Domain &amp; Digital Identity Strategy</w:t>
      </w:r>
    </w:p>
    <w:p>
      <w:pPr>
        <w:pStyle w:val="ListBullet"/>
      </w:pPr>
      <w:r>
        <w:t>Use Nobevra consistently in page titles, H1s, metadata, OpenGraph, schema, app listings and social profiles.</w:t>
      </w:r>
    </w:p>
    <w:p>
      <w:pPr>
        <w:pStyle w:val="ListBullet"/>
      </w:pPr>
      <w:r>
        <w:t>Pair the coined brand with descriptive category language: “Nobevra — Business Operating System”, “Nobevra invoicing software”, “Nobevra CRM”.</w:t>
      </w:r>
    </w:p>
    <w:p>
      <w:pPr>
        <w:pStyle w:val="ListBullet"/>
      </w:pPr>
      <w:r>
        <w:t>Do not keyword-stuff. Build topical authority around invoicing, business management, CRM, expenses, payments, AI productivity and business identity.</w:t>
      </w:r>
    </w:p>
    <w:p>
      <w:pPr>
        <w:pStyle w:val="ListBullet"/>
      </w:pPr>
      <w:r>
        <w:t>Use one canonical public domain once the preferred domain is acquired, legally reviewed, technically configured and stable.</w:t>
      </w:r>
    </w:p>
    <w:p>
      <w:pPr>
        <w:pStyle w:val="ListBullet"/>
      </w:pPr>
      <w:r>
        <w:t>Retire legacy NobleInvoice-facing marketing as the rebrand becomes established.</w:t>
      </w:r>
    </w:p>
    <w:tbl>
      <w:tblPr>
        <w:tblW w:type="auto" w:w="0"/>
        <w:jc w:val="center"/>
        <w:tblLayout w:type="autofit"/>
        <w:tblLook w:firstColumn="1" w:firstRow="1" w:lastColumn="0" w:lastRow="0" w:noHBand="0" w:noVBand="1" w:val="04A0"/>
      </w:tblPr>
      <w:tblGrid>
        <w:gridCol w:w="10166"/>
      </w:tblGrid>
      <w:tr>
        <w:tc>
          <w:tcPr>
            <w:tcW w:type="dxa" w:w="10166"/>
            <w:shd w:fill="EAF7FC"/>
            <w:tcMar>
              <w:top w:w="180" w:type="dxa"/>
              <w:start w:w="220" w:type="dxa"/>
              <w:bottom w:w="180" w:type="dxa"/>
              <w:end w:w="220" w:type="dxa"/>
            </w:tcMar>
          </w:tcPr>
          <w:p>
            <w:r>
              <w:rPr>
                <w:b/>
                <w:color w:val="01A0E2"/>
                <w:sz w:val="18"/>
              </w:rPr>
              <w:t>MIGRATION PRINCIPLE</w:t>
            </w:r>
          </w:p>
          <w:p>
            <w:pPr>
              <w:spacing w:after="0"/>
            </w:pPr>
            <w:r>
              <w:t>Change public-facing identifiers first; change internal identifiers when safe and economically useful. Do not create production risk merely to make internal names look new.</w:t>
            </w:r>
          </w:p>
        </w:tc>
      </w:tr>
    </w:tbl>
    <w:p>
      <w:pPr>
        <w:pStyle w:val="Heading1"/>
        <w:keepNext/>
      </w:pPr>
      <w:r>
        <w:rPr>
          <w:color w:val="013948"/>
        </w:rPr>
        <w:t>17. Brand Governance &amp; Asset Management</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Brand owner</w:t>
            </w:r>
          </w:p>
        </w:tc>
        <w:tc>
          <w:tcPr>
            <w:tcW w:type="dxa" w:w="5083"/>
            <w:tcMar>
              <w:top w:w="100" w:type="dxa"/>
              <w:start w:w="120" w:type="dxa"/>
              <w:bottom w:w="100" w:type="dxa"/>
              <w:end w:w="120" w:type="dxa"/>
            </w:tcMar>
            <w:vAlign w:val="center"/>
          </w:tcPr>
          <w:p>
            <w:r>
              <w:t>The Noble's Technology Services / authorized Nobevra brand owner.</w:t>
            </w:r>
          </w:p>
        </w:tc>
      </w:tr>
      <w:tr>
        <w:tc>
          <w:tcPr>
            <w:tcW w:type="dxa" w:w="5083"/>
            <w:shd w:fill="F4F9FC"/>
            <w:tcMar>
              <w:top w:w="100" w:type="dxa"/>
              <w:start w:w="120" w:type="dxa"/>
              <w:bottom w:w="100" w:type="dxa"/>
              <w:end w:w="120" w:type="dxa"/>
            </w:tcMar>
            <w:vAlign w:val="center"/>
          </w:tcPr>
          <w:p>
            <w:r>
              <w:t>Design authority</w:t>
            </w:r>
          </w:p>
        </w:tc>
        <w:tc>
          <w:tcPr>
            <w:tcW w:type="dxa" w:w="5083"/>
            <w:tcMar>
              <w:top w:w="100" w:type="dxa"/>
              <w:start w:w="120" w:type="dxa"/>
              <w:bottom w:w="100" w:type="dxa"/>
              <w:end w:w="120" w:type="dxa"/>
            </w:tcMar>
            <w:vAlign w:val="center"/>
          </w:tcPr>
          <w:p>
            <w:r>
              <w:t>The designated brand/design lead or approved agency partner.</w:t>
            </w:r>
          </w:p>
        </w:tc>
      </w:tr>
      <w:tr>
        <w:tc>
          <w:tcPr>
            <w:tcW w:type="dxa" w:w="5083"/>
            <w:shd w:fill="F4F9FC"/>
            <w:tcMar>
              <w:top w:w="100" w:type="dxa"/>
              <w:start w:w="120" w:type="dxa"/>
              <w:bottom w:w="100" w:type="dxa"/>
              <w:end w:w="120" w:type="dxa"/>
            </w:tcMar>
            <w:vAlign w:val="center"/>
          </w:tcPr>
          <w:p>
            <w:r>
              <w:t>Product authority</w:t>
            </w:r>
          </w:p>
        </w:tc>
        <w:tc>
          <w:tcPr>
            <w:tcW w:type="dxa" w:w="5083"/>
            <w:tcMar>
              <w:top w:w="100" w:type="dxa"/>
              <w:start w:w="120" w:type="dxa"/>
              <w:bottom w:w="100" w:type="dxa"/>
              <w:end w:w="120" w:type="dxa"/>
            </w:tcMar>
            <w:vAlign w:val="center"/>
          </w:tcPr>
          <w:p>
            <w:r>
              <w:t>Product leadership controls feature naming and customer-facing capability taxonomy.</w:t>
            </w:r>
          </w:p>
        </w:tc>
      </w:tr>
      <w:tr>
        <w:tc>
          <w:tcPr>
            <w:tcW w:type="dxa" w:w="5083"/>
            <w:shd w:fill="F4F9FC"/>
            <w:tcMar>
              <w:top w:w="100" w:type="dxa"/>
              <w:start w:w="120" w:type="dxa"/>
              <w:bottom w:w="100" w:type="dxa"/>
              <w:end w:w="120" w:type="dxa"/>
            </w:tcMar>
            <w:vAlign w:val="center"/>
          </w:tcPr>
          <w:p>
            <w:r>
              <w:t>Engineering authority</w:t>
            </w:r>
          </w:p>
        </w:tc>
        <w:tc>
          <w:tcPr>
            <w:tcW w:type="dxa" w:w="5083"/>
            <w:tcMar>
              <w:top w:w="100" w:type="dxa"/>
              <w:start w:w="120" w:type="dxa"/>
              <w:bottom w:w="100" w:type="dxa"/>
              <w:end w:w="120" w:type="dxa"/>
            </w:tcMar>
            <w:vAlign w:val="center"/>
          </w:tcPr>
          <w:p>
            <w:r>
              <w:t>Engineering controls implementation tokens, package identifiers and technical naming within brand rules.</w:t>
            </w:r>
          </w:p>
        </w:tc>
      </w:tr>
      <w:tr>
        <w:tc>
          <w:tcPr>
            <w:tcW w:type="dxa" w:w="5083"/>
            <w:shd w:fill="F4F9FC"/>
            <w:tcMar>
              <w:top w:w="100" w:type="dxa"/>
              <w:start w:w="120" w:type="dxa"/>
              <w:bottom w:w="100" w:type="dxa"/>
              <w:end w:w="120" w:type="dxa"/>
            </w:tcMar>
            <w:vAlign w:val="center"/>
          </w:tcPr>
          <w:p>
            <w:r>
              <w:t>Marketing authority</w:t>
            </w:r>
          </w:p>
        </w:tc>
        <w:tc>
          <w:tcPr>
            <w:tcW w:type="dxa" w:w="5083"/>
            <w:tcMar>
              <w:top w:w="100" w:type="dxa"/>
              <w:start w:w="120" w:type="dxa"/>
              <w:bottom w:w="100" w:type="dxa"/>
              <w:end w:w="120" w:type="dxa"/>
            </w:tcMar>
            <w:vAlign w:val="center"/>
          </w:tcPr>
          <w:p>
            <w:r>
              <w:t>Marketing controls campaign expression, messaging and channel execution within approved identity.</w:t>
            </w:r>
          </w:p>
        </w:tc>
      </w:tr>
      <w:tr>
        <w:tc>
          <w:tcPr>
            <w:tcW w:type="dxa" w:w="5083"/>
            <w:shd w:fill="F4F9FC"/>
            <w:tcMar>
              <w:top w:w="100" w:type="dxa"/>
              <w:start w:w="120" w:type="dxa"/>
              <w:bottom w:w="100" w:type="dxa"/>
              <w:end w:w="120" w:type="dxa"/>
            </w:tcMar>
            <w:vAlign w:val="center"/>
          </w:tcPr>
          <w:p>
            <w:r>
              <w:t>Legal authority</w:t>
            </w:r>
          </w:p>
        </w:tc>
        <w:tc>
          <w:tcPr>
            <w:tcW w:type="dxa" w:w="5083"/>
            <w:tcMar>
              <w:top w:w="100" w:type="dxa"/>
              <w:start w:w="120" w:type="dxa"/>
              <w:bottom w:w="100" w:type="dxa"/>
              <w:end w:w="120" w:type="dxa"/>
            </w:tcMar>
            <w:vAlign w:val="center"/>
          </w:tcPr>
          <w:p>
            <w:r>
              <w:t>Qualified counsel controls trademark, domain, corporate-name and regulatory determinations.</w:t>
            </w:r>
          </w:p>
        </w:tc>
      </w:tr>
    </w:tbl>
    <w:p>
      <w:pPr>
        <w:pStyle w:val="Heading2"/>
      </w:pPr>
      <w:r>
        <w:t>Non-negotiables</w:t>
      </w:r>
    </w:p>
    <w:p>
      <w:pPr>
        <w:pStyle w:val="ListBullet"/>
      </w:pPr>
      <w:r>
        <w:t>Nobevra is the product brand; The Noble's Technology Services is the legal parent entity.</w:t>
      </w:r>
    </w:p>
    <w:p>
      <w:pPr>
        <w:pStyle w:val="ListBullet"/>
      </w:pPr>
      <w:r>
        <w:t>Never use NobleInvoice as the primary long-term product brand after migration.</w:t>
      </w:r>
    </w:p>
    <w:p>
      <w:pPr>
        <w:pStyle w:val="ListBullet"/>
      </w:pPr>
      <w:r>
        <w:t>Never claim legal/trademark clearance without professional evidence.</w:t>
      </w:r>
    </w:p>
    <w:p>
      <w:pPr>
        <w:pStyle w:val="ListBullet"/>
      </w:pPr>
      <w:r>
        <w:t>Never introduce a new logo color, font or product sub-brand casually.</w:t>
      </w:r>
    </w:p>
    <w:p>
      <w:pPr>
        <w:pStyle w:val="ListBullet"/>
      </w:pPr>
      <w:r>
        <w:t>Never publish misleading screenshots, fabricated customer counts, fabricated revenue or unavailable features.</w:t>
      </w:r>
    </w:p>
    <w:p>
      <w:pPr>
        <w:pStyle w:val="ListBullet"/>
      </w:pPr>
      <w:r>
        <w:t>Never sacrifice accessibility for visual style.</w:t>
      </w:r>
    </w:p>
    <w:p>
      <w:pPr>
        <w:pStyle w:val="ListBullet"/>
      </w:pPr>
      <w:r>
        <w:t>Every major brand change must propagate across web, mobile, legal, SEO, social, email and product surfaces.</w:t>
      </w:r>
    </w:p>
    <w:p>
      <w:pPr>
        <w:pStyle w:val="Heading1"/>
        <w:keepNext/>
      </w:pPr>
      <w:r>
        <w:rPr>
          <w:color w:val="013948"/>
        </w:rPr>
        <w:t>18. Brand Migration &amp; Launch Checklist</w:t>
      </w:r>
    </w:p>
    <w:p>
      <w:pPr>
        <w:pStyle w:val="ListBullet"/>
      </w:pPr>
      <w:r>
        <w:rPr>
          <w:b/>
        </w:rPr>
        <w:t xml:space="preserve">☐ </w:t>
      </w:r>
      <w:r>
        <w:t>Nobevra name approved internally</w:t>
      </w:r>
    </w:p>
    <w:p>
      <w:pPr>
        <w:pStyle w:val="ListBullet"/>
      </w:pPr>
      <w:r>
        <w:rPr>
          <w:b/>
        </w:rPr>
        <w:t xml:space="preserve">☐ </w:t>
      </w:r>
      <w:r>
        <w:t>Trademark clearance plan scheduled with qualified counsel</w:t>
      </w:r>
    </w:p>
    <w:p>
      <w:pPr>
        <w:pStyle w:val="ListBullet"/>
      </w:pPr>
      <w:r>
        <w:rPr>
          <w:b/>
        </w:rPr>
        <w:t xml:space="preserve">☐ </w:t>
      </w:r>
      <w:r>
        <w:t>Primary domain strategy confirmed and documented</w:t>
      </w:r>
    </w:p>
    <w:p>
      <w:pPr>
        <w:pStyle w:val="ListBullet"/>
      </w:pPr>
      <w:r>
        <w:rPr>
          <w:b/>
        </w:rPr>
        <w:t xml:space="preserve">☐ </w:t>
      </w:r>
      <w:r>
        <w:t>Official logo master files exported in SVG/PNG and monochrome variants</w:t>
      </w:r>
    </w:p>
    <w:p>
      <w:pPr>
        <w:pStyle w:val="ListBullet"/>
      </w:pPr>
      <w:r>
        <w:rPr>
          <w:b/>
        </w:rPr>
        <w:t xml:space="preserve">☐ </w:t>
      </w:r>
      <w:r>
        <w:t>Inter font system applied consistently</w:t>
      </w:r>
    </w:p>
    <w:p>
      <w:pPr>
        <w:pStyle w:val="ListBullet"/>
      </w:pPr>
      <w:r>
        <w:rPr>
          <w:b/>
        </w:rPr>
        <w:t xml:space="preserve">☐ </w:t>
      </w:r>
      <w:r>
        <w:t>Color tokens centralized</w:t>
      </w:r>
    </w:p>
    <w:p>
      <w:pPr>
        <w:pStyle w:val="ListBullet"/>
      </w:pPr>
      <w:r>
        <w:rPr>
          <w:b/>
        </w:rPr>
        <w:t xml:space="preserve">☐ </w:t>
      </w:r>
      <w:r>
        <w:t>Web metadata and product naming updated</w:t>
      </w:r>
    </w:p>
    <w:p>
      <w:pPr>
        <w:pStyle w:val="ListBullet"/>
      </w:pPr>
      <w:r>
        <w:rPr>
          <w:b/>
        </w:rPr>
        <w:t xml:space="preserve">☐ </w:t>
      </w:r>
      <w:r>
        <w:t>Flutter app display name and icons updated</w:t>
      </w:r>
    </w:p>
    <w:p>
      <w:pPr>
        <w:pStyle w:val="ListBullet"/>
      </w:pPr>
      <w:r>
        <w:rPr>
          <w:b/>
        </w:rPr>
        <w:t xml:space="preserve">☐ </w:t>
      </w:r>
      <w:r>
        <w:t>Android package identifier finalized before Play publication</w:t>
      </w:r>
    </w:p>
    <w:p>
      <w:pPr>
        <w:pStyle w:val="ListBullet"/>
      </w:pPr>
      <w:r>
        <w:rPr>
          <w:b/>
        </w:rPr>
        <w:t xml:space="preserve">☐ </w:t>
      </w:r>
      <w:r>
        <w:t>iOS bundle identifier finalized before App Store publication</w:t>
      </w:r>
    </w:p>
    <w:p>
      <w:pPr>
        <w:pStyle w:val="ListBullet"/>
      </w:pPr>
      <w:r>
        <w:rPr>
          <w:b/>
        </w:rPr>
        <w:t xml:space="preserve">☐ </w:t>
      </w:r>
      <w:r>
        <w:t>GitHub repository / documentation reviewed for public legacy naming</w:t>
      </w:r>
    </w:p>
    <w:p>
      <w:pPr>
        <w:pStyle w:val="ListBullet"/>
      </w:pPr>
      <w:r>
        <w:rPr>
          <w:b/>
        </w:rPr>
        <w:t xml:space="preserve">☐ </w:t>
      </w:r>
      <w:r>
        <w:t>Supabase auth redirect URLs reviewed</w:t>
      </w:r>
    </w:p>
    <w:p>
      <w:pPr>
        <w:pStyle w:val="ListBullet"/>
      </w:pPr>
      <w:r>
        <w:rPr>
          <w:b/>
        </w:rPr>
        <w:t xml:space="preserve">☐ </w:t>
      </w:r>
      <w:r>
        <w:t>Email templates and sender identity updated</w:t>
      </w:r>
    </w:p>
    <w:p>
      <w:pPr>
        <w:pStyle w:val="ListBullet"/>
      </w:pPr>
      <w:r>
        <w:rPr>
          <w:b/>
        </w:rPr>
        <w:t xml:space="preserve">☐ </w:t>
      </w:r>
      <w:r>
        <w:t>Invoice/PDF branding updated</w:t>
      </w:r>
    </w:p>
    <w:p>
      <w:pPr>
        <w:pStyle w:val="ListBullet"/>
      </w:pPr>
      <w:r>
        <w:rPr>
          <w:b/>
        </w:rPr>
        <w:t xml:space="preserve">☐ </w:t>
      </w:r>
      <w:r>
        <w:t>QR codes and public URLs reviewed</w:t>
      </w:r>
    </w:p>
    <w:p>
      <w:pPr>
        <w:pStyle w:val="ListBullet"/>
      </w:pPr>
      <w:r>
        <w:rPr>
          <w:b/>
        </w:rPr>
        <w:t xml:space="preserve">☐ </w:t>
      </w:r>
      <w:r>
        <w:t>Privacy / Terms / Compliance pages updated</w:t>
      </w:r>
    </w:p>
    <w:p>
      <w:pPr>
        <w:pStyle w:val="ListBullet"/>
      </w:pPr>
      <w:r>
        <w:rPr>
          <w:b/>
        </w:rPr>
        <w:t xml:space="preserve">☐ </w:t>
      </w:r>
      <w:r>
        <w:t>Analytics / Search Console / OpenGraph reviewed</w:t>
      </w:r>
    </w:p>
    <w:p>
      <w:pPr>
        <w:pStyle w:val="ListBullet"/>
      </w:pPr>
      <w:r>
        <w:rPr>
          <w:b/>
        </w:rPr>
        <w:t xml:space="preserve">☐ </w:t>
      </w:r>
      <w:r>
        <w:t>YouTube and social brand assets updated</w:t>
      </w:r>
    </w:p>
    <w:p>
      <w:pPr>
        <w:pStyle w:val="ListBullet"/>
      </w:pPr>
      <w:r>
        <w:rPr>
          <w:b/>
        </w:rPr>
        <w:t xml:space="preserve">☐ </w:t>
      </w:r>
      <w:r>
        <w:t>Canonical redirects and SEO migration tested</w:t>
      </w:r>
    </w:p>
    <w:p>
      <w:pPr>
        <w:pStyle w:val="ListBullet"/>
      </w:pPr>
      <w:r>
        <w:rPr>
          <w:b/>
        </w:rPr>
        <w:t xml:space="preserve">☐ </w:t>
      </w:r>
      <w:r>
        <w:t>Cross-platform QA completed</w:t>
      </w:r>
    </w:p>
    <w:p>
      <w:pPr>
        <w:pStyle w:val="Heading1"/>
        <w:keepNext/>
      </w:pPr>
      <w:r>
        <w:rPr>
          <w:color w:val="013948"/>
        </w:rPr>
        <w:t>19. One-Page Brand Quick Reference</w:t>
      </w:r>
    </w:p>
    <w:p>
      <w:pPr>
        <w:jc w:val="center"/>
      </w:pPr>
      <w:r>
        <w:drawing>
          <wp:inline xmlns:a="http://schemas.openxmlformats.org/drawingml/2006/main" xmlns:pic="http://schemas.openxmlformats.org/drawingml/2006/picture">
            <wp:extent cx="6309360" cy="804987"/>
            <wp:docPr id="12" name="Picture 12"/>
            <wp:cNvGraphicFramePr>
              <a:graphicFrameLocks noChangeAspect="1"/>
            </wp:cNvGraphicFramePr>
            <a:graphic>
              <a:graphicData uri="http://schemas.openxmlformats.org/drawingml/2006/picture">
                <pic:pic>
                  <pic:nvPicPr>
                    <pic:cNvPr id="0" name="color_typography_mantra.png"/>
                    <pic:cNvPicPr/>
                  </pic:nvPicPr>
                  <pic:blipFill>
                    <a:blip r:embed="rId20"/>
                    <a:stretch>
                      <a:fillRect/>
                    </a:stretch>
                  </pic:blipFill>
                  <pic:spPr>
                    <a:xfrm>
                      <a:off x="0" y="0"/>
                      <a:ext cx="6309360" cy="804987"/>
                    </a:xfrm>
                    <a:prstGeom prst="rect"/>
                  </pic:spPr>
                </pic:pic>
              </a:graphicData>
            </a:graphic>
          </wp:inline>
        </w:drawing>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Name</w:t>
            </w:r>
          </w:p>
        </w:tc>
        <w:tc>
          <w:tcPr>
            <w:tcW w:type="dxa" w:w="5083"/>
            <w:tcMar>
              <w:top w:w="100" w:type="dxa"/>
              <w:start w:w="120" w:type="dxa"/>
              <w:bottom w:w="100" w:type="dxa"/>
              <w:end w:w="120" w:type="dxa"/>
            </w:tcMar>
            <w:vAlign w:val="center"/>
          </w:tcPr>
          <w:p>
            <w:r>
              <w:t>NOBEVRA</w:t>
            </w:r>
          </w:p>
        </w:tc>
      </w:tr>
      <w:tr>
        <w:tc>
          <w:tcPr>
            <w:tcW w:type="dxa" w:w="5083"/>
            <w:shd w:fill="F4F9FC"/>
            <w:tcMar>
              <w:top w:w="100" w:type="dxa"/>
              <w:start w:w="120" w:type="dxa"/>
              <w:bottom w:w="100" w:type="dxa"/>
              <w:end w:w="120" w:type="dxa"/>
            </w:tcMar>
            <w:vAlign w:val="center"/>
          </w:tcPr>
          <w:p>
            <w:r>
              <w:t>Position</w:t>
            </w:r>
          </w:p>
        </w:tc>
        <w:tc>
          <w:tcPr>
            <w:tcW w:type="dxa" w:w="5083"/>
            <w:tcMar>
              <w:top w:w="100" w:type="dxa"/>
              <w:start w:w="120" w:type="dxa"/>
              <w:bottom w:w="100" w:type="dxa"/>
              <w:end w:w="120" w:type="dxa"/>
            </w:tcMar>
            <w:vAlign w:val="center"/>
          </w:tcPr>
          <w:p>
            <w:r>
              <w:t>The Intelligent Business Operating System</w:t>
            </w:r>
          </w:p>
        </w:tc>
      </w:tr>
      <w:tr>
        <w:tc>
          <w:tcPr>
            <w:tcW w:type="dxa" w:w="5083"/>
            <w:shd w:fill="F4F9FC"/>
            <w:tcMar>
              <w:top w:w="100" w:type="dxa"/>
              <w:start w:w="120" w:type="dxa"/>
              <w:bottom w:w="100" w:type="dxa"/>
              <w:end w:w="120" w:type="dxa"/>
            </w:tcMar>
            <w:vAlign w:val="center"/>
          </w:tcPr>
          <w:p>
            <w:r>
              <w:t>Promise</w:t>
            </w:r>
          </w:p>
        </w:tc>
        <w:tc>
          <w:tcPr>
            <w:tcW w:type="dxa" w:w="5083"/>
            <w:tcMar>
              <w:top w:w="100" w:type="dxa"/>
              <w:start w:w="120" w:type="dxa"/>
              <w:bottom w:w="100" w:type="dxa"/>
              <w:end w:w="120" w:type="dxa"/>
            </w:tcMar>
            <w:vAlign w:val="center"/>
          </w:tcPr>
          <w:p>
            <w:r>
              <w:t>Everything Your Business Needs. One Intelligent Platform.</w:t>
            </w:r>
          </w:p>
        </w:tc>
      </w:tr>
      <w:tr>
        <w:tc>
          <w:tcPr>
            <w:tcW w:type="dxa" w:w="5083"/>
            <w:shd w:fill="F4F9FC"/>
            <w:tcMar>
              <w:top w:w="100" w:type="dxa"/>
              <w:start w:w="120" w:type="dxa"/>
              <w:bottom w:w="100" w:type="dxa"/>
              <w:end w:w="120" w:type="dxa"/>
            </w:tcMar>
            <w:vAlign w:val="center"/>
          </w:tcPr>
          <w:p>
            <w:r>
              <w:t>Mantra</w:t>
            </w:r>
          </w:p>
        </w:tc>
        <w:tc>
          <w:tcPr>
            <w:tcW w:type="dxa" w:w="5083"/>
            <w:tcMar>
              <w:top w:w="100" w:type="dxa"/>
              <w:start w:w="120" w:type="dxa"/>
              <w:bottom w:w="100" w:type="dxa"/>
              <w:end w:w="120" w:type="dxa"/>
            </w:tcMar>
            <w:vAlign w:val="center"/>
          </w:tcPr>
          <w:p>
            <w:r>
              <w:t>Run. Connect. Grow.</w:t>
            </w:r>
          </w:p>
        </w:tc>
      </w:tr>
      <w:tr>
        <w:tc>
          <w:tcPr>
            <w:tcW w:type="dxa" w:w="5083"/>
            <w:shd w:fill="F4F9FC"/>
            <w:tcMar>
              <w:top w:w="100" w:type="dxa"/>
              <w:start w:w="120" w:type="dxa"/>
              <w:bottom w:w="100" w:type="dxa"/>
              <w:end w:w="120" w:type="dxa"/>
            </w:tcMar>
            <w:vAlign w:val="center"/>
          </w:tcPr>
          <w:p>
            <w:r>
              <w:t>Primary font</w:t>
            </w:r>
          </w:p>
        </w:tc>
        <w:tc>
          <w:tcPr>
            <w:tcW w:type="dxa" w:w="5083"/>
            <w:tcMar>
              <w:top w:w="100" w:type="dxa"/>
              <w:start w:w="120" w:type="dxa"/>
              <w:bottom w:w="100" w:type="dxa"/>
              <w:end w:w="120" w:type="dxa"/>
            </w:tcMar>
            <w:vAlign w:val="center"/>
          </w:tcPr>
          <w:p>
            <w:r>
              <w:t>Inter</w:t>
            </w:r>
          </w:p>
        </w:tc>
      </w:tr>
      <w:tr>
        <w:tc>
          <w:tcPr>
            <w:tcW w:type="dxa" w:w="5083"/>
            <w:shd w:fill="F4F9FC"/>
            <w:tcMar>
              <w:top w:w="100" w:type="dxa"/>
              <w:start w:w="120" w:type="dxa"/>
              <w:bottom w:w="100" w:type="dxa"/>
              <w:end w:w="120" w:type="dxa"/>
            </w:tcMar>
            <w:vAlign w:val="center"/>
          </w:tcPr>
          <w:p>
            <w:r>
              <w:t>Core colors</w:t>
            </w:r>
          </w:p>
        </w:tc>
        <w:tc>
          <w:tcPr>
            <w:tcW w:type="dxa" w:w="5083"/>
            <w:tcMar>
              <w:top w:w="100" w:type="dxa"/>
              <w:start w:w="120" w:type="dxa"/>
              <w:bottom w:w="100" w:type="dxa"/>
              <w:end w:w="120" w:type="dxa"/>
            </w:tcMar>
            <w:vAlign w:val="center"/>
          </w:tcPr>
          <w:p>
            <w:r>
              <w:t>#013948  |  #01A0E2  |  #01779D  |  #00C7F2</w:t>
            </w:r>
          </w:p>
        </w:tc>
      </w:tr>
      <w:tr>
        <w:tc>
          <w:tcPr>
            <w:tcW w:type="dxa" w:w="5083"/>
            <w:shd w:fill="F4F9FC"/>
            <w:tcMar>
              <w:top w:w="100" w:type="dxa"/>
              <w:start w:w="120" w:type="dxa"/>
              <w:bottom w:w="100" w:type="dxa"/>
              <w:end w:w="120" w:type="dxa"/>
            </w:tcMar>
            <w:vAlign w:val="center"/>
          </w:tcPr>
          <w:p>
            <w:r>
              <w:t>Personality</w:t>
            </w:r>
          </w:p>
        </w:tc>
        <w:tc>
          <w:tcPr>
            <w:tcW w:type="dxa" w:w="5083"/>
            <w:tcMar>
              <w:top w:w="100" w:type="dxa"/>
              <w:start w:w="120" w:type="dxa"/>
              <w:bottom w:w="100" w:type="dxa"/>
              <w:end w:w="120" w:type="dxa"/>
            </w:tcMar>
            <w:vAlign w:val="center"/>
          </w:tcPr>
          <w:p>
            <w:r>
              <w:t>Intelligent • Professional • Empowering • Modern • Global • Human</w:t>
            </w:r>
          </w:p>
        </w:tc>
      </w:tr>
      <w:tr>
        <w:tc>
          <w:tcPr>
            <w:tcW w:type="dxa" w:w="5083"/>
            <w:shd w:fill="F4F9FC"/>
            <w:tcMar>
              <w:top w:w="100" w:type="dxa"/>
              <w:start w:w="120" w:type="dxa"/>
              <w:bottom w:w="100" w:type="dxa"/>
              <w:end w:w="120" w:type="dxa"/>
            </w:tcMar>
            <w:vAlign w:val="center"/>
          </w:tcPr>
          <w:p>
            <w:r>
              <w:t>Master-brand rule</w:t>
            </w:r>
          </w:p>
        </w:tc>
        <w:tc>
          <w:tcPr>
            <w:tcW w:type="dxa" w:w="5083"/>
            <w:tcMar>
              <w:top w:w="100" w:type="dxa"/>
              <w:start w:w="120" w:type="dxa"/>
              <w:bottom w:w="100" w:type="dxa"/>
              <w:end w:w="120" w:type="dxa"/>
            </w:tcMar>
            <w:vAlign w:val="center"/>
          </w:tcPr>
          <w:p>
            <w:r>
              <w:t>One brand; descriptive capabilities; no unnecessary sub-brands.</w:t>
            </w:r>
          </w:p>
        </w:tc>
      </w:tr>
      <w:tr>
        <w:tc>
          <w:tcPr>
            <w:tcW w:type="dxa" w:w="5083"/>
            <w:shd w:fill="F4F9FC"/>
            <w:tcMar>
              <w:top w:w="100" w:type="dxa"/>
              <w:start w:w="120" w:type="dxa"/>
              <w:bottom w:w="100" w:type="dxa"/>
              <w:end w:w="120" w:type="dxa"/>
            </w:tcMar>
            <w:vAlign w:val="center"/>
          </w:tcPr>
          <w:p>
            <w:r>
              <w:t>Logo rule</w:t>
            </w:r>
          </w:p>
        </w:tc>
        <w:tc>
          <w:tcPr>
            <w:tcW w:type="dxa" w:w="5083"/>
            <w:tcMar>
              <w:top w:w="100" w:type="dxa"/>
              <w:start w:w="120" w:type="dxa"/>
              <w:bottom w:w="100" w:type="dxa"/>
              <w:end w:w="120" w:type="dxa"/>
            </w:tcMar>
            <w:vAlign w:val="center"/>
          </w:tcPr>
          <w:p>
            <w:r>
              <w:t>Use approved artwork only; preserve proportions, clear space and contrast.</w:t>
            </w:r>
          </w:p>
        </w:tc>
      </w:tr>
      <w:tr>
        <w:tc>
          <w:tcPr>
            <w:tcW w:type="dxa" w:w="5083"/>
            <w:shd w:fill="F4F9FC"/>
            <w:tcMar>
              <w:top w:w="100" w:type="dxa"/>
              <w:start w:w="120" w:type="dxa"/>
              <w:bottom w:w="100" w:type="dxa"/>
              <w:end w:w="120" w:type="dxa"/>
            </w:tcMar>
            <w:vAlign w:val="center"/>
          </w:tcPr>
          <w:p>
            <w:r>
              <w:t>Claim rule</w:t>
            </w:r>
          </w:p>
        </w:tc>
        <w:tc>
          <w:tcPr>
            <w:tcW w:type="dxa" w:w="5083"/>
            <w:tcMar>
              <w:top w:w="100" w:type="dxa"/>
              <w:start w:w="120" w:type="dxa"/>
              <w:bottom w:w="100" w:type="dxa"/>
              <w:end w:w="120" w:type="dxa"/>
            </w:tcMar>
            <w:vAlign w:val="center"/>
          </w:tcPr>
          <w:p>
            <w:r>
              <w:t>Outcome-led, evidence-based, globally inclusive, never misleading.</w:t>
            </w:r>
          </w:p>
        </w:tc>
      </w:tr>
    </w:tbl>
    <w:p/>
    <w:tbl>
      <w:tblPr>
        <w:tblW w:type="auto" w:w="0"/>
        <w:jc w:val="center"/>
        <w:tblLayout w:type="autofit"/>
        <w:tblLook w:firstColumn="1" w:firstRow="1" w:lastColumn="0" w:lastRow="0" w:noHBand="0" w:noVBand="1" w:val="04A0"/>
      </w:tblPr>
      <w:tblGrid>
        <w:gridCol w:w="10166"/>
      </w:tblGrid>
      <w:tr>
        <w:tc>
          <w:tcPr>
            <w:tcW w:type="dxa" w:w="10166"/>
            <w:shd w:fill="EAF7FC"/>
            <w:tcMar>
              <w:top w:w="180" w:type="dxa"/>
              <w:start w:w="220" w:type="dxa"/>
              <w:bottom w:w="180" w:type="dxa"/>
              <w:end w:w="220" w:type="dxa"/>
            </w:tcMar>
          </w:tcPr>
          <w:p>
            <w:r>
              <w:rPr>
                <w:b/>
                <w:color w:val="01A0E2"/>
                <w:sz w:val="18"/>
              </w:rPr>
              <w:t>FINAL BRAND DEFINITION</w:t>
            </w:r>
          </w:p>
          <w:p>
            <w:pPr>
              <w:spacing w:after="0"/>
            </w:pPr>
            <w:r>
              <w:t>NOBEVRA — The Intelligent Business Operating System. Everything Your Business Needs. One Intelligent Platform. RUN. CONNECT. GROW.</w:t>
            </w:r>
          </w:p>
        </w:tc>
      </w:tr>
    </w:tbl>
    <w:p>
      <w:pPr>
        <w:pStyle w:val="Heading1"/>
        <w:keepNext/>
      </w:pPr>
      <w:r>
        <w:rPr>
          <w:color w:val="013948"/>
        </w:rPr>
        <w:t>20. Appendix: Official Identity Asset Register</w:t>
      </w:r>
    </w:p>
    <w:tbl>
      <w:tblPr>
        <w:tblW w:type="auto" w:w="0"/>
        <w:jc w:val="center"/>
        <w:tblLayout w:type="autofit"/>
        <w:tblLook w:firstColumn="1" w:firstRow="1" w:lastColumn="0" w:lastRow="0" w:noHBand="0" w:noVBand="1" w:val="04A0"/>
        <w:tblBorders>
          <w:top w:val="single" w:sz="6" w:space="0" w:color="D8E2E8"/>
          <w:left w:val="single" w:sz="6" w:space="0" w:color="D8E2E8"/>
          <w:bottom w:val="single" w:sz="6" w:space="0" w:color="D8E2E8"/>
          <w:right w:val="single" w:sz="6" w:space="0" w:color="D8E2E8"/>
          <w:insideH w:val="single" w:sz="6" w:space="0" w:color="D8E2E8"/>
          <w:insideV w:val="single" w:sz="6" w:space="0" w:color="D8E2E8"/>
        </w:tblBorders>
      </w:tblPr>
      <w:tblGrid>
        <w:gridCol w:w="5083"/>
        <w:gridCol w:w="5083"/>
      </w:tblGrid>
      <w:tr>
        <w:trPr>
          <w:tblHeader w:val="true"/>
        </w:trPr>
        <w:tc>
          <w:tcPr>
            <w:tcW w:type="dxa" w:w="5083"/>
            <w:shd w:fill="013948"/>
          </w:tcPr>
          <w:p>
            <w:r>
              <w:rPr>
                <w:b/>
                <w:color w:val="FFFFFF"/>
              </w:rPr>
              <w:t>Element</w:t>
            </w:r>
          </w:p>
        </w:tc>
        <w:tc>
          <w:tcPr>
            <w:tcW w:type="dxa" w:w="5083"/>
            <w:shd w:fill="013948"/>
          </w:tcPr>
          <w:p>
            <w:r>
              <w:rPr>
                <w:b/>
                <w:color w:val="FFFFFF"/>
              </w:rPr>
              <w:t>Guideline</w:t>
            </w:r>
          </w:p>
        </w:tc>
      </w:tr>
      <w:tr>
        <w:tc>
          <w:tcPr>
            <w:tcW w:type="dxa" w:w="5083"/>
            <w:shd w:fill="F4F9FC"/>
            <w:tcMar>
              <w:top w:w="100" w:type="dxa"/>
              <w:start w:w="120" w:type="dxa"/>
              <w:bottom w:w="100" w:type="dxa"/>
              <w:end w:w="120" w:type="dxa"/>
            </w:tcMar>
            <w:vAlign w:val="center"/>
          </w:tcPr>
          <w:p>
            <w:r>
              <w:t>Primary lockup</w:t>
            </w:r>
          </w:p>
        </w:tc>
        <w:tc>
          <w:tcPr>
            <w:tcW w:type="dxa" w:w="5083"/>
            <w:tcMar>
              <w:top w:w="100" w:type="dxa"/>
              <w:start w:w="120" w:type="dxa"/>
              <w:bottom w:w="100" w:type="dxa"/>
              <w:end w:w="120" w:type="dxa"/>
            </w:tcMar>
            <w:vAlign w:val="center"/>
          </w:tcPr>
          <w:p>
            <w:r>
              <w:t>Official supplied artwork — full symbol + wordmark + descriptor.</w:t>
            </w:r>
          </w:p>
        </w:tc>
      </w:tr>
      <w:tr>
        <w:tc>
          <w:tcPr>
            <w:tcW w:type="dxa" w:w="5083"/>
            <w:shd w:fill="F4F9FC"/>
            <w:tcMar>
              <w:top w:w="100" w:type="dxa"/>
              <w:start w:w="120" w:type="dxa"/>
              <w:bottom w:w="100" w:type="dxa"/>
              <w:end w:w="120" w:type="dxa"/>
            </w:tcMar>
            <w:vAlign w:val="center"/>
          </w:tcPr>
          <w:p>
            <w:r>
              <w:t>Symbol</w:t>
            </w:r>
          </w:p>
        </w:tc>
        <w:tc>
          <w:tcPr>
            <w:tcW w:type="dxa" w:w="5083"/>
            <w:tcMar>
              <w:top w:w="100" w:type="dxa"/>
              <w:start w:w="120" w:type="dxa"/>
              <w:bottom w:w="100" w:type="dxa"/>
              <w:end w:w="120" w:type="dxa"/>
            </w:tcMar>
            <w:vAlign w:val="center"/>
          </w:tcPr>
          <w:p>
            <w:r>
              <w:t>Official supplied artwork — standalone mark.</w:t>
            </w:r>
          </w:p>
        </w:tc>
      </w:tr>
      <w:tr>
        <w:tc>
          <w:tcPr>
            <w:tcW w:type="dxa" w:w="5083"/>
            <w:shd w:fill="F4F9FC"/>
            <w:tcMar>
              <w:top w:w="100" w:type="dxa"/>
              <w:start w:w="120" w:type="dxa"/>
              <w:bottom w:w="100" w:type="dxa"/>
              <w:end w:w="120" w:type="dxa"/>
            </w:tcMar>
            <w:vAlign w:val="center"/>
          </w:tcPr>
          <w:p>
            <w:r>
              <w:t>App icon concept</w:t>
            </w:r>
          </w:p>
        </w:tc>
        <w:tc>
          <w:tcPr>
            <w:tcW w:type="dxa" w:w="5083"/>
            <w:tcMar>
              <w:top w:w="100" w:type="dxa"/>
              <w:start w:w="120" w:type="dxa"/>
              <w:bottom w:w="100" w:type="dxa"/>
              <w:end w:w="120" w:type="dxa"/>
            </w:tcMar>
            <w:vAlign w:val="center"/>
          </w:tcPr>
          <w:p>
            <w:r>
              <w:t>Official supplied artwork — dark rounded-square application treatment.</w:t>
            </w:r>
          </w:p>
        </w:tc>
      </w:tr>
      <w:tr>
        <w:tc>
          <w:tcPr>
            <w:tcW w:type="dxa" w:w="5083"/>
            <w:shd w:fill="F4F9FC"/>
            <w:tcMar>
              <w:top w:w="100" w:type="dxa"/>
              <w:start w:w="120" w:type="dxa"/>
              <w:bottom w:w="100" w:type="dxa"/>
              <w:end w:w="120" w:type="dxa"/>
            </w:tcMar>
            <w:vAlign w:val="center"/>
          </w:tcPr>
          <w:p>
            <w:r>
              <w:t>Horizontal logo</w:t>
            </w:r>
          </w:p>
        </w:tc>
        <w:tc>
          <w:tcPr>
            <w:tcW w:type="dxa" w:w="5083"/>
            <w:tcMar>
              <w:top w:w="100" w:type="dxa"/>
              <w:start w:w="120" w:type="dxa"/>
              <w:bottom w:w="100" w:type="dxa"/>
              <w:end w:w="120" w:type="dxa"/>
            </w:tcMar>
            <w:vAlign w:val="center"/>
          </w:tcPr>
          <w:p>
            <w:r>
              <w:t>Official supplied artwork — compact horizontal lockup.</w:t>
            </w:r>
          </w:p>
        </w:tc>
      </w:tr>
      <w:tr>
        <w:tc>
          <w:tcPr>
            <w:tcW w:type="dxa" w:w="5083"/>
            <w:shd w:fill="F4F9FC"/>
            <w:tcMar>
              <w:top w:w="100" w:type="dxa"/>
              <w:start w:w="120" w:type="dxa"/>
              <w:bottom w:w="100" w:type="dxa"/>
              <w:end w:w="120" w:type="dxa"/>
            </w:tcMar>
            <w:vAlign w:val="center"/>
          </w:tcPr>
          <w:p>
            <w:r>
              <w:t>Icon only</w:t>
            </w:r>
          </w:p>
        </w:tc>
        <w:tc>
          <w:tcPr>
            <w:tcW w:type="dxa" w:w="5083"/>
            <w:tcMar>
              <w:top w:w="100" w:type="dxa"/>
              <w:start w:w="120" w:type="dxa"/>
              <w:bottom w:w="100" w:type="dxa"/>
              <w:end w:w="120" w:type="dxa"/>
            </w:tcMar>
            <w:vAlign w:val="center"/>
          </w:tcPr>
          <w:p>
            <w:r>
              <w:t>Official supplied artwork — compact standalone mark.</w:t>
            </w:r>
          </w:p>
        </w:tc>
      </w:tr>
      <w:tr>
        <w:tc>
          <w:tcPr>
            <w:tcW w:type="dxa" w:w="5083"/>
            <w:shd w:fill="F4F9FC"/>
            <w:tcMar>
              <w:top w:w="100" w:type="dxa"/>
              <w:start w:w="120" w:type="dxa"/>
              <w:bottom w:w="100" w:type="dxa"/>
              <w:end w:w="120" w:type="dxa"/>
            </w:tcMar>
            <w:vAlign w:val="center"/>
          </w:tcPr>
          <w:p>
            <w:r>
              <w:t>Monochrome</w:t>
            </w:r>
          </w:p>
        </w:tc>
        <w:tc>
          <w:tcPr>
            <w:tcW w:type="dxa" w:w="5083"/>
            <w:tcMar>
              <w:top w:w="100" w:type="dxa"/>
              <w:start w:w="120" w:type="dxa"/>
              <w:bottom w:w="100" w:type="dxa"/>
              <w:end w:w="120" w:type="dxa"/>
            </w:tcMar>
            <w:vAlign w:val="center"/>
          </w:tcPr>
          <w:p>
            <w:r>
              <w:t>Official supplied artwork — single-color application.</w:t>
            </w:r>
          </w:p>
        </w:tc>
      </w:tr>
      <w:tr>
        <w:tc>
          <w:tcPr>
            <w:tcW w:type="dxa" w:w="5083"/>
            <w:shd w:fill="F4F9FC"/>
            <w:tcMar>
              <w:top w:w="100" w:type="dxa"/>
              <w:start w:w="120" w:type="dxa"/>
              <w:bottom w:w="100" w:type="dxa"/>
              <w:end w:w="120" w:type="dxa"/>
            </w:tcMar>
            <w:vAlign w:val="center"/>
          </w:tcPr>
          <w:p>
            <w:r>
              <w:t>Dark background version</w:t>
            </w:r>
          </w:p>
        </w:tc>
        <w:tc>
          <w:tcPr>
            <w:tcW w:type="dxa" w:w="5083"/>
            <w:tcMar>
              <w:top w:w="100" w:type="dxa"/>
              <w:start w:w="120" w:type="dxa"/>
              <w:bottom w:w="100" w:type="dxa"/>
              <w:end w:w="120" w:type="dxa"/>
            </w:tcMar>
            <w:vAlign w:val="center"/>
          </w:tcPr>
          <w:p>
            <w:r>
              <w:t>Official supplied artwork — light wordmark on dark surface.</w:t>
            </w:r>
          </w:p>
        </w:tc>
      </w:tr>
      <w:tr>
        <w:tc>
          <w:tcPr>
            <w:tcW w:type="dxa" w:w="5083"/>
            <w:shd w:fill="F4F9FC"/>
            <w:tcMar>
              <w:top w:w="100" w:type="dxa"/>
              <w:start w:w="120" w:type="dxa"/>
              <w:bottom w:w="100" w:type="dxa"/>
              <w:end w:w="120" w:type="dxa"/>
            </w:tcMar>
            <w:vAlign w:val="center"/>
          </w:tcPr>
          <w:p>
            <w:r>
              <w:t>Light background version</w:t>
            </w:r>
          </w:p>
        </w:tc>
        <w:tc>
          <w:tcPr>
            <w:tcW w:type="dxa" w:w="5083"/>
            <w:tcMar>
              <w:top w:w="100" w:type="dxa"/>
              <w:start w:w="120" w:type="dxa"/>
              <w:bottom w:w="100" w:type="dxa"/>
              <w:end w:w="120" w:type="dxa"/>
            </w:tcMar>
            <w:vAlign w:val="center"/>
          </w:tcPr>
          <w:p>
            <w:r>
              <w:t>Official supplied artwork — primary light-surface application.</w:t>
            </w:r>
          </w:p>
        </w:tc>
      </w:tr>
      <w:tr>
        <w:tc>
          <w:tcPr>
            <w:tcW w:type="dxa" w:w="5083"/>
            <w:shd w:fill="F4F9FC"/>
            <w:tcMar>
              <w:top w:w="100" w:type="dxa"/>
              <w:start w:w="120" w:type="dxa"/>
              <w:bottom w:w="100" w:type="dxa"/>
              <w:end w:w="120" w:type="dxa"/>
            </w:tcMar>
            <w:vAlign w:val="center"/>
          </w:tcPr>
          <w:p>
            <w:r>
              <w:t>Color palette</w:t>
            </w:r>
          </w:p>
        </w:tc>
        <w:tc>
          <w:tcPr>
            <w:tcW w:type="dxa" w:w="5083"/>
            <w:tcMar>
              <w:top w:w="100" w:type="dxa"/>
              <w:start w:w="120" w:type="dxa"/>
              <w:bottom w:w="100" w:type="dxa"/>
              <w:end w:w="120" w:type="dxa"/>
            </w:tcMar>
            <w:vAlign w:val="center"/>
          </w:tcPr>
          <w:p>
            <w:r>
              <w:t>Official supplied reference values; normalize against vector masters before mass rollout.</w:t>
            </w:r>
          </w:p>
        </w:tc>
      </w:tr>
      <w:tr>
        <w:tc>
          <w:tcPr>
            <w:tcW w:type="dxa" w:w="5083"/>
            <w:shd w:fill="F4F9FC"/>
            <w:tcMar>
              <w:top w:w="100" w:type="dxa"/>
              <w:start w:w="120" w:type="dxa"/>
              <w:bottom w:w="100" w:type="dxa"/>
              <w:end w:w="120" w:type="dxa"/>
            </w:tcMar>
            <w:vAlign w:val="center"/>
          </w:tcPr>
          <w:p>
            <w:r>
              <w:t>Typography</w:t>
            </w:r>
          </w:p>
        </w:tc>
        <w:tc>
          <w:tcPr>
            <w:tcW w:type="dxa" w:w="5083"/>
            <w:tcMar>
              <w:top w:w="100" w:type="dxa"/>
              <w:start w:w="120" w:type="dxa"/>
              <w:bottom w:w="100" w:type="dxa"/>
              <w:end w:w="120" w:type="dxa"/>
            </w:tcMar>
            <w:vAlign w:val="center"/>
          </w:tcPr>
          <w:p>
            <w:r>
              <w:t>Inter family; approved hierarchy defined in this guide.</w:t>
            </w:r>
          </w:p>
        </w:tc>
      </w:tr>
      <w:tr>
        <w:tc>
          <w:tcPr>
            <w:tcW w:type="dxa" w:w="5083"/>
            <w:shd w:fill="F4F9FC"/>
            <w:tcMar>
              <w:top w:w="100" w:type="dxa"/>
              <w:start w:w="120" w:type="dxa"/>
              <w:bottom w:w="100" w:type="dxa"/>
              <w:end w:w="120" w:type="dxa"/>
            </w:tcMar>
            <w:vAlign w:val="center"/>
          </w:tcPr>
          <w:p>
            <w:r>
              <w:t>Product mantra</w:t>
            </w:r>
          </w:p>
        </w:tc>
        <w:tc>
          <w:tcPr>
            <w:tcW w:type="dxa" w:w="5083"/>
            <w:tcMar>
              <w:top w:w="100" w:type="dxa"/>
              <w:start w:w="120" w:type="dxa"/>
              <w:bottom w:w="100" w:type="dxa"/>
              <w:end w:w="120" w:type="dxa"/>
            </w:tcMar>
            <w:vAlign w:val="center"/>
          </w:tcPr>
          <w:p>
            <w:r>
              <w:t>Run. Connect. Grow.</w:t>
            </w:r>
          </w:p>
        </w:tc>
      </w:tr>
    </w:tbl>
    <w:p>
      <w:r>
        <w:t>Asset-control note: maintain a master asset repository containing editable vector originals (SVG/AI/EPS where applicable), transparent PNG exports, app-icon exports, monochrome versions, social/avatar variants and documented checksums/version history. This document contains reference crops from the supplied brand board; it is not a substitute for editable vector masters.</w:t>
      </w:r>
    </w:p>
    <w:p>
      <w:r>
        <w:br w:type="page"/>
      </w:r>
    </w:p>
    <w:p>
      <w:pPr>
        <w:jc w:val="center"/>
      </w:pPr>
      <w:r>
        <w:rPr>
          <w:b/>
          <w:color w:val="013948"/>
          <w:sz w:val="56"/>
        </w:rPr>
        <w:t>NOBEVRA</w:t>
      </w:r>
    </w:p>
    <w:p>
      <w:pPr>
        <w:jc w:val="center"/>
      </w:pPr>
      <w:r>
        <w:rPr>
          <w:color w:val="01779D"/>
          <w:sz w:val="28"/>
        </w:rPr>
        <w:t>The Intelligent Business Operating System</w:t>
      </w:r>
    </w:p>
    <w:p>
      <w:pPr>
        <w:jc w:val="center"/>
      </w:pPr>
      <w:r>
        <w:rPr>
          <w:b/>
          <w:color w:val="01A0E2"/>
          <w:sz w:val="28"/>
        </w:rPr>
        <w:t>Run. Connect. Grow.</w:t>
      </w:r>
    </w:p>
    <w:p>
      <w:pPr>
        <w:jc w:val="center"/>
      </w:pPr>
      <w:r>
        <w:rPr>
          <w:color w:val="607D89"/>
          <w:sz w:val="16"/>
        </w:rPr>
        <w:t>Official Brand Identity Guidelines • Version 2.0 • 19 August 2026</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07D89"/>
        <w:sz w:val="14"/>
      </w:rPr>
      <w:t xml:space="preserve">The Noble's Technology Services  •  Brand governance document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01779D"/>
        <w:sz w:val="15"/>
      </w:rPr>
      <w:t>NOBEVRA  •  OFFICIAL BRAND SYSTEM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Inter" w:hAnsi="Inter"/>
      <w:color w:val="0B17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Inter" w:hAnsi="Inter"/>
      <w:b/>
      <w:bCs/>
      <w:color w:val="013948"/>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Inter" w:hAnsi="Inter"/>
      <w:b/>
      <w:bCs/>
      <w:color w:val="01779D"/>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Inter" w:hAnsi="Inter"/>
      <w:b/>
      <w:bCs/>
      <w:color w:val="0139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Inter" w:hAnsi="Inter"/>
      <w:b/>
      <w:color w:val="0139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01779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