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28"/>
          <w:szCs w:val="28"/>
        </w:rPr>
        <w:t xml:space="preserve">Business Analytics Project Vision Document</w:t>
      </w:r>
    </w:p>
    <w:p>
      <w:pPr>
        <w:spacing w:after="40"/>
      </w:pPr>
      <w:r>
        <w:rPr>
          <w:rFonts w:ascii="Calibri" w:cs="Calibri" w:eastAsia="Calibri" w:hAnsi="Calibri"/>
          <w:i/>
          <w:iCs/>
          <w:sz w:val="20"/>
          <w:szCs w:val="20"/>
        </w:rPr>
        <w:t xml:space="preserve">Reducing 30-Day Readmissions for High-Utilization Diabetic Patients Through Discharge Planning Risk Stratification</w:t>
      </w:r>
    </w:p>
    <w:p>
      <w:pPr>
        <w:spacing w:after="160"/>
      </w:pPr>
      <w:r>
        <w:rPr>
          <w:rFonts w:ascii="Calibri" w:cs="Calibri" w:eastAsia="Calibri" w:hAnsi="Calibri"/>
          <w:color w:val="555555"/>
          <w:sz w:val="18"/>
          <w:szCs w:val="18"/>
        </w:rPr>
        <w:t xml:space="preserve">Grace Sitienei | Nexford University | MSc Data Analytics | Module 1 Capstone Deliverable</w:t>
      </w:r>
    </w:p>
    <w:p>
      <w:pPr>
        <w:pStyle w:val="Heading1"/>
        <w:spacing w:after="80" w:before="160"/>
      </w:pPr>
      <w:r>
        <w:t xml:space="preserve">1. Executive Summary</w:t>
      </w:r>
    </w:p>
    <w:p>
      <w:pPr>
        <w:spacing w:after="80"/>
        <w:jc w:val="both"/>
      </w:pPr>
      <w:r>
        <w:rPr>
          <w:rFonts w:ascii="Calibri" w:cs="Calibri" w:eastAsia="Calibri" w:hAnsi="Calibri"/>
          <w:sz w:val="20"/>
          <w:szCs w:val="20"/>
        </w:rPr>
        <w:t xml:space="preserve">Diabetic patients with a history of frequent hospital utilization face disproportionately high 30-day readmission rates, driving both clinical harm and financial penalty exposure under the CMS Hospital Readmissions Reduction Program (Centers for Medicare &amp; Medicaid Services, 2023). This project proposes a risk-stratification tool for hospital discharge planning teams that identifies diabetic patients with two or more prior-year inpatient/ED visits at elevated readmission risk, and prioritizes them for follow-up within the team's existing weekly capacity.</w:t>
      </w:r>
    </w:p>
    <w:p>
      <w:pPr>
        <w:spacing w:after="80"/>
        <w:jc w:val="both"/>
      </w:pPr>
      <w:r>
        <w:rPr>
          <w:rFonts w:ascii="Calibri" w:cs="Calibri" w:eastAsia="Calibri" w:hAnsi="Calibri"/>
          <w:sz w:val="20"/>
          <w:szCs w:val="20"/>
        </w:rPr>
        <w:t xml:space="preserve">The initiative integrates two analytics types: a predictive component (30-day readmission risk score) and a prescriptive component (a capacity-constrained, ranked follow-up shortlist). The analysis uses the Diabetes 130-US Hospitals dataset — 101,766 inpatient diabetic encounters from 130 U.S. hospitals, 1999–2008 (Strack et al., 2014). This document establishes the vision, ethics, stakeholders, technical direction, and governance that will guide the project through Modules 2–5 and the Final Project.</w:t>
      </w:r>
    </w:p>
    <w:p>
      <w:pPr>
        <w:pStyle w:val="Heading1"/>
        <w:spacing w:after="80" w:before="160"/>
      </w:pPr>
      <w:r>
        <w:t xml:space="preserve">2. Business Case &amp; Problem Definition</w:t>
      </w:r>
    </w:p>
    <w:p>
      <w:pPr>
        <w:spacing w:after="80"/>
        <w:jc w:val="both"/>
      </w:pPr>
      <w:r>
        <w:rPr>
          <w:rFonts w:ascii="Calibri" w:cs="Calibri" w:eastAsia="Calibri" w:hAnsi="Calibri"/>
          <w:sz w:val="20"/>
          <w:szCs w:val="20"/>
        </w:rPr>
        <w:t xml:space="preserve">Readmissions are a defined financial liability: hospitals with excess readmissions face direct Medicare reimbursement penalties (Centers for Medicare &amp; Medicaid Services, 2023), and inconsistent glycemic management independently drives inpatient cost and morbidity (Strack et al., 2014). A generic framing — “reduce readmissions for diabetic patients” — fails to guide a build, since nearly every dataset record already qualifies as diabetic. This project narrows the problem to:</w:t>
      </w:r>
    </w:p>
    <w:p>
      <w:pPr>
        <w:spacing w:after="80"/>
        <w:jc w:val="both"/>
      </w:pPr>
      <w:r>
        <w:rPr>
          <w:rFonts w:ascii="Calibri" w:cs="Calibri" w:eastAsia="Calibri" w:hAnsi="Calibri"/>
          <w:i/>
          <w:iCs/>
          <w:sz w:val="20"/>
          <w:szCs w:val="20"/>
        </w:rPr>
        <w:t xml:space="preserve">Build a readmission risk-stratification tool for hospital discharge planning teams, to prioritize post-discharge follow-up for diabetic patients with high prior-utilization burden (2+ inpatient/ED visits in the preceding year), within a fixed weekly outreach capacity.</w:t>
      </w:r>
    </w:p>
    <w:p>
      <w:pPr>
        <w:spacing w:after="80"/>
        <w:jc w:val="both"/>
      </w:pPr>
      <w:r>
        <w:rPr>
          <w:rFonts w:ascii="Calibri" w:cs="Calibri" w:eastAsia="Calibri" w:hAnsi="Calibri"/>
          <w:sz w:val="20"/>
          <w:szCs w:val="20"/>
        </w:rPr>
        <w:t xml:space="preserve">This names a specific sub-population, owner (discharge planning, not administration or an external payer), and constraint (weekly capacity) that forces a prioritized ranking rather than a blanket flag. The dataset clears the 5,000-record minimum by a wide margin (101,766 encounters, 50+ features; Strack et al., 2014). Scope boundary: this is a retrospective, academic analysis of historical (1999–2008) data, not a live clinical deployment.</w:t>
      </w:r>
    </w:p>
    <w:p>
      <w:pPr>
        <w:pStyle w:val="Heading2"/>
        <w:spacing w:after="60" w:before="100"/>
      </w:pPr>
      <w:r>
        <w:t xml:space="preserve">Why This Definition Matters: The Drift Risk</w:t>
      </w:r>
    </w:p>
    <w:p>
      <w:pPr>
        <w:spacing w:after="80"/>
        <w:jc w:val="both"/>
      </w:pPr>
      <w:r>
        <w:rPr>
          <w:rFonts w:ascii="Calibri" w:cs="Calibri" w:eastAsia="Calibri" w:hAnsi="Calibri"/>
          <w:sz w:val="20"/>
          <w:szCs w:val="20"/>
        </w:rPr>
        <w:t xml:space="preserve">Without an explicit, written-down problem definition, this specific project has a predictable failure path. The assignment brief warns that analytics initiatives typically do not fail because a model was technically wrong, but because no one recorded, before any code was written, what problem was being solved, for whom, and at what ethical cost — so the project quietly drifts until it is solving the wrong problem. For this project, that drift would most likely take two concrete forms: (1) the cohort silently expanding back from the defined high-utilization sub-population to “all diabetic patients,” which is not a real segment but the entire dataset, producing a model with no meaningful target population; and (2) the deliverable drifting from a capacity-constrained, ranked shortlist tied to a named owner (the discharge planning team) toward an unranked, undifferentiated risk flag with no defined action or user attached to it. Fixing the sub-cohort, the owner, and the capacity constraint in Section 2 above is what forecloses both drift paths before Module 2 begins.</w:t>
      </w:r>
    </w:p>
    <w:p>
      <w:pPr>
        <w:pStyle w:val="Heading1"/>
        <w:spacing w:after="80" w:before="160"/>
      </w:pPr>
      <w:r>
        <w:t xml:space="preserve">3. Vision, Goals &amp; Ethical Foundations</w:t>
      </w:r>
    </w:p>
    <w:p>
      <w:pPr>
        <w:pStyle w:val="Heading2"/>
        <w:spacing w:after="60" w:before="100"/>
      </w:pPr>
      <w:r>
        <w:t xml:space="preserve">Vision Statement</w:t>
      </w:r>
    </w:p>
    <w:p>
      <w:pPr>
        <w:spacing w:after="80"/>
        <w:jc w:val="both"/>
      </w:pPr>
      <w:r>
        <w:rPr>
          <w:rFonts w:ascii="Calibri" w:cs="Calibri" w:eastAsia="Calibri" w:hAnsi="Calibri"/>
          <w:i/>
          <w:iCs/>
          <w:sz w:val="20"/>
          <w:szCs w:val="20"/>
        </w:rPr>
        <w:t xml:space="preserve">“To equip discharge planning teams with a trusted, data-driven early-warning system that ensures no high-risk diabetic patient leaves the hospital without a clear, prioritized path to follow-up care — reducing preventable readmissions within existing staffing capacity.”</w:t>
      </w:r>
    </w:p>
    <w:p>
      <w:pPr>
        <w:pStyle w:val="Heading2"/>
        <w:spacing w:after="60" w:before="100"/>
      </w:pPr>
      <w:r>
        <w:t xml:space="preserve">Strategic Goals (SMART)</w:t>
      </w:r>
    </w:p>
    <w:p>
      <w:pPr>
        <w:pStyle w:val="ListParagraph"/>
        <w:numPr>
          <w:ilvl w:val="0"/>
          <w:numId w:val="2"/>
        </w:numPr>
        <w:spacing w:after="30"/>
      </w:pPr>
      <w:r>
        <w:rPr>
          <w:rFonts w:ascii="Calibri" w:cs="Calibri" w:eastAsia="Calibri" w:hAnsi="Calibri"/>
          <w:sz w:val="20"/>
          <w:szCs w:val="20"/>
        </w:rPr>
        <w:t xml:space="preserve">Goal 1 — Risk Identification Accuracy: identify ≥75% of actual 30-day readmissions within the top 20% of risk-ranked patients (recall@20%) on a held-out test set. Users: discharge nurses/case managers, who gain a defensible worklist over ad hoc prioritization.</w:t>
      </w:r>
    </w:p>
    <w:p>
      <w:pPr>
        <w:pStyle w:val="ListParagraph"/>
        <w:numPr>
          <w:ilvl w:val="0"/>
          <w:numId w:val="2"/>
        </w:numPr>
        <w:spacing w:after="30"/>
      </w:pPr>
      <w:r>
        <w:rPr>
          <w:rFonts w:ascii="Calibri" w:cs="Calibri" w:eastAsia="Calibri" w:hAnsi="Calibri"/>
          <w:sz w:val="20"/>
          <w:szCs w:val="20"/>
        </w:rPr>
        <w:t xml:space="preserve">Goal 2 — Capacity-Constrained Prioritization: produce a shortlist sized to weekly capacity (e.g., top 15% of discharges) with measurable lift over random selection. Users: team leads, who gain a tool matched to real staffing limits.</w:t>
      </w:r>
    </w:p>
    <w:p>
      <w:pPr>
        <w:pStyle w:val="ListParagraph"/>
        <w:numPr>
          <w:ilvl w:val="0"/>
          <w:numId w:val="2"/>
        </w:numPr>
        <w:spacing w:after="30"/>
      </w:pPr>
      <w:r>
        <w:rPr>
          <w:rFonts w:ascii="Calibri" w:cs="Calibri" w:eastAsia="Calibri" w:hAnsi="Calibri"/>
          <w:sz w:val="20"/>
          <w:szCs w:val="20"/>
        </w:rPr>
        <w:t xml:space="preserve">Goal 3 — Explainable Risk Drivers: deliver a top-5 feature-importance analysis in clinician-actionable terms. Users: case managers and administrators, who gain drivers that inform both individual care and quality-improvement work.</w:t>
      </w:r>
    </w:p>
    <w:p>
      <w:pPr>
        <w:pStyle w:val="Heading2"/>
        <w:spacing w:after="60" w:before="100"/>
      </w:pPr>
      <w:r>
        <w:t xml:space="preserve">Ethical AI Charter</w:t>
      </w:r>
    </w:p>
    <w:p>
      <w:pPr>
        <w:spacing w:after="80"/>
        <w:jc w:val="both"/>
      </w:pPr>
      <w:r>
        <w:rPr>
          <w:rFonts w:ascii="Calibri" w:cs="Calibri" w:eastAsia="Calibri" w:hAnsi="Calibri"/>
          <w:sz w:val="20"/>
          <w:szCs w:val="20"/>
        </w:rPr>
        <w:t xml:space="preserve">The tool must earn clinical staff trust and must not reproduce or amplify structural healthcare inequities. Fairness, transparency, and accountability are design requirements, not a post-hoc check. The following high-level principles govern this project:</w:t>
      </w:r>
    </w:p>
    <w:p>
      <w:pPr>
        <w:pStyle w:val="ListParagraph"/>
        <w:numPr>
          <w:ilvl w:val="0"/>
          <w:numId w:val="2"/>
        </w:numPr>
        <w:spacing w:after="30"/>
      </w:pPr>
      <w:r>
        <w:rPr>
          <w:rFonts w:ascii="Calibri" w:cs="Calibri" w:eastAsia="Calibri" w:hAnsi="Calibri"/>
          <w:sz w:val="20"/>
          <w:szCs w:val="20"/>
        </w:rPr>
        <w:t xml:space="preserve">Explainability Over Black-Box Accuracy — interpretable, clinician-facing drivers take priority over marginal accuracy gains.</w:t>
      </w:r>
    </w:p>
    <w:p>
      <w:pPr>
        <w:pStyle w:val="ListParagraph"/>
        <w:numPr>
          <w:ilvl w:val="0"/>
          <w:numId w:val="2"/>
        </w:numPr>
        <w:spacing w:after="30"/>
      </w:pPr>
      <w:r>
        <w:rPr>
          <w:rFonts w:ascii="Calibri" w:cs="Calibri" w:eastAsia="Calibri" w:hAnsi="Calibri"/>
          <w:sz w:val="20"/>
          <w:szCs w:val="20"/>
        </w:rPr>
        <w:t xml:space="preserve">Equity of Access Over Aggregate Performance — performance is evaluated per subgroup (race, age, gender); strong average performance does not excuse subgroup underperformance.</w:t>
      </w:r>
    </w:p>
    <w:p>
      <w:pPr>
        <w:pStyle w:val="ListParagraph"/>
        <w:numPr>
          <w:ilvl w:val="0"/>
          <w:numId w:val="2"/>
        </w:numPr>
        <w:spacing w:after="30"/>
      </w:pPr>
      <w:r>
        <w:rPr>
          <w:rFonts w:ascii="Calibri" w:cs="Calibri" w:eastAsia="Calibri" w:hAnsi="Calibri"/>
          <w:sz w:val="20"/>
          <w:szCs w:val="20"/>
        </w:rPr>
        <w:t xml:space="preserve">Human-in-the-Loop, Not Human-Replaced — output is decision support only; staff retain full override authority.</w:t>
      </w:r>
    </w:p>
    <w:p>
      <w:pPr>
        <w:pStyle w:val="ListParagraph"/>
        <w:numPr>
          <w:ilvl w:val="0"/>
          <w:numId w:val="2"/>
        </w:numPr>
        <w:spacing w:after="30"/>
      </w:pPr>
      <w:r>
        <w:rPr>
          <w:rFonts w:ascii="Calibri" w:cs="Calibri" w:eastAsia="Calibri" w:hAnsi="Calibri"/>
          <w:sz w:val="20"/>
          <w:szCs w:val="20"/>
        </w:rPr>
        <w:t xml:space="preserve">Privacy by Design — patient_nbr and encounter_id are dropped before modeling; any reported subgroup breakdown (e.g., in the fairness audit) is suppressed or aggregated whenever a cell contains fewer than five records, a k-anonymity threshold of k=5, so no combination of demographic and clinical fields can be narrowed down to an identifiable individual; no linkage to external datasets is permitted at any stage.</w:t>
      </w:r>
    </w:p>
    <w:p>
      <w:pPr>
        <w:pStyle w:val="Heading2"/>
        <w:spacing w:after="60" w:before="100"/>
      </w:pPr>
      <w:r>
        <w:t xml:space="preserve">Fairness Objectives</w:t>
      </w:r>
    </w:p>
    <w:p>
      <w:pPr>
        <w:pStyle w:val="ListParagraph"/>
        <w:numPr>
          <w:ilvl w:val="0"/>
          <w:numId w:val="2"/>
        </w:numPr>
        <w:spacing w:after="30"/>
      </w:pPr>
      <w:r>
        <w:rPr>
          <w:rFonts w:ascii="Calibri" w:cs="Calibri" w:eastAsia="Calibri" w:hAnsi="Calibri"/>
          <w:sz w:val="20"/>
          <w:szCs w:val="20"/>
        </w:rPr>
        <w:t xml:space="preserve">Recall and false-negative rate must not vary materially across race, age band, or gender.</w:t>
      </w:r>
    </w:p>
    <w:p>
      <w:pPr>
        <w:pStyle w:val="ListParagraph"/>
        <w:numPr>
          <w:ilvl w:val="0"/>
          <w:numId w:val="2"/>
        </w:numPr>
        <w:spacing w:after="30"/>
      </w:pPr>
      <w:r>
        <w:rPr>
          <w:rFonts w:ascii="Calibri" w:cs="Calibri" w:eastAsia="Calibri" w:hAnsi="Calibri"/>
          <w:sz w:val="20"/>
          <w:szCs w:val="20"/>
        </w:rPr>
        <w:t xml:space="preserve">Subgroups with disproportionate false-negative rates must be documented and reviewed before the model is finalized.</w:t>
      </w:r>
    </w:p>
    <w:p>
      <w:pPr>
        <w:pStyle w:val="ListParagraph"/>
        <w:numPr>
          <w:ilvl w:val="0"/>
          <w:numId w:val="2"/>
        </w:numPr>
        <w:spacing w:after="30"/>
      </w:pPr>
      <w:r>
        <w:rPr>
          <w:rFonts w:ascii="Calibri" w:cs="Calibri" w:eastAsia="Calibri" w:hAnsi="Calibri"/>
          <w:sz w:val="20"/>
          <w:szCs w:val="20"/>
        </w:rPr>
        <w:t xml:space="preserve">Proxy features (e.g., payer, admission source) are reviewed for indirect encoding of socioeconomic bias.</w:t>
      </w:r>
    </w:p>
    <w:p>
      <w:pPr>
        <w:pStyle w:val="Heading1"/>
        <w:spacing w:after="80" w:before="160"/>
      </w:pPr>
      <w:r>
        <w:t xml:space="preserve">4. Stakeholder Analysis &amp; User Personas</w:t>
      </w:r>
    </w:p>
    <w:p>
      <w:pPr>
        <w:pStyle w:val="ListParagraph"/>
        <w:numPr>
          <w:ilvl w:val="0"/>
          <w:numId w:val="2"/>
        </w:numPr>
        <w:spacing w:after="30"/>
      </w:pPr>
      <w:r>
        <w:rPr>
          <w:rFonts w:ascii="Calibri" w:cs="Calibri" w:eastAsia="Calibri" w:hAnsi="Calibri"/>
          <w:sz w:val="20"/>
          <w:szCs w:val="20"/>
        </w:rPr>
        <w:t xml:space="preserve">Discharge Planning Nurses/Case Managers (primary users) — need an actionable shortlist, not a raw score, under time pressure.</w:t>
      </w:r>
    </w:p>
    <w:p>
      <w:pPr>
        <w:pStyle w:val="ListParagraph"/>
        <w:numPr>
          <w:ilvl w:val="0"/>
          <w:numId w:val="2"/>
        </w:numPr>
        <w:spacing w:after="30"/>
      </w:pPr>
      <w:r>
        <w:rPr>
          <w:rFonts w:ascii="Calibri" w:cs="Calibri" w:eastAsia="Calibri" w:hAnsi="Calibri"/>
          <w:sz w:val="20"/>
          <w:szCs w:val="20"/>
        </w:rPr>
        <w:t xml:space="preserve">Cardiology/Endocrinology Case Managers (secondary users) — use risk-driver explanations to shape follow-up content (e.g., medication reconciliation, HbA1c retesting).</w:t>
      </w:r>
    </w:p>
    <w:p>
      <w:pPr>
        <w:pStyle w:val="ListParagraph"/>
        <w:numPr>
          <w:ilvl w:val="0"/>
          <w:numId w:val="2"/>
        </w:numPr>
        <w:spacing w:after="30"/>
      </w:pPr>
      <w:r>
        <w:rPr>
          <w:rFonts w:ascii="Calibri" w:cs="Calibri" w:eastAsia="Calibri" w:hAnsi="Calibri"/>
          <w:sz w:val="20"/>
          <w:szCs w:val="20"/>
        </w:rPr>
        <w:t xml:space="preserve">Hospital Administrators/QI Leads (tertiary users) — consume aggregate dashboards tracking readmission trends and HRRP penalty exposure.</w:t>
      </w:r>
    </w:p>
    <w:p>
      <w:pPr>
        <w:pStyle w:val="ListParagraph"/>
        <w:numPr>
          <w:ilvl w:val="0"/>
          <w:numId w:val="2"/>
        </w:numPr>
        <w:spacing w:after="30"/>
      </w:pPr>
      <w:r>
        <w:rPr>
          <w:rFonts w:ascii="Calibri" w:cs="Calibri" w:eastAsia="Calibri" w:hAnsi="Calibri"/>
          <w:sz w:val="20"/>
          <w:szCs w:val="20"/>
        </w:rPr>
        <w:t xml:space="preserve">Patients/Caregivers (non-user stakeholders) — most directly affected by model accuracy and fairness; interested in continuity of care.</w:t>
      </w:r>
    </w:p>
    <w:p>
      <w:pPr>
        <w:pStyle w:val="ListParagraph"/>
        <w:numPr>
          <w:ilvl w:val="0"/>
          <w:numId w:val="2"/>
        </w:numPr>
        <w:spacing w:after="30"/>
      </w:pPr>
      <w:r>
        <w:rPr>
          <w:rFonts w:ascii="Calibri" w:cs="Calibri" w:eastAsia="Calibri" w:hAnsi="Calibri"/>
          <w:sz w:val="20"/>
          <w:szCs w:val="20"/>
        </w:rPr>
        <w:t xml:space="preserve">Ethics Oversight: a Clinical &amp; Data Ethics Review Panel (clinical advisory reviewer, data governance/fairness reviewer, and model owner) reviews the model against the Fairness Objectives before each milestone.</w:t>
      </w:r>
    </w:p>
    <w:p>
      <w:pPr>
        <w:pStyle w:val="Heading1"/>
        <w:spacing w:after="80" w:before="160"/>
      </w:pPr>
      <w:r>
        <w:t xml:space="preserve">5. Proposed Analytics Solution &amp; Data Strategy</w:t>
      </w:r>
    </w:p>
    <w:p>
      <w:pPr>
        <w:spacing w:after="80"/>
        <w:jc w:val="both"/>
      </w:pPr>
      <w:r>
        <w:rPr>
          <w:rFonts w:ascii="Calibri" w:cs="Calibri" w:eastAsia="Calibri" w:hAnsi="Calibri"/>
          <w:sz w:val="20"/>
          <w:szCs w:val="20"/>
        </w:rPr>
        <w:t xml:space="preserve">The predictive component scores 30-day readmission risk using clinical, demographic, and prior-utilization features; the prescriptive component converts that score into a capacity-sized, ranked follow-up shortlist, accompanied by an explainability layer and a per-subgroup fairness report at every iteration.</w:t>
      </w:r>
    </w:p>
    <w:p>
      <w:pPr>
        <w:spacing w:after="80"/>
        <w:jc w:val="both"/>
      </w:pPr>
      <w:r>
        <w:rPr>
          <w:rFonts w:ascii="Calibri" w:cs="Calibri" w:eastAsia="Calibri" w:hAnsi="Calibri"/>
          <w:sz w:val="20"/>
          <w:szCs w:val="20"/>
        </w:rPr>
        <w:t xml:space="preserve">Dataset: 130 U.S. hospitals, 1999–2008, 101,766 encounters, 50+ features covering demographics, admission context, utilization history, labs, and medications (Strack et al., 2014). Key data-quality decisions: weight (≈97% missing), payer_code (≈40%), and max_glu_serum (≈95%) will be dropped rather than imputed; race and diag_1–diag_3 (≈2% missing) will be imputed; splitting will be patient-level (not encounter-level) to prevent leakage from repeat patients; high-cardinality ICD-9 diagnosis codes will be grouped into clinical categories.</w:t>
      </w:r>
    </w:p>
    <w:p>
      <w:pPr>
        <w:pStyle w:val="Heading2"/>
        <w:spacing w:after="60" w:before="100"/>
      </w:pPr>
      <w:r>
        <w:t xml:space="preserve">Proposed Technical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4E5F" w:val="clear"/>
          </w:tcPr>
          <w:p>
            <w:r>
              <w:rPr>
                <w:rFonts w:ascii="Calibri" w:cs="Calibri" w:eastAsia="Calibri" w:hAnsi="Calibri"/>
                <w:b/>
                <w:bCs/>
                <w:color w:val="FFFFFF"/>
                <w:sz w:val="18"/>
                <w:szCs w:val="18"/>
              </w:rPr>
              <w:t xml:space="preserve">Project Phase</w:t>
            </w:r>
          </w:p>
        </w:tc>
        <w:tc>
          <w:tcPr>
            <w:tcW w:type="dxa" w:w="5800"/>
            <w:shd w:fill="1F4E5F" w:val="clear"/>
          </w:tcPr>
          <w:p>
            <w:r>
              <w:rPr>
                <w:rFonts w:ascii="Calibri" w:cs="Calibri" w:eastAsia="Calibri" w:hAnsi="Calibri"/>
                <w:b/>
                <w:bCs/>
                <w:color w:val="FFFFFF"/>
                <w:sz w:val="18"/>
                <w:szCs w:val="18"/>
              </w:rPr>
              <w:t xml:space="preserve">Tool / Platform</w:t>
            </w:r>
          </w:p>
        </w:tc>
      </w:tr>
      <w:tr>
        <w:tc>
          <w:tcPr>
            <w:tcW w:type="dxa" w:w="3200"/>
          </w:tcPr>
          <w:p>
            <w:r>
              <w:rPr>
                <w:rFonts w:ascii="Calibri" w:cs="Calibri" w:eastAsia="Calibri" w:hAnsi="Calibri"/>
                <w:sz w:val="18"/>
                <w:szCs w:val="18"/>
              </w:rPr>
              <w:t xml:space="preserve">Data pipeline</w:t>
            </w:r>
          </w:p>
        </w:tc>
        <w:tc>
          <w:tcPr>
            <w:tcW w:type="dxa" w:w="5800"/>
          </w:tcPr>
          <w:p>
            <w:r>
              <w:rPr>
                <w:rFonts w:ascii="Calibri" w:cs="Calibri" w:eastAsia="Calibri" w:hAnsi="Calibri"/>
                <w:sz w:val="18"/>
                <w:szCs w:val="18"/>
              </w:rPr>
              <w:t xml:space="preserve">Python (pandas); local → AWS S3 for Final Project</w:t>
            </w:r>
          </w:p>
        </w:tc>
      </w:tr>
      <w:tr>
        <w:tc>
          <w:tcPr>
            <w:tcW w:type="dxa" w:w="3200"/>
          </w:tcPr>
          <w:p>
            <w:r>
              <w:rPr>
                <w:rFonts w:ascii="Calibri" w:cs="Calibri" w:eastAsia="Calibri" w:hAnsi="Calibri"/>
                <w:sz w:val="18"/>
                <w:szCs w:val="18"/>
              </w:rPr>
              <w:t xml:space="preserve">Modeling</w:t>
            </w:r>
          </w:p>
        </w:tc>
        <w:tc>
          <w:tcPr>
            <w:tcW w:type="dxa" w:w="5800"/>
          </w:tcPr>
          <w:p>
            <w:r>
              <w:rPr>
                <w:rFonts w:ascii="Calibri" w:cs="Calibri" w:eastAsia="Calibri" w:hAnsi="Calibri"/>
                <w:sz w:val="18"/>
                <w:szCs w:val="18"/>
              </w:rPr>
              <w:t xml:space="preserve">Python (scikit-learn, XGBoost); Jupyter</w:t>
            </w:r>
          </w:p>
        </w:tc>
      </w:tr>
      <w:tr>
        <w:tc>
          <w:tcPr>
            <w:tcW w:type="dxa" w:w="3200"/>
          </w:tcPr>
          <w:p>
            <w:r>
              <w:rPr>
                <w:rFonts w:ascii="Calibri" w:cs="Calibri" w:eastAsia="Calibri" w:hAnsi="Calibri"/>
                <w:sz w:val="18"/>
                <w:szCs w:val="18"/>
              </w:rPr>
              <w:t xml:space="preserve">Explainability</w:t>
            </w:r>
          </w:p>
        </w:tc>
        <w:tc>
          <w:tcPr>
            <w:tcW w:type="dxa" w:w="5800"/>
          </w:tcPr>
          <w:p>
            <w:r>
              <w:rPr>
                <w:rFonts w:ascii="Calibri" w:cs="Calibri" w:eastAsia="Calibri" w:hAnsi="Calibri"/>
                <w:sz w:val="18"/>
                <w:szCs w:val="18"/>
              </w:rPr>
              <w:t xml:space="preserve">SHAP</w:t>
            </w:r>
          </w:p>
        </w:tc>
      </w:tr>
      <w:tr>
        <w:tc>
          <w:tcPr>
            <w:tcW w:type="dxa" w:w="3200"/>
          </w:tcPr>
          <w:p>
            <w:r>
              <w:rPr>
                <w:rFonts w:ascii="Calibri" w:cs="Calibri" w:eastAsia="Calibri" w:hAnsi="Calibri"/>
                <w:sz w:val="18"/>
                <w:szCs w:val="18"/>
              </w:rPr>
              <w:t xml:space="preserve">Fairness analysis</w:t>
            </w:r>
          </w:p>
        </w:tc>
        <w:tc>
          <w:tcPr>
            <w:tcW w:type="dxa" w:w="5800"/>
          </w:tcPr>
          <w:p>
            <w:r>
              <w:rPr>
                <w:rFonts w:ascii="Calibri" w:cs="Calibri" w:eastAsia="Calibri" w:hAnsi="Calibri"/>
                <w:sz w:val="18"/>
                <w:szCs w:val="18"/>
              </w:rPr>
              <w:t xml:space="preserve">Fairlearn</w:t>
            </w:r>
          </w:p>
        </w:tc>
      </w:tr>
      <w:tr>
        <w:tc>
          <w:tcPr>
            <w:tcW w:type="dxa" w:w="3200"/>
          </w:tcPr>
          <w:p>
            <w:r>
              <w:rPr>
                <w:rFonts w:ascii="Calibri" w:cs="Calibri" w:eastAsia="Calibri" w:hAnsi="Calibri"/>
                <w:sz w:val="18"/>
                <w:szCs w:val="18"/>
              </w:rPr>
              <w:t xml:space="preserve">Dashboard (Module 5)</w:t>
            </w:r>
          </w:p>
        </w:tc>
        <w:tc>
          <w:tcPr>
            <w:tcW w:type="dxa" w:w="5800"/>
          </w:tcPr>
          <w:p>
            <w:r>
              <w:rPr>
                <w:rFonts w:ascii="Calibri" w:cs="Calibri" w:eastAsia="Calibri" w:hAnsi="Calibri"/>
                <w:sz w:val="18"/>
                <w:szCs w:val="18"/>
              </w:rPr>
              <w:t xml:space="preserve">Streamlit or Power BI</w:t>
            </w:r>
          </w:p>
        </w:tc>
      </w:tr>
      <w:tr>
        <w:tc>
          <w:tcPr>
            <w:tcW w:type="dxa" w:w="3200"/>
          </w:tcPr>
          <w:p>
            <w:r>
              <w:rPr>
                <w:rFonts w:ascii="Calibri" w:cs="Calibri" w:eastAsia="Calibri" w:hAnsi="Calibri"/>
                <w:sz w:val="18"/>
                <w:szCs w:val="18"/>
              </w:rPr>
              <w:t xml:space="preserve">Deployment (Final)</w:t>
            </w:r>
          </w:p>
        </w:tc>
        <w:tc>
          <w:tcPr>
            <w:tcW w:type="dxa" w:w="5800"/>
          </w:tcPr>
          <w:p>
            <w:r>
              <w:rPr>
                <w:rFonts w:ascii="Calibri" w:cs="Calibri" w:eastAsia="Calibri" w:hAnsi="Calibri"/>
                <w:sz w:val="18"/>
                <w:szCs w:val="18"/>
              </w:rPr>
              <w:t xml:space="preserve">Streamlit Community Cloud</w:t>
            </w:r>
          </w:p>
        </w:tc>
      </w:tr>
      <w:tr>
        <w:tc>
          <w:tcPr>
            <w:tcW w:type="dxa" w:w="3200"/>
          </w:tcPr>
          <w:p>
            <w:r>
              <w:rPr>
                <w:rFonts w:ascii="Calibri" w:cs="Calibri" w:eastAsia="Calibri" w:hAnsi="Calibri"/>
                <w:sz w:val="18"/>
                <w:szCs w:val="18"/>
              </w:rPr>
              <w:t xml:space="preserve">Version control</w:t>
            </w:r>
          </w:p>
        </w:tc>
        <w:tc>
          <w:tcPr>
            <w:tcW w:type="dxa" w:w="5800"/>
          </w:tcPr>
          <w:p>
            <w:r>
              <w:rPr>
                <w:rFonts w:ascii="Calibri" w:cs="Calibri" w:eastAsia="Calibri" w:hAnsi="Calibri"/>
                <w:sz w:val="18"/>
                <w:szCs w:val="18"/>
              </w:rPr>
              <w:t xml:space="preserve">Git / GitHub</w:t>
            </w:r>
          </w:p>
        </w:tc>
      </w:tr>
    </w:tbl>
    <w:p>
      <w:pPr>
        <w:spacing w:after="80"/>
      </w:pPr>
    </w:p>
    <w:p>
      <w:pPr>
        <w:pStyle w:val="Heading2"/>
        <w:spacing w:after="60" w:before="100"/>
      </w:pPr>
      <w:r>
        <w:t xml:space="preserve">Proposed Repository Structure</w:t>
      </w:r>
    </w:p>
    <w:p>
      <w:pPr>
        <w:spacing w:after="0"/>
      </w:pPr>
      <w:r>
        <w:rPr>
          <w:rFonts w:ascii="Consolas" w:cs="Consolas" w:eastAsia="Consolas" w:hAnsi="Consolas"/>
          <w:sz w:val="18"/>
          <w:szCs w:val="18"/>
        </w:rPr>
        <w:t xml:space="preserve">capstone-diabetic-readmission/</w:t>
      </w:r>
    </w:p>
    <w:p>
      <w:pPr>
        <w:spacing w:after="0"/>
      </w:pPr>
      <w:r>
        <w:rPr>
          <w:rFonts w:ascii="Consolas" w:cs="Consolas" w:eastAsia="Consolas" w:hAnsi="Consolas"/>
          <w:sz w:val="18"/>
          <w:szCs w:val="18"/>
        </w:rPr>
        <w:t xml:space="preserve">├─ data/{raw,processed}/</w:t>
      </w:r>
    </w:p>
    <w:p>
      <w:pPr>
        <w:spacing w:after="0"/>
      </w:pPr>
      <w:r>
        <w:rPr>
          <w:rFonts w:ascii="Consolas" w:cs="Consolas" w:eastAsia="Consolas" w:hAnsi="Consolas"/>
          <w:sz w:val="18"/>
          <w:szCs w:val="18"/>
        </w:rPr>
        <w:t xml:space="preserve">├─ notebooks/</w:t>
      </w:r>
    </w:p>
    <w:p>
      <w:pPr>
        <w:spacing w:after="0"/>
      </w:pPr>
      <w:r>
        <w:rPr>
          <w:rFonts w:ascii="Consolas" w:cs="Consolas" w:eastAsia="Consolas" w:hAnsi="Consolas"/>
          <w:sz w:val="18"/>
          <w:szCs w:val="18"/>
        </w:rPr>
        <w:t xml:space="preserve">├─ src/{preprocessing,modeling,fairness}/</w:t>
      </w:r>
    </w:p>
    <w:p>
      <w:pPr>
        <w:spacing w:after="0"/>
      </w:pPr>
      <w:r>
        <w:rPr>
          <w:rFonts w:ascii="Consolas" w:cs="Consolas" w:eastAsia="Consolas" w:hAnsi="Consolas"/>
          <w:sz w:val="18"/>
          <w:szCs w:val="18"/>
        </w:rPr>
        <w:t xml:space="preserve">├─ reports/</w:t>
      </w:r>
    </w:p>
    <w:p>
      <w:pPr>
        <w:spacing w:after="0"/>
      </w:pPr>
      <w:r>
        <w:rPr>
          <w:rFonts w:ascii="Consolas" w:cs="Consolas" w:eastAsia="Consolas" w:hAnsi="Consolas"/>
          <w:sz w:val="18"/>
          <w:szCs w:val="18"/>
        </w:rPr>
        <w:t xml:space="preserve">├─ dashboard/</w:t>
      </w:r>
    </w:p>
    <w:p>
      <w:pPr>
        <w:spacing w:after="0"/>
      </w:pPr>
      <w:r>
        <w:rPr>
          <w:rFonts w:ascii="Consolas" w:cs="Consolas" w:eastAsia="Consolas" w:hAnsi="Consolas"/>
          <w:sz w:val="18"/>
          <w:szCs w:val="18"/>
        </w:rPr>
        <w:t xml:space="preserve">├─ docs/vision-document.md</w:t>
      </w:r>
    </w:p>
    <w:p>
      <w:pPr>
        <w:spacing w:after="0"/>
      </w:pPr>
      <w:r>
        <w:rPr>
          <w:rFonts w:ascii="Consolas" w:cs="Consolas" w:eastAsia="Consolas" w:hAnsi="Consolas"/>
          <w:sz w:val="18"/>
          <w:szCs w:val="18"/>
        </w:rPr>
        <w:t xml:space="preserve">├─ requirements.txt</w:t>
      </w:r>
    </w:p>
    <w:p>
      <w:pPr>
        <w:spacing w:after="0"/>
      </w:pPr>
      <w:r>
        <w:rPr>
          <w:rFonts w:ascii="Consolas" w:cs="Consolas" w:eastAsia="Consolas" w:hAnsi="Consolas"/>
          <w:sz w:val="18"/>
          <w:szCs w:val="18"/>
        </w:rPr>
        <w:t xml:space="preserve">└─ README.md</w:t>
      </w:r>
    </w:p>
    <w:p>
      <w:pPr>
        <w:spacing w:after="80"/>
      </w:pPr>
    </w:p>
    <w:p>
      <w:pPr>
        <w:pStyle w:val="Heading1"/>
        <w:spacing w:after="80" w:before="160"/>
      </w:pPr>
      <w:r>
        <w:t xml:space="preserve">6. Requirements, Risks, and Constraints</w:t>
      </w:r>
    </w:p>
    <w:p>
      <w:pPr>
        <w:pStyle w:val="ListParagraph"/>
        <w:numPr>
          <w:ilvl w:val="0"/>
          <w:numId w:val="2"/>
        </w:numPr>
        <w:spacing w:after="30"/>
      </w:pPr>
      <w:r>
        <w:rPr>
          <w:rFonts w:ascii="Calibri" w:cs="Calibri" w:eastAsia="Calibri" w:hAnsi="Calibri"/>
          <w:sz w:val="20"/>
          <w:szCs w:val="20"/>
        </w:rPr>
        <w:t xml:space="preserve">Functional: cohort filtering; risk scoring; capacity-constrained shortlist; per-prediction explainability; subgroup fairness reporting; human override.</w:t>
      </w:r>
    </w:p>
    <w:p>
      <w:pPr>
        <w:pStyle w:val="ListParagraph"/>
        <w:numPr>
          <w:ilvl w:val="0"/>
          <w:numId w:val="2"/>
        </w:numPr>
        <w:spacing w:after="30"/>
      </w:pPr>
      <w:r>
        <w:rPr>
          <w:rFonts w:ascii="Calibri" w:cs="Calibri" w:eastAsia="Calibri" w:hAnsi="Calibri"/>
          <w:sz w:val="20"/>
          <w:szCs w:val="20"/>
        </w:rPr>
        <w:t xml:space="preserve">Non-functional: outputs interpretable by non-technical staff; reproducible given the same data/code; small-cell suppression on demographic breakdowns; all preprocessing decisions documented.</w:t>
      </w:r>
    </w:p>
    <w:p>
      <w:pPr>
        <w:pStyle w:val="ListParagraph"/>
        <w:numPr>
          <w:ilvl w:val="0"/>
          <w:numId w:val="2"/>
        </w:numPr>
        <w:spacing w:after="30"/>
      </w:pPr>
      <w:r>
        <w:rPr>
          <w:rFonts w:ascii="Calibri" w:cs="Calibri" w:eastAsia="Calibri" w:hAnsi="Calibri"/>
          <w:sz w:val="20"/>
          <w:szCs w:val="20"/>
        </w:rPr>
        <w:t xml:space="preserve">Risks/constraints: severe missingness and high-cardinality codes (technical); staff distrust of a “black box” (business, mitigated by explainability + override); HIPAA-equivalent handling discipline applied despite de-identified data, with IRB/data-use agreement required before any real-EHR extension (regulatory); retrospective, open-source-only scope (time/budget).</w:t>
      </w:r>
    </w:p>
    <w:p>
      <w:pPr>
        <w:pStyle w:val="Heading2"/>
        <w:spacing w:after="60" w:before="100"/>
      </w:pPr>
      <w:r>
        <w:t xml:space="preserve">Ethical Risk Register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3800"/>
      </w:tblGrid>
      <w:tr>
        <w:trPr>
          <w:tblHeader/>
        </w:trPr>
        <w:tc>
          <w:tcPr>
            <w:tcW w:type="dxa" w:w="2600"/>
            <w:shd w:fill="1F4E5F" w:val="clear"/>
          </w:tcPr>
          <w:p>
            <w:r>
              <w:rPr>
                <w:rFonts w:ascii="Calibri" w:cs="Calibri" w:eastAsia="Calibri" w:hAnsi="Calibri"/>
                <w:b/>
                <w:bCs/>
                <w:color w:val="FFFFFF"/>
                <w:sz w:val="18"/>
                <w:szCs w:val="18"/>
              </w:rPr>
              <w:t xml:space="preserve">Risk</w:t>
            </w:r>
          </w:p>
        </w:tc>
        <w:tc>
          <w:tcPr>
            <w:tcW w:type="dxa" w:w="1400"/>
            <w:shd w:fill="1F4E5F" w:val="clear"/>
          </w:tcPr>
          <w:p>
            <w:r>
              <w:rPr>
                <w:rFonts w:ascii="Calibri" w:cs="Calibri" w:eastAsia="Calibri" w:hAnsi="Calibri"/>
                <w:b/>
                <w:bCs/>
                <w:color w:val="FFFFFF"/>
                <w:sz w:val="18"/>
                <w:szCs w:val="18"/>
              </w:rPr>
              <w:t xml:space="preserve">Likelihood</w:t>
            </w:r>
          </w:p>
        </w:tc>
        <w:tc>
          <w:tcPr>
            <w:tcW w:type="dxa" w:w="1200"/>
            <w:shd w:fill="1F4E5F" w:val="clear"/>
          </w:tcPr>
          <w:p>
            <w:r>
              <w:rPr>
                <w:rFonts w:ascii="Calibri" w:cs="Calibri" w:eastAsia="Calibri" w:hAnsi="Calibri"/>
                <w:b/>
                <w:bCs/>
                <w:color w:val="FFFFFF"/>
                <w:sz w:val="18"/>
                <w:szCs w:val="18"/>
              </w:rPr>
              <w:t xml:space="preserve">Impact</w:t>
            </w:r>
          </w:p>
        </w:tc>
        <w:tc>
          <w:tcPr>
            <w:tcW w:type="dxa" w:w="3800"/>
            <w:shd w:fill="1F4E5F" w:val="clear"/>
          </w:tcPr>
          <w:p>
            <w:r>
              <w:rPr>
                <w:rFonts w:ascii="Calibri" w:cs="Calibri" w:eastAsia="Calibri" w:hAnsi="Calibri"/>
                <w:b/>
                <w:bCs/>
                <w:color w:val="FFFFFF"/>
                <w:sz w:val="18"/>
                <w:szCs w:val="18"/>
              </w:rPr>
              <w:t xml:space="preserve">Mitigation</w:t>
            </w:r>
          </w:p>
        </w:tc>
      </w:tr>
      <w:tr>
        <w:tc>
          <w:tcPr>
            <w:tcW w:type="dxa" w:w="2600"/>
          </w:tcPr>
          <w:p>
            <w:r>
              <w:rPr>
                <w:rFonts w:ascii="Calibri" w:cs="Calibri" w:eastAsia="Calibri" w:hAnsi="Calibri"/>
                <w:sz w:val="18"/>
                <w:szCs w:val="18"/>
              </w:rPr>
              <w:t xml:space="preserve">Bias via race/age/payer proxies</w:t>
            </w:r>
          </w:p>
        </w:tc>
        <w:tc>
          <w:tcPr>
            <w:tcW w:type="dxa" w:w="1400"/>
          </w:tcPr>
          <w:p>
            <w:r>
              <w:rPr>
                <w:rFonts w:ascii="Calibri" w:cs="Calibri" w:eastAsia="Calibri" w:hAnsi="Calibri"/>
                <w:sz w:val="18"/>
                <w:szCs w:val="18"/>
              </w:rPr>
              <w:t xml:space="preserve">Medium</w:t>
            </w:r>
          </w:p>
        </w:tc>
        <w:tc>
          <w:tcPr>
            <w:tcW w:type="dxa" w:w="1200"/>
          </w:tcPr>
          <w:p>
            <w:r>
              <w:rPr>
                <w:rFonts w:ascii="Calibri" w:cs="Calibri" w:eastAsia="Calibri" w:hAnsi="Calibri"/>
                <w:sz w:val="18"/>
                <w:szCs w:val="18"/>
              </w:rPr>
              <w:t xml:space="preserve">High</w:t>
            </w:r>
          </w:p>
        </w:tc>
        <w:tc>
          <w:tcPr>
            <w:tcW w:type="dxa" w:w="3800"/>
          </w:tcPr>
          <w:p>
            <w:r>
              <w:rPr>
                <w:rFonts w:ascii="Calibri" w:cs="Calibri" w:eastAsia="Calibri" w:hAnsi="Calibri"/>
                <w:sz w:val="18"/>
                <w:szCs w:val="18"/>
              </w:rPr>
              <w:t xml:space="preserve">Subgroup fairness audit; Ethics Panel review</w:t>
            </w:r>
          </w:p>
        </w:tc>
      </w:tr>
      <w:tr>
        <w:tc>
          <w:tcPr>
            <w:tcW w:type="dxa" w:w="2600"/>
          </w:tcPr>
          <w:p>
            <w:r>
              <w:rPr>
                <w:rFonts w:ascii="Calibri" w:cs="Calibri" w:eastAsia="Calibri" w:hAnsi="Calibri"/>
                <w:sz w:val="18"/>
                <w:szCs w:val="18"/>
              </w:rPr>
              <w:t xml:space="preserve">Re-identification risk</w:t>
            </w:r>
          </w:p>
        </w:tc>
        <w:tc>
          <w:tcPr>
            <w:tcW w:type="dxa" w:w="1400"/>
          </w:tcPr>
          <w:p>
            <w:r>
              <w:rPr>
                <w:rFonts w:ascii="Calibri" w:cs="Calibri" w:eastAsia="Calibri" w:hAnsi="Calibri"/>
                <w:sz w:val="18"/>
                <w:szCs w:val="18"/>
              </w:rPr>
              <w:t xml:space="preserve">Low</w:t>
            </w:r>
          </w:p>
        </w:tc>
        <w:tc>
          <w:tcPr>
            <w:tcW w:type="dxa" w:w="1200"/>
          </w:tcPr>
          <w:p>
            <w:r>
              <w:rPr>
                <w:rFonts w:ascii="Calibri" w:cs="Calibri" w:eastAsia="Calibri" w:hAnsi="Calibri"/>
                <w:sz w:val="18"/>
                <w:szCs w:val="18"/>
              </w:rPr>
              <w:t xml:space="preserve">High</w:t>
            </w:r>
          </w:p>
        </w:tc>
        <w:tc>
          <w:tcPr>
            <w:tcW w:type="dxa" w:w="3800"/>
          </w:tcPr>
          <w:p>
            <w:r>
              <w:rPr>
                <w:rFonts w:ascii="Calibri" w:cs="Calibri" w:eastAsia="Calibri" w:hAnsi="Calibri"/>
                <w:sz w:val="18"/>
                <w:szCs w:val="18"/>
              </w:rPr>
              <w:t xml:space="preserve">No external merging; k-anonymity suppression (k=5) on subgroup reports; identifiers dropped pre-modeling</w:t>
            </w:r>
          </w:p>
        </w:tc>
      </w:tr>
      <w:tr>
        <w:tc>
          <w:tcPr>
            <w:tcW w:type="dxa" w:w="2600"/>
          </w:tcPr>
          <w:p>
            <w:r>
              <w:rPr>
                <w:rFonts w:ascii="Calibri" w:cs="Calibri" w:eastAsia="Calibri" w:hAnsi="Calibri"/>
                <w:sz w:val="18"/>
                <w:szCs w:val="18"/>
              </w:rPr>
              <w:t xml:space="preserve">Automation bias / over-reliance</w:t>
            </w:r>
          </w:p>
        </w:tc>
        <w:tc>
          <w:tcPr>
            <w:tcW w:type="dxa" w:w="1400"/>
          </w:tcPr>
          <w:p>
            <w:r>
              <w:rPr>
                <w:rFonts w:ascii="Calibri" w:cs="Calibri" w:eastAsia="Calibri" w:hAnsi="Calibri"/>
                <w:sz w:val="18"/>
                <w:szCs w:val="18"/>
              </w:rPr>
              <w:t xml:space="preserve">Medium</w:t>
            </w:r>
          </w:p>
        </w:tc>
        <w:tc>
          <w:tcPr>
            <w:tcW w:type="dxa" w:w="1200"/>
          </w:tcPr>
          <w:p>
            <w:r>
              <w:rPr>
                <w:rFonts w:ascii="Calibri" w:cs="Calibri" w:eastAsia="Calibri" w:hAnsi="Calibri"/>
                <w:sz w:val="18"/>
                <w:szCs w:val="18"/>
              </w:rPr>
              <w:t xml:space="preserve">Medium</w:t>
            </w:r>
          </w:p>
        </w:tc>
        <w:tc>
          <w:tcPr>
            <w:tcW w:type="dxa" w:w="3800"/>
          </w:tcPr>
          <w:p>
            <w:r>
              <w:rPr>
                <w:rFonts w:ascii="Calibri" w:cs="Calibri" w:eastAsia="Calibri" w:hAnsi="Calibri"/>
                <w:sz w:val="18"/>
                <w:szCs w:val="18"/>
              </w:rPr>
              <w:t xml:space="preserve">Human-in-the-loop; override with no burden</w:t>
            </w:r>
          </w:p>
        </w:tc>
      </w:tr>
      <w:tr>
        <w:tc>
          <w:tcPr>
            <w:tcW w:type="dxa" w:w="2600"/>
          </w:tcPr>
          <w:p>
            <w:r>
              <w:rPr>
                <w:rFonts w:ascii="Calibri" w:cs="Calibri" w:eastAsia="Calibri" w:hAnsi="Calibri"/>
                <w:sz w:val="18"/>
                <w:szCs w:val="18"/>
              </w:rPr>
              <w:t xml:space="preserve">Regulatory non-compliance if scaled</w:t>
            </w:r>
          </w:p>
        </w:tc>
        <w:tc>
          <w:tcPr>
            <w:tcW w:type="dxa" w:w="1400"/>
          </w:tcPr>
          <w:p>
            <w:r>
              <w:rPr>
                <w:rFonts w:ascii="Calibri" w:cs="Calibri" w:eastAsia="Calibri" w:hAnsi="Calibri"/>
                <w:sz w:val="18"/>
                <w:szCs w:val="18"/>
              </w:rPr>
              <w:t xml:space="preserve">Low now / High if scaled</w:t>
            </w:r>
          </w:p>
        </w:tc>
        <w:tc>
          <w:tcPr>
            <w:tcW w:type="dxa" w:w="1200"/>
          </w:tcPr>
          <w:p>
            <w:r>
              <w:rPr>
                <w:rFonts w:ascii="Calibri" w:cs="Calibri" w:eastAsia="Calibri" w:hAnsi="Calibri"/>
                <w:sz w:val="18"/>
                <w:szCs w:val="18"/>
              </w:rPr>
              <w:t xml:space="preserve">High</w:t>
            </w:r>
          </w:p>
        </w:tc>
        <w:tc>
          <w:tcPr>
            <w:tcW w:type="dxa" w:w="3800"/>
          </w:tcPr>
          <w:p>
            <w:r>
              <w:rPr>
                <w:rFonts w:ascii="Calibri" w:cs="Calibri" w:eastAsia="Calibri" w:hAnsi="Calibri"/>
                <w:sz w:val="18"/>
                <w:szCs w:val="18"/>
              </w:rPr>
              <w:t xml:space="preserve">IRB &amp; data-use agreement required pre-deployment</w:t>
            </w:r>
          </w:p>
        </w:tc>
      </w:tr>
    </w:tbl>
    <w:p>
      <w:pPr>
        <w:pStyle w:val="Heading1"/>
        <w:spacing w:after="80" w:before="160"/>
      </w:pPr>
      <w:r>
        <w:t xml:space="preserve">7. Quality, Documentation, and Governance Standards</w:t>
      </w:r>
    </w:p>
    <w:p>
      <w:pPr>
        <w:spacing w:after="80"/>
        <w:jc w:val="both"/>
      </w:pPr>
      <w:r>
        <w:rPr>
          <w:rFonts w:ascii="Calibri" w:cs="Calibri" w:eastAsia="Calibri" w:hAnsi="Calibri"/>
          <w:sz w:val="20"/>
          <w:szCs w:val="20"/>
        </w:rPr>
        <w:t xml:space="preserve">All preprocessing and scoping decisions (cohort filter, dropped/imputed fields, diagnosis grouping) are logged for reproducibility. Deliverables follow Nexford University formatting standards with APA citations throughout.</w:t>
      </w:r>
    </w:p>
    <w:p>
      <w:pPr>
        <w:pStyle w:val="Heading2"/>
        <w:spacing w:after="60" w:before="100"/>
      </w:pPr>
      <w:r>
        <w:t xml:space="preserve">Versioning Strategy</w:t>
      </w:r>
    </w:p>
    <w:p>
      <w:pPr>
        <w:pStyle w:val="ListParagraph"/>
        <w:numPr>
          <w:ilvl w:val="0"/>
          <w:numId w:val="2"/>
        </w:numPr>
        <w:spacing w:after="30"/>
      </w:pPr>
      <w:r>
        <w:rPr>
          <w:rFonts w:ascii="Calibri" w:cs="Calibri" w:eastAsia="Calibri" w:hAnsi="Calibri"/>
          <w:sz w:val="20"/>
          <w:szCs w:val="20"/>
        </w:rPr>
        <w:t xml:space="preserve">Code: Git Flow branching model, merged to main at each module milestone.</w:t>
      </w:r>
    </w:p>
    <w:p>
      <w:pPr>
        <w:pStyle w:val="ListParagraph"/>
        <w:numPr>
          <w:ilvl w:val="0"/>
          <w:numId w:val="2"/>
        </w:numPr>
        <w:spacing w:after="30"/>
      </w:pPr>
      <w:r>
        <w:rPr>
          <w:rFonts w:ascii="Calibri" w:cs="Calibri" w:eastAsia="Calibri" w:hAnsi="Calibri"/>
          <w:sz w:val="20"/>
          <w:szCs w:val="20"/>
        </w:rPr>
        <w:t xml:space="preserve">Data and models: versioned with DVC (Data Version Control), so any result traces back to the exact dataset and pipeline version that produced it.</w:t>
      </w:r>
    </w:p>
    <w:p>
      <w:pPr>
        <w:pStyle w:val="ListParagraph"/>
        <w:numPr>
          <w:ilvl w:val="0"/>
          <w:numId w:val="2"/>
        </w:numPr>
        <w:spacing w:after="30"/>
      </w:pPr>
      <w:r>
        <w:rPr>
          <w:rFonts w:ascii="Calibri" w:cs="Calibri" w:eastAsia="Calibri" w:hAnsi="Calibri"/>
          <w:sz w:val="20"/>
          <w:szCs w:val="20"/>
        </w:rPr>
        <w:t xml:space="preserve">Releases: Semantic Versioning (v0.1.0 at Module 1, through v1.0.0 at Final Project deployment).</w:t>
      </w:r>
    </w:p>
    <w:p>
      <w:pPr>
        <w:pStyle w:val="Heading2"/>
        <w:spacing w:after="60" w:before="100"/>
      </w:pPr>
      <w:r>
        <w:t xml:space="preserve">Data Governance Principles</w:t>
      </w:r>
    </w:p>
    <w:p>
      <w:pPr>
        <w:pStyle w:val="ListParagraph"/>
        <w:numPr>
          <w:ilvl w:val="0"/>
          <w:numId w:val="2"/>
        </w:numPr>
        <w:spacing w:after="30"/>
      </w:pPr>
      <w:r>
        <w:rPr>
          <w:rFonts w:ascii="Calibri" w:cs="Calibri" w:eastAsia="Calibri" w:hAnsi="Calibri"/>
          <w:sz w:val="20"/>
          <w:szCs w:val="20"/>
        </w:rPr>
        <w:t xml:space="preserve">Access: least-privilege access; no re-identification attempts or external data merging.</w:t>
      </w:r>
    </w:p>
    <w:p>
      <w:pPr>
        <w:pStyle w:val="ListParagraph"/>
        <w:numPr>
          <w:ilvl w:val="0"/>
          <w:numId w:val="2"/>
        </w:numPr>
        <w:spacing w:after="30"/>
      </w:pPr>
      <w:r>
        <w:rPr>
          <w:rFonts w:ascii="Calibri" w:cs="Calibri" w:eastAsia="Calibri" w:hAnsi="Calibri"/>
          <w:sz w:val="20"/>
          <w:szCs w:val="20"/>
        </w:rPr>
        <w:t xml:space="preserve">Usage: data used strictly for this course's stated academic purpose; any repurposing requires renewed Ethics Panel review.</w:t>
      </w:r>
    </w:p>
    <w:p>
      <w:pPr>
        <w:pStyle w:val="ListParagraph"/>
        <w:numPr>
          <w:ilvl w:val="0"/>
          <w:numId w:val="2"/>
        </w:numPr>
        <w:spacing w:after="30"/>
      </w:pPr>
      <w:r>
        <w:rPr>
          <w:rFonts w:ascii="Calibri" w:cs="Calibri" w:eastAsia="Calibri" w:hAnsi="Calibri"/>
          <w:sz w:val="20"/>
          <w:szCs w:val="20"/>
        </w:rPr>
        <w:t xml:space="preserve">Retention: data retained only for course duration, with a defined deletion point at project close-out.</w:t>
      </w:r>
    </w:p>
    <w:p>
      <w:pPr>
        <w:pStyle w:val="ListParagraph"/>
        <w:numPr>
          <w:ilvl w:val="0"/>
          <w:numId w:val="2"/>
        </w:numPr>
        <w:spacing w:after="30"/>
      </w:pPr>
      <w:r>
        <w:rPr>
          <w:rFonts w:ascii="Calibri" w:cs="Calibri" w:eastAsia="Calibri" w:hAnsi="Calibri"/>
          <w:sz w:val="20"/>
          <w:szCs w:val="20"/>
        </w:rPr>
        <w:t xml:space="preserve">Known limitations: historical, U.S.-only data validated retrospectively only; results demonstrate methodology, not current clinical guidance; any live extension requires revalidation and formal regulatory review.</w:t>
      </w:r>
    </w:p>
    <w:p>
      <w:pPr>
        <w:pStyle w:val="Heading1"/>
        <w:spacing w:after="80" w:before="160"/>
      </w:pPr>
      <w:r>
        <w:t xml:space="preserve">References</w:t>
      </w:r>
    </w:p>
    <w:p>
      <w:pPr>
        <w:spacing w:after="100"/>
        <w:ind w:left="576" w:hanging="576"/>
      </w:pPr>
      <w:r>
        <w:rPr>
          <w:rFonts w:ascii="Calibri" w:cs="Calibri" w:eastAsia="Calibri" w:hAnsi="Calibri"/>
          <w:sz w:val="20"/>
          <w:szCs w:val="20"/>
        </w:rPr>
        <w:t xml:space="preserve">Centers for Medicare &amp; Medicaid Services. (2023). Hospital Readmissions Reduction Program (HRRP). U.S. Department of Health and Human Services. https://www.cms.gov/medicare/payment/prospective-payment-systems/acute-inpatient-pps/hospital-readmissions-reduction-program-hrrp</w:t>
      </w:r>
    </w:p>
    <w:p>
      <w:pPr>
        <w:spacing w:after="100"/>
        <w:ind w:left="576" w:hanging="576"/>
      </w:pPr>
      <w:r>
        <w:rPr>
          <w:rFonts w:ascii="Calibri" w:cs="Calibri" w:eastAsia="Calibri" w:hAnsi="Calibri"/>
          <w:sz w:val="20"/>
          <w:szCs w:val="20"/>
        </w:rPr>
        <w:t xml:space="preserve">Strack, B., DeShazo, J. P., Gennings, C., Olmo, J. L., Ventura, S., Cios, K. J., &amp; Clore, J. N. (2014). Impact of HbA1c measurement on hospital readmission rates: Analysis of 70,000 clinical database patient records. BioMed Research International, 2014, Article 781670. https://doi.org/10.1155/2014/781670</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2026-08-08T13:22:17.469Z</dcterms:created>
  <dcterms:modified xsi:type="dcterms:W3CDTF">2026-08-08T13:22:17.485Z</dcterms:modified>
</cp:coreProperties>
</file>

<file path=docProps/custom.xml><?xml version="1.0" encoding="utf-8"?>
<Properties xmlns="http://schemas.openxmlformats.org/officeDocument/2006/custom-properties" xmlns:vt="http://schemas.openxmlformats.org/officeDocument/2006/docPropsVTypes"/>
</file>