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22"/>
    <w:bookmarkStart w:id="3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(рис. -fig. 1).</w:t>
      </w:r>
    </w:p>
    <w:p>
      <w:pPr>
        <w:pStyle w:val="CaptionedFigure"/>
      </w:pPr>
      <w:r>
        <w:drawing>
          <wp:inline>
            <wp:extent cx="3733800" cy="3761423"/>
            <wp:effectExtent b="0" l="0" r="0" t="0"/>
            <wp:docPr descr="Повторение приме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1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Повторение примеров</w:t>
      </w:r>
    </w:p>
    <w:p>
      <w:pPr>
        <w:pStyle w:val="BodyText"/>
      </w:pPr>
      <w:r>
        <w:t xml:space="preserve">Работаю с командами mv и cp. (рис. -fig. 2).</w:t>
      </w:r>
    </w:p>
    <w:p>
      <w:pPr>
        <w:pStyle w:val="CaptionedFigure"/>
      </w:pPr>
      <w:r>
        <w:drawing>
          <wp:inline>
            <wp:extent cx="3733800" cy="1273622"/>
            <wp:effectExtent b="0" l="0" r="0" t="0"/>
            <wp:docPr descr="Команды mv и cp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Команды mv и cp</w:t>
      </w:r>
    </w:p>
    <w:p>
      <w:pPr>
        <w:pStyle w:val="BodyText"/>
      </w:pPr>
      <w:r>
        <w:t xml:space="preserve">Меняю права доступов для файлов и каталогов. (рис. -fig. 3).</w:t>
      </w:r>
    </w:p>
    <w:p>
      <w:pPr>
        <w:pStyle w:val="CaptionedFigure"/>
      </w:pPr>
      <w:r>
        <w:drawing>
          <wp:inline>
            <wp:extent cx="3733800" cy="3598025"/>
            <wp:effectExtent b="0" l="0" r="0" t="0"/>
            <wp:docPr descr="Изменение прав доступ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прав доступа</w:t>
      </w:r>
    </w:p>
    <w:p>
      <w:pPr>
        <w:pStyle w:val="BodyText"/>
      </w:pPr>
      <w:r>
        <w:t xml:space="preserve">Проверка измененных прав доступа. (рис. -fig. 4).</w:t>
      </w:r>
    </w:p>
    <w:p>
      <w:pPr>
        <w:pStyle w:val="CaptionedFigure"/>
      </w:pPr>
      <w:r>
        <w:drawing>
          <wp:inline>
            <wp:extent cx="3733800" cy="2292131"/>
            <wp:effectExtent b="0" l="0" r="0" t="0"/>
            <wp:docPr descr="Проверка измененных прав доступ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измененных прав доступа</w:t>
      </w:r>
    </w:p>
    <w:p>
      <w:pPr>
        <w:pStyle w:val="BodyText"/>
      </w:pPr>
      <w:r>
        <w:t xml:space="preserve">Документация по командам. (рис. -fig. 5).</w:t>
      </w:r>
    </w:p>
    <w:p>
      <w:pPr>
        <w:pStyle w:val="CaptionedFigure"/>
      </w:pPr>
      <w:r>
        <w:drawing>
          <wp:inline>
            <wp:extent cx="3733800" cy="2035324"/>
            <wp:effectExtent b="0" l="0" r="0" t="0"/>
            <wp:docPr descr="Документация по командам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5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Документация по командам</w:t>
      </w:r>
    </w:p>
    <w:bookmarkEnd w:id="38"/>
    <w:bookmarkStart w:id="39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3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4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04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Потерянные</w:t>
      </w:r>
      <w:r>
        <w:t xml:space="preserve">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04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6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7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8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Маркеш Виейра Нанке Грасимилде</dc:creator>
  <dc:language>ru-RU</dc:language>
  <cp:keywords/>
  <dcterms:created xsi:type="dcterms:W3CDTF">2026-03-28T07:58:40Z</dcterms:created>
  <dcterms:modified xsi:type="dcterms:W3CDTF">2026-03-28T07:58:40Z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