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webextensions/taskpanes.xml" ContentType="application/vnd.ms-office.webextensiontaskpanes+xml"/>
  <Override PartName="/word/webextensions/webextension1.xml" ContentType="application/vnd.ms-office.webextension+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WeTp"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Testgutachten: Kaufrecht und Handelskauf</w:t>
      </w:r>
    </w:p>
    <w:p>
      <w:pPr>
        <w:spacing w:after="240"/>
      </w:pPr>
      <w:r>
        <w:rPr>
          <w:i/>
          <w:iCs/>
          <w:color w:val="6B665E"/>
          <w:sz w:val="20"/>
          <w:szCs w:val="20"/>
        </w:rPr>
        <w:t xml:space="preserve">Setze den Cursor in ein Normzitat. Der Seitenbereich „Gesetz-Tooltip“ zeigt dann die Norm. Verweise im Normtext lassen sich dort hovern (Paradox-Tooltips). Falls der Seitenbereich nicht offen ist: Start › Gesetze › Normen anzeigen.</w:t>
      </w:r>
    </w:p>
    <w:p>
      <w:pPr>
        <w:spacing w:after="240"/>
      </w:pPr>
      <w:r>
        <w:rPr>
          <w:i/>
          <w:iCs/>
          <w:color w:val="6B665E"/>
          <w:sz w:val="20"/>
          <w:szCs w:val="20"/>
        </w:rPr>
        <w:t xml:space="preserve">Sachverhalt: V verkauft dem Kaufmann K eine gebrauchte Maschine. Nach der Lieferung zeigt sich ein Defekt; K rügt erst nach drei Wochen. Er verlangt Nacherfüllung, später Rücktritt und Schadensersatz.</w:t>
      </w:r>
    </w:p>
    <w:p>
      <w:pPr>
        <w:pStyle w:val="Heading1"/>
      </w:pPr>
      <w:r>
        <w:t xml:space="preserve">A. Anspruch des K gegen V auf Nacherfüllung gem. §§ 437 Nr. 1, 439 Abs. 1 BGB</w:t>
      </w:r>
    </w:p>
    <w:p>
      <w:pPr>
        <w:pStyle w:val="Heading2"/>
      </w:pPr>
      <w:r>
        <w:t xml:space="preserve">I. Wirksamer Kaufvertrag</w:t>
      </w:r>
    </w:p>
    <w:p>
      <w:pPr>
        <w:spacing w:after="160"/>
        <w:jc w:val="both"/>
      </w:pPr>
      <w:r>
        <w:t xml:space="preserve">Zwischen K und V müsste ein wirksamer Kaufvertrag gem. § 433 BGB zustande gekommen sein. Ein Vertrag kommt durch zwei übereinstimmende Willenserklärungen, Angebot und Annahme, zustande, §§ 145 ff. BGB. Die Annahme muss rechtzeitig erfolgen, § 147 Abs. 2 BGB. Ein Kaufvertrag liegt vor.</w:t>
      </w:r>
    </w:p>
    <w:p>
      <w:pPr>
        <w:pStyle w:val="Heading2"/>
      </w:pPr>
      <w:r>
        <w:t xml:space="preserve">II. Sachmangel bei Gefahrübergang</w:t>
      </w:r>
    </w:p>
    <w:p>
      <w:pPr>
        <w:spacing w:after="160"/>
        <w:jc w:val="both"/>
      </w:pPr>
      <w:r>
        <w:t xml:space="preserve">Die Maschine müsste bei Gefahrübergang (§ 446 S. 1 BGB) mangelhaft gewesen sein. Nach § 434 Abs. 1 BGB ist die Sache frei von Sachmängeln, wenn sie den subjektiven Anforderungen, den objektiven Anforderungen und den Montageanforderungen entspricht. Sie entspricht den objektiven Anforderungen nur, wenn sie sich für die gewöhnliche Verwendung eignet, § 434 Abs. 3 S. 1 Nr. 1 BGB. Das ist hier nicht der Fall.</w:t>
      </w:r>
    </w:p>
    <w:p>
      <w:pPr>
        <w:pStyle w:val="Heading2"/>
      </w:pPr>
      <w:r>
        <w:t xml:space="preserve">III. Ausschluss durch Genehmigungsfiktion, § 377 Abs. 2 HGB</w:t>
      </w:r>
    </w:p>
    <w:p>
      <w:pPr>
        <w:spacing w:after="160"/>
        <w:jc w:val="both"/>
      </w:pPr>
      <w:r>
        <w:t xml:space="preserve">Ist der Kauf für beide Teile ein Handelsgeschäft (§ 343 Abs. 1 HGB), hat der Käufer die Ware unverzüglich nach der Ablieferung zu untersuchen und einen Mangel unverzüglich anzuzeigen, § 377 Abs. 1 HGB. K und V sind Kaufleute i.S.d. § 1 Abs. 1 HGB. Unterlässt der Käufer die Anzeige, so gilt die Ware als genehmigt, § 377 II HGB. Unverzüglich heißt ohne schuldhaftes Zögern, § 121 Abs. 1 S. 1 BGB. Eine Rüge nach drei Wochen ist verspätet.</w:t>
      </w:r>
    </w:p>
    <w:p>
      <w:pPr>
        <w:pStyle w:val="Heading2"/>
      </w:pPr>
      <w:r>
        <w:t xml:space="preserve">IV. Ergebnis</w:t>
      </w:r>
    </w:p>
    <w:p>
      <w:pPr>
        <w:spacing w:after="160"/>
        <w:jc w:val="both"/>
      </w:pPr>
      <w:r>
        <w:t xml:space="preserve">K hat keinen Anspruch aus §§ 437 Nr. 1, 439 BGB.</w:t>
      </w:r>
    </w:p>
    <w:p>
      <w:pPr>
        <w:pStyle w:val="Heading1"/>
      </w:pPr>
      <w:r>
        <w:t xml:space="preserve">B. Rücktritt und Schadensersatz</w:t>
      </w:r>
    </w:p>
    <w:p>
      <w:pPr>
        <w:spacing w:after="160"/>
        <w:jc w:val="both"/>
      </w:pPr>
      <w:r>
        <w:t xml:space="preserve">Wäre die Rüge rechtzeitig gewesen, könnte K nach §§ 437 Nr. 2, 323 Abs. 1 BGB zurücktreten oder nach §§ 437 Nr. 3, 280 Abs. 1, 3, 281 Abs. 1 S. 1 BGB Schadensersatz statt der Leistung verlangen. Die Fristsetzung kann nach § 323 Abs. 2 Nr. 1 BGB oder § 440 S. 1 BGB entbehrlich sein. Daneben kommt ein Anspruch aus §§ 280 Abs. 1, 241 Abs. 2 BGB in Betracht. Für Verzugsschäden gilt § 280 II i.V.m. § 286 BGB.</w:t>
      </w:r>
    </w:p>
    <w:p>
      <w:pPr>
        <w:spacing w:after="160"/>
        <w:jc w:val="both"/>
      </w:pPr>
      <w:r>
        <w:t xml:space="preserve">Die Ansprüche verjähren nach § 438 Abs. 1 Nr. 3 BGB in zwei Jahren. Zur Rechtslage vor der Schuldrechtsreform vgl. § 476 BGB a.F.</w:t>
      </w:r>
    </w:p>
    <w:p>
      <w:pPr>
        <w:pStyle w:val="Heading1"/>
      </w:pPr>
      <w:r>
        <w:t xml:space="preserve">C. Weitere Beispiele</w:t>
      </w:r>
    </w:p>
    <w:p>
      <w:pPr>
        <w:spacing w:after="160"/>
        <w:jc w:val="both"/>
      </w:pPr>
      <w:r>
        <w:t xml:space="preserve">Römische Absätze: § 433 I 1 BGB, § 823 I BGB und § 826 BGB.</w:t>
      </w:r>
    </w:p>
    <w:p>
      <w:pPr>
        <w:spacing w:after="160"/>
        <w:jc w:val="both"/>
      </w:pPr>
      <w:r>
        <w:t xml:space="preserve">Mehrere Gesetze in einer Kette: §§ 437 Nr. 1, 439 BGB, 377 HGB.</w:t>
      </w:r>
    </w:p>
    <w:p>
      <w:pPr>
        <w:spacing w:after="160"/>
        <w:jc w:val="both"/>
      </w:pPr>
      <w:r>
        <w:t xml:space="preserve">Ohne Gesetzesangabe (das Add-in nimmt BGB an oder bietet einen Knopf): § 346 Abs. 1.</w:t>
      </w:r>
    </w:p>
    <w:p>
      <w:pPr>
        <w:spacing w:after="160"/>
        <w:jc w:val="both"/>
      </w:pPr>
      <w:r>
        <w:t xml:space="preserve">Zusammengefasst weggefallen: §§ 3 bis 6 BGB. Tiere: § 90a S. 1 BGB.</w:t>
      </w:r>
    </w:p>
    <w:p>
      <w:pPr>
        <w:spacing w:after="160"/>
        <w:jc w:val="both"/>
      </w:pPr>
      <w:r>
        <w:t xml:space="preserve">Nicht enthaltene Gesetze: § 823 II BGB i.V.m. § 263 StGB sowie Art. 2 Abs. 1 GG und § 253 ZPO.</w:t>
      </w:r>
    </w:p>
    <w:p>
      <w:pPr>
        <w:spacing w:after="160"/>
        <w:jc w:val="both"/>
      </w:pPr>
      <w:r>
        <w:t xml:space="preserve">Handelsrecht: § 346 HGB, § 350 HGB, § 366 Abs. 1 HGB, §§ 48 ff. HGB.</w:t>
      </w:r>
    </w:p>
    <w:sectPr>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Relationships xmlns="http://schemas.openxmlformats.org/package/2006/relationships"><Relationship Id="rIdWe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We1"/>
  </wetp:taskpane>
</wetp:taskpanes>
</file>

<file path=word/webextensions/webextension1.xml><?xml version="1.0" encoding="utf-8"?>
<we:webextension xmlns:we="http://schemas.microsoft.com/office/webextensions/webextension/2010/11" id="{FF0776DA-86B0-4051-99E5-842A3C132DC4}">
  <we:reference id="ff0776da-86b0-4051-99e5-842a3c132dc4" version="1.0.0.0" store="developer" storeType="Registry"/>
  <we:alternateReferences/>
  <we:properties>
    <we:property name="Office.AutoShowTaskpaneWithDocument" value="true"/>
  </we:properties>
  <we:binding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Testgutachten Gesetz-Tooltip</dc:title>
  <dc:creator>Luis Hager</dc:creator>
  <cp:lastModifiedBy>Un-named</cp:lastModifiedBy>
  <cp:revision>1</cp:revision>
  <dcterms:created xsi:type="dcterms:W3CDTF">2026-10-25T18:19:18.447Z</dcterms:created>
  <dcterms:modified xsi:type="dcterms:W3CDTF">2026-10-25T18:19:18.457Z</dcterms:modified>
</cp:coreProperties>
</file>

<file path=docProps/custom.xml><?xml version="1.0" encoding="utf-8"?>
<Properties xmlns="http://schemas.openxmlformats.org/officeDocument/2006/custom-properties" xmlns:vt="http://schemas.openxmlformats.org/officeDocument/2006/docPropsVTypes"/>
</file>