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a5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af8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7B22D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7B22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20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20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20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20E688C0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382189">
        <w:rPr>
          <w:rFonts w:ascii="Times New Roman" w:hAnsi="Times New Roman" w:cs="Times New Roman"/>
          <w:sz w:val="28"/>
          <w:szCs w:val="28"/>
        </w:rPr>
        <w:t>И</w:t>
      </w:r>
      <w:commentRangeStart w:id="4"/>
      <w:commentRangeEnd w:id="4"/>
      <w:r w:rsidR="00F06912">
        <w:rPr>
          <w:rStyle w:val="af3"/>
        </w:rPr>
        <w:commentReference w:id="4"/>
      </w:r>
      <w:r w:rsidRPr="00300EC8">
        <w:rPr>
          <w:rFonts w:ascii="Times New Roman" w:hAnsi="Times New Roman" w:cs="Times New Roman"/>
          <w:sz w:val="28"/>
          <w:szCs w:val="28"/>
        </w:rPr>
        <w:t>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1"/>
      </w:pPr>
      <w:bookmarkStart w:id="5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5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6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6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19E7709D" w14:textId="5CC3C0BB" w:rsidR="00300EC8" w:rsidRDefault="00300EC8" w:rsidP="00382189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  <w:commentRangeStart w:id="7"/>
      <w:commentRangeEnd w:id="7"/>
      <w:r w:rsidR="00F06912">
        <w:rPr>
          <w:rStyle w:val="af3"/>
        </w:rPr>
        <w:commentReference w:id="7"/>
      </w:r>
      <w:r>
        <w:br w:type="page"/>
      </w:r>
    </w:p>
    <w:p w14:paraId="271218EE" w14:textId="510B5D19" w:rsidR="00282804" w:rsidRPr="001A75D9" w:rsidRDefault="00E72948" w:rsidP="00E162C2">
      <w:pPr>
        <w:pStyle w:val="1"/>
      </w:pPr>
      <w:bookmarkStart w:id="8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8"/>
    </w:p>
    <w:p w14:paraId="7C531A34" w14:textId="77777777" w:rsidR="00282804" w:rsidRPr="001A75D9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1"/>
      </w:pPr>
      <w:bookmarkStart w:id="9" w:name="_Toc92221133"/>
      <w:bookmarkStart w:id="10" w:name="_Toc99005082"/>
      <w:r w:rsidRPr="00B8715D">
        <w:lastRenderedPageBreak/>
        <w:t>4. Описание плагина</w:t>
      </w:r>
      <w:bookmarkEnd w:id="9"/>
      <w:bookmarkEnd w:id="10"/>
    </w:p>
    <w:p w14:paraId="70A55D02" w14:textId="5C40F33E" w:rsidR="00E72948" w:rsidRPr="00B8715D" w:rsidRDefault="00E72948" w:rsidP="00E162C2">
      <w:pPr>
        <w:pStyle w:val="20"/>
      </w:pPr>
      <w:bookmarkStart w:id="11" w:name="_Toc92221134"/>
      <w:bookmarkStart w:id="12" w:name="_Toc99005083"/>
      <w:r w:rsidRPr="00B8715D">
        <w:t>4.1 Диаграмма классов</w:t>
      </w:r>
      <w:bookmarkEnd w:id="11"/>
      <w:bookmarkEnd w:id="12"/>
    </w:p>
    <w:p w14:paraId="1757916A" w14:textId="6B3E7B5B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20E3AC41" w:rsidR="00E72948" w:rsidRPr="00B8715D" w:rsidRDefault="00D31673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40CDB" wp14:editId="2301D3EE">
            <wp:extent cx="5940425" cy="33947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0BACC11F" w:rsidR="00D31673" w:rsidRPr="00F22CC0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Были переработаны существующие классы. 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f"/>
        <w:tblW w:w="9677" w:type="dxa"/>
        <w:tblLook w:val="04A0" w:firstRow="1" w:lastRow="0" w:firstColumn="1" w:lastColumn="0" w:noHBand="0" w:noVBand="1"/>
      </w:tblPr>
      <w:tblGrid>
        <w:gridCol w:w="2255"/>
        <w:gridCol w:w="1993"/>
        <w:gridCol w:w="5429"/>
      </w:tblGrid>
      <w:tr w:rsidR="00C1217B" w:rsidRPr="00C1217B" w14:paraId="6EC6EAC0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13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  <w:commentRangeEnd w:id="13"/>
            <w:r w:rsidR="00F06912">
              <w:rPr>
                <w:rStyle w:val="af3"/>
              </w:rPr>
              <w:commentReference w:id="13"/>
            </w:r>
          </w:p>
        </w:tc>
        <w:tc>
          <w:tcPr>
            <w:tcW w:w="1993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5C9F2747" w14:textId="77777777" w:rsidR="00382189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возвращаемых </w:t>
            </w:r>
          </w:p>
          <w:p w14:paraId="2849608D" w14:textId="159DAA68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данных</w:t>
            </w:r>
          </w:p>
        </w:tc>
        <w:tc>
          <w:tcPr>
            <w:tcW w:w="5429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1993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29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1993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993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1993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382189" w:rsidRPr="00C1217B" w14:paraId="208F11C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4A180147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162A0F7F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68CF6E99" w14:textId="15F5EA4B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78D2D29F" w14:textId="12B9CE4A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5429" w:type="dxa"/>
            <w:vAlign w:val="center"/>
          </w:tcPr>
          <w:p w14:paraId="4AE7254F" w14:textId="7D2BA9DF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  <w:tr w:rsidR="00382189" w:rsidRPr="00C1217B" w14:paraId="7A72B8A5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4AEDF2E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gramEnd"/>
          </w:p>
          <w:p w14:paraId="27557CB3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D6B1074" w14:textId="63B4BA21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0F632F0D" w14:textId="77777777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29" w:type="dxa"/>
            <w:vAlign w:val="center"/>
          </w:tcPr>
          <w:p w14:paraId="6B10B167" w14:textId="608FEBB9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132"/>
      </w:tblGrid>
      <w:tr w:rsidR="00C1217B" w:rsidRPr="00C1217B" w14:paraId="653DEFA9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4132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2126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32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2126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132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0F2268C2" w14:textId="77777777" w:rsidR="002E5B8A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2C3E" w14:textId="77777777" w:rsidR="002E5B8A" w:rsidRDefault="002E5B8A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9BB7" w14:textId="130EC7C9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127"/>
        <w:gridCol w:w="2105"/>
        <w:gridCol w:w="3140"/>
      </w:tblGrid>
      <w:tr w:rsidR="00C1217B" w:rsidRPr="00C1217B" w14:paraId="7B1C6911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0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10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6312B82" w14:textId="7B82BB12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D3164E1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f"/>
        <w:tblW w:w="9849" w:type="dxa"/>
        <w:tblLook w:val="04A0" w:firstRow="1" w:lastRow="0" w:firstColumn="1" w:lastColumn="0" w:noHBand="0" w:noVBand="1"/>
      </w:tblPr>
      <w:tblGrid>
        <w:gridCol w:w="3751"/>
        <w:gridCol w:w="2808"/>
        <w:gridCol w:w="3290"/>
      </w:tblGrid>
      <w:tr w:rsidR="00C1217B" w:rsidRPr="00C1217B" w14:paraId="1658BB7E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560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4325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1560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4325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1560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4325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718003D5" w14:textId="77777777" w:rsidR="002074E3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689B8197" w14:textId="5AF7DA5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1560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4325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02A55928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426764F3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5D02ABBF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double, bool, </w:t>
            </w:r>
          </w:p>
          <w:p w14:paraId="36A46D09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bool, bool, </w:t>
            </w:r>
          </w:p>
          <w:p w14:paraId="0E150465" w14:textId="4A83A02B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560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25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2713BA3A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3759C999" w14:textId="5CF7BCD2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1560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4325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28BE2EC9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442DC762" w14:textId="3ADC192A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560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4325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0E332A04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3E11E9C2" w14:textId="68CDDE37" w:rsidR="003C0329" w:rsidRP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560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25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011B75AA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19A879A5" w14:textId="3CD2E156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25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11F980D1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6C9D4814" w14:textId="157DB0EF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1560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4325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55A90638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7E01E389" w14:textId="2BCF958D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4325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2074E3">
        <w:trPr>
          <w:trHeight w:val="319"/>
        </w:trPr>
        <w:tc>
          <w:tcPr>
            <w:tcW w:w="3964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78ED4170" w14:textId="77777777" w:rsidR="00B23CD1" w:rsidRPr="006079B1" w:rsidRDefault="00B23CD1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4" w:name="_Toc92221135"/>
      <w:r>
        <w:br w:type="page"/>
      </w:r>
    </w:p>
    <w:p w14:paraId="267AC575" w14:textId="6F73E9A9" w:rsidR="00E72948" w:rsidRPr="00B8715D" w:rsidRDefault="00E72948" w:rsidP="00E162C2">
      <w:pPr>
        <w:pStyle w:val="20"/>
      </w:pPr>
      <w:bookmarkStart w:id="15" w:name="_Toc99005084"/>
      <w:r w:rsidRPr="00B8715D">
        <w:lastRenderedPageBreak/>
        <w:t>4.2 Макет пользовательского интерфейса</w:t>
      </w:r>
      <w:bookmarkEnd w:id="14"/>
      <w:bookmarkEnd w:id="15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1"/>
      </w:pPr>
      <w:bookmarkStart w:id="16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6"/>
    </w:p>
    <w:p w14:paraId="468C4964" w14:textId="65F666B2" w:rsidR="0082107C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20"/>
        <w:rPr>
          <w:rFonts w:eastAsia="TimesNewRomanPSMT-Italic"/>
        </w:rPr>
      </w:pPr>
      <w:bookmarkStart w:id="17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7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3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3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3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3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20"/>
      </w:pPr>
      <w:bookmarkStart w:id="18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8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03DD8C20" w:rsidR="00B47227" w:rsidRDefault="00AD442C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5557CD" wp14:editId="16164BCF">
            <wp:extent cx="4706007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446" w14:textId="5068A4CA" w:rsidR="000F0A72" w:rsidRDefault="00D52E7F" w:rsidP="00F069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  <w:r w:rsidR="00AA6472"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20"/>
      </w:pPr>
      <w:bookmarkStart w:id="19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9"/>
    </w:p>
    <w:p w14:paraId="5102576F" w14:textId="265E16E5" w:rsidR="00371666" w:rsidRPr="00B8715D" w:rsidRDefault="00921F15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3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Stopwatch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ad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73970345" w:rsidR="00F81A12" w:rsidRDefault="00F06912" w:rsidP="002D2566">
      <w:pPr>
        <w:pStyle w:val="ad"/>
        <w:spacing w:after="0" w:line="360" w:lineRule="auto"/>
        <w:ind w:left="0" w:firstLine="708"/>
        <w:jc w:val="center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commentRangeStart w:id="20"/>
      <w:commentRangeEnd w:id="20"/>
      <w:r>
        <w:rPr>
          <w:rStyle w:val="af3"/>
        </w:rPr>
        <w:lastRenderedPageBreak/>
        <w:commentReference w:id="20"/>
      </w:r>
      <w:r w:rsidR="002D2566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На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рисунке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ad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1"/>
      </w:pPr>
      <w:bookmarkStart w:id="21" w:name="_Toc99005089"/>
      <w:r w:rsidRPr="00E162C2">
        <w:lastRenderedPageBreak/>
        <w:t>Заключение</w:t>
      </w:r>
      <w:bookmarkEnd w:id="21"/>
    </w:p>
    <w:p w14:paraId="3FABBEDD" w14:textId="307C0640" w:rsidR="00CD27DF" w:rsidRPr="009A116E" w:rsidRDefault="00CD1D9D" w:rsidP="009A116E">
      <w:pPr>
        <w:pStyle w:val="a3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4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4"/>
          <w:szCs w:val="28"/>
        </w:rPr>
        <w:t xml:space="preserve">, выполняющий построение 3D-модели </w:t>
      </w:r>
      <w:r w:rsidR="00FF125C">
        <w:rPr>
          <w:rStyle w:val="a4"/>
          <w:szCs w:val="28"/>
          <w:lang w:val="ru-RU"/>
        </w:rPr>
        <w:t>резьбовой шпильки</w:t>
      </w:r>
      <w:r w:rsidRPr="009A116E">
        <w:rPr>
          <w:rStyle w:val="a4"/>
          <w:szCs w:val="28"/>
        </w:rPr>
        <w:t xml:space="preserve"> по заданным параметрам.</w:t>
      </w:r>
      <w:r w:rsidR="00D43D6B">
        <w:rPr>
          <w:rStyle w:val="a4"/>
          <w:szCs w:val="28"/>
          <w:lang w:val="ru-RU"/>
        </w:rPr>
        <w:t xml:space="preserve"> </w:t>
      </w:r>
      <w:r w:rsidRPr="00D43D6B">
        <w:rPr>
          <w:rStyle w:val="a4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1"/>
      </w:pPr>
      <w:bookmarkStart w:id="22" w:name="_Toc99005090"/>
      <w:r w:rsidRPr="0087102A">
        <w:lastRenderedPageBreak/>
        <w:t>Список используемых источников</w:t>
      </w:r>
      <w:bookmarkEnd w:id="22"/>
    </w:p>
    <w:p w14:paraId="4CAB95D2" w14:textId="7C2B61A1" w:rsidR="00BF1FF0" w:rsidRPr="00C00222" w:rsidRDefault="00774189" w:rsidP="0087102A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32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33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1"/>
      </w:pPr>
      <w:bookmarkStart w:id="23" w:name="_Toc99005091"/>
      <w:r>
        <w:lastRenderedPageBreak/>
        <w:t>Приложение А</w:t>
      </w:r>
      <w:bookmarkEnd w:id="23"/>
    </w:p>
    <w:p w14:paraId="4EED975D" w14:textId="77777777" w:rsidR="000F0A72" w:rsidRDefault="000F0A72" w:rsidP="000F0A72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7"/>
        <w:gridCol w:w="2089"/>
        <w:gridCol w:w="4159"/>
      </w:tblGrid>
      <w:tr w:rsidR="00B33119" w:rsidRPr="00B33119" w14:paraId="16BC9147" w14:textId="77777777" w:rsidTr="00764884">
        <w:tc>
          <w:tcPr>
            <w:tcW w:w="3097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001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47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764884">
        <w:tc>
          <w:tcPr>
            <w:tcW w:w="3097" w:type="dxa"/>
            <w:vAlign w:val="center"/>
          </w:tcPr>
          <w:p w14:paraId="0A3A510B" w14:textId="77777777" w:rsidR="006268E4" w:rsidRDefault="000F0A72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Test_</w:t>
            </w:r>
          </w:p>
          <w:p w14:paraId="1677F23E" w14:textId="77777777" w:rsidR="006268E4" w:rsidRDefault="000F0A72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ModelParameters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5B1E0A7D" w14:textId="7A43CF63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001" w:type="dxa"/>
            <w:vAlign w:val="center"/>
          </w:tcPr>
          <w:p w14:paraId="2A853201" w14:textId="77777777" w:rsidR="000F0A72" w:rsidRPr="00B33119" w:rsidRDefault="000F0A72" w:rsidP="0076488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  <w:vAlign w:val="center"/>
          </w:tcPr>
          <w:p w14:paraId="52DC2CF9" w14:textId="77777777" w:rsidR="000F0A72" w:rsidRPr="00B33119" w:rsidRDefault="000F0A72" w:rsidP="0076488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764884">
        <w:tc>
          <w:tcPr>
            <w:tcW w:w="3097" w:type="dxa"/>
            <w:vAlign w:val="center"/>
          </w:tcPr>
          <w:p w14:paraId="686276A0" w14:textId="77777777" w:rsidR="006268E4" w:rsidRDefault="000F0A72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60D361A8" w14:textId="2FAF0513" w:rsidR="000F0A72" w:rsidRPr="00B33119" w:rsidRDefault="000F0A72" w:rsidP="00764884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001" w:type="dxa"/>
            <w:vAlign w:val="center"/>
          </w:tcPr>
          <w:p w14:paraId="2856461F" w14:textId="77777777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14:paraId="10CCCFCF" w14:textId="77777777" w:rsidR="000F0A72" w:rsidRPr="00B33119" w:rsidRDefault="000F0A72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764884">
        <w:tc>
          <w:tcPr>
            <w:tcW w:w="3097" w:type="dxa"/>
            <w:vMerge w:val="restart"/>
          </w:tcPr>
          <w:p w14:paraId="1E8B0702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29302882" w14:textId="77777777" w:rsidR="006268E4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DiameterValue</w:t>
            </w:r>
            <w:proofErr w:type="spellEnd"/>
          </w:p>
          <w:p w14:paraId="659B885C" w14:textId="7832E189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</w:p>
          <w:p w14:paraId="387F74C4" w14:textId="53033370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, double,</w:t>
            </w:r>
          </w:p>
          <w:p w14:paraId="27399658" w14:textId="050657E5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001" w:type="dxa"/>
          </w:tcPr>
          <w:p w14:paraId="30EE1B52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861187B" w:rsidR="00B33119" w:rsidRPr="00B33119" w:rsidRDefault="00B33119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4247" w:type="dxa"/>
            <w:vMerge w:val="restart"/>
          </w:tcPr>
          <w:p w14:paraId="0881DDAE" w14:textId="3C43D15B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764884">
        <w:tc>
          <w:tcPr>
            <w:tcW w:w="3097" w:type="dxa"/>
            <w:vMerge/>
          </w:tcPr>
          <w:p w14:paraId="2D095CFC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01" w:type="dxa"/>
          </w:tcPr>
          <w:p w14:paraId="0663D2CC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4FF51128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14, 12</w:t>
            </w:r>
          </w:p>
        </w:tc>
        <w:tc>
          <w:tcPr>
            <w:tcW w:w="4247" w:type="dxa"/>
            <w:vMerge/>
          </w:tcPr>
          <w:p w14:paraId="642F84E4" w14:textId="77777777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764884">
        <w:tc>
          <w:tcPr>
            <w:tcW w:w="3097" w:type="dxa"/>
            <w:vMerge/>
          </w:tcPr>
          <w:p w14:paraId="6908A9FA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4949ED43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07A009A5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4247" w:type="dxa"/>
            <w:vMerge/>
          </w:tcPr>
          <w:p w14:paraId="68773F36" w14:textId="77777777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764884">
        <w:tc>
          <w:tcPr>
            <w:tcW w:w="3097" w:type="dxa"/>
            <w:vMerge/>
          </w:tcPr>
          <w:p w14:paraId="29BE0832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4883136E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219EB7D0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15,16</w:t>
            </w:r>
          </w:p>
        </w:tc>
        <w:tc>
          <w:tcPr>
            <w:tcW w:w="4247" w:type="dxa"/>
            <w:vMerge/>
          </w:tcPr>
          <w:p w14:paraId="7E10B563" w14:textId="77777777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764884">
        <w:tc>
          <w:tcPr>
            <w:tcW w:w="3097" w:type="dxa"/>
            <w:vMerge/>
          </w:tcPr>
          <w:p w14:paraId="7F3454FF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2E4E8E12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0FE7B3B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4247" w:type="dxa"/>
            <w:vMerge/>
          </w:tcPr>
          <w:p w14:paraId="4521F910" w14:textId="77777777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764884">
        <w:tc>
          <w:tcPr>
            <w:tcW w:w="3097" w:type="dxa"/>
            <w:vMerge/>
          </w:tcPr>
          <w:p w14:paraId="40A2096E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0A409E19" w14:textId="1DCA6A04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3508778" w14:textId="16AD1D10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4247" w:type="dxa"/>
            <w:vMerge/>
          </w:tcPr>
          <w:p w14:paraId="6369DD82" w14:textId="77777777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764884">
        <w:tc>
          <w:tcPr>
            <w:tcW w:w="3097" w:type="dxa"/>
            <w:vMerge w:val="restart"/>
          </w:tcPr>
          <w:p w14:paraId="3810FA70" w14:textId="777777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1EE1F8" w14:textId="4DF56873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LengthValue</w:t>
            </w:r>
            <w:proofErr w:type="spellEnd"/>
          </w:p>
          <w:p w14:paraId="206DB16E" w14:textId="3CD93477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B9E7D78" w14:textId="225F301B" w:rsidR="00B33119" w:rsidRPr="00B33119" w:rsidRDefault="00B33119" w:rsidP="00764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001" w:type="dxa"/>
          </w:tcPr>
          <w:p w14:paraId="0233711A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7951DE49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40, 50</w:t>
            </w:r>
          </w:p>
        </w:tc>
        <w:tc>
          <w:tcPr>
            <w:tcW w:w="4247" w:type="dxa"/>
            <w:vMerge w:val="restart"/>
          </w:tcPr>
          <w:p w14:paraId="1B3B15EF" w14:textId="10C36CD3" w:rsidR="00B33119" w:rsidRPr="00B33119" w:rsidRDefault="00B33119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764884">
        <w:tc>
          <w:tcPr>
            <w:tcW w:w="3097" w:type="dxa"/>
            <w:vMerge/>
          </w:tcPr>
          <w:p w14:paraId="48E19FA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01" w:type="dxa"/>
          </w:tcPr>
          <w:p w14:paraId="029469A4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54C9979F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50, 40</w:t>
            </w:r>
          </w:p>
        </w:tc>
        <w:tc>
          <w:tcPr>
            <w:tcW w:w="4247" w:type="dxa"/>
            <w:vMerge/>
          </w:tcPr>
          <w:p w14:paraId="3119B8A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764884">
        <w:tc>
          <w:tcPr>
            <w:tcW w:w="3097" w:type="dxa"/>
            <w:vMerge/>
          </w:tcPr>
          <w:p w14:paraId="241FB3F3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16BA6A7E" w14:textId="7777777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54CA8767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12, 13</w:t>
            </w:r>
          </w:p>
        </w:tc>
        <w:tc>
          <w:tcPr>
            <w:tcW w:w="4247" w:type="dxa"/>
            <w:vMerge/>
          </w:tcPr>
          <w:p w14:paraId="185106AA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764884">
        <w:tc>
          <w:tcPr>
            <w:tcW w:w="3097" w:type="dxa"/>
            <w:vMerge/>
          </w:tcPr>
          <w:p w14:paraId="767A781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</w:tcPr>
          <w:p w14:paraId="2CBC7473" w14:textId="78B94FAF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764884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4247" w:type="dxa"/>
            <w:vMerge/>
          </w:tcPr>
          <w:p w14:paraId="6AA55F7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49ADD3" w14:textId="77777777" w:rsidR="000F0A72" w:rsidRPr="00B33119" w:rsidRDefault="000F0A72" w:rsidP="000F0A72">
      <w:pPr>
        <w:rPr>
          <w:rFonts w:ascii="Times New Roman" w:eastAsia="Calibri" w:hAnsi="Times New Roman" w:cs="Times New Roman"/>
          <w:sz w:val="28"/>
          <w:szCs w:val="28"/>
        </w:rPr>
      </w:pPr>
      <w:r w:rsidRPr="00B3311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9E65A6" w14:textId="0F680B88" w:rsidR="000F0A72" w:rsidRPr="00B33119" w:rsidRDefault="000F0A72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3119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 Таблицы</w:t>
      </w:r>
      <w:proofErr w:type="gramEnd"/>
      <w:r w:rsidRPr="00B33119"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3"/>
        <w:gridCol w:w="3278"/>
        <w:gridCol w:w="1674"/>
      </w:tblGrid>
      <w:tr w:rsidR="00B33119" w:rsidRPr="00B33119" w14:paraId="4520D6D3" w14:textId="77777777" w:rsidTr="00221FD6">
        <w:tc>
          <w:tcPr>
            <w:tcW w:w="3762" w:type="dxa"/>
            <w:vAlign w:val="center"/>
          </w:tcPr>
          <w:p w14:paraId="16AE5DA9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4129" w:type="dxa"/>
            <w:vAlign w:val="center"/>
          </w:tcPr>
          <w:p w14:paraId="3A4BD364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54" w:type="dxa"/>
            <w:vAlign w:val="center"/>
          </w:tcPr>
          <w:p w14:paraId="09F9899C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41C9CC48" w14:textId="77777777" w:rsidTr="00221FD6">
        <w:tc>
          <w:tcPr>
            <w:tcW w:w="3762" w:type="dxa"/>
            <w:vMerge w:val="restart"/>
          </w:tcPr>
          <w:p w14:paraId="14CEE949" w14:textId="77777777" w:rsidR="007F41BA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7F41B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4129" w:type="dxa"/>
          </w:tcPr>
          <w:p w14:paraId="43C34719" w14:textId="26C44F46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 w:val="restart"/>
          </w:tcPr>
          <w:p w14:paraId="358B730F" w14:textId="77777777" w:rsidR="000F0A72" w:rsidRPr="00B33119" w:rsidRDefault="000F0A72" w:rsidP="0076488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221FD6">
        <w:tc>
          <w:tcPr>
            <w:tcW w:w="3762" w:type="dxa"/>
            <w:vMerge/>
          </w:tcPr>
          <w:p w14:paraId="75AECB1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DB1D82B" w14:textId="5E6F589C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221FD6">
        <w:tc>
          <w:tcPr>
            <w:tcW w:w="3762" w:type="dxa"/>
            <w:vMerge/>
          </w:tcPr>
          <w:p w14:paraId="1C27FD47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52C46A3" w14:textId="71B073BA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221FD6">
        <w:tc>
          <w:tcPr>
            <w:tcW w:w="3762" w:type="dxa"/>
            <w:vMerge/>
          </w:tcPr>
          <w:p w14:paraId="0F760630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3DD80C65" w14:textId="506365EA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221FD6">
        <w:tc>
          <w:tcPr>
            <w:tcW w:w="3762" w:type="dxa"/>
            <w:vMerge/>
          </w:tcPr>
          <w:p w14:paraId="4A1B2888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EEEB4A3" w14:textId="381DAB83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221FD6">
        <w:tc>
          <w:tcPr>
            <w:tcW w:w="3762" w:type="dxa"/>
            <w:vMerge/>
          </w:tcPr>
          <w:p w14:paraId="072C2C72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4B1C0EB" w14:textId="3F86D4EC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221FD6">
        <w:tc>
          <w:tcPr>
            <w:tcW w:w="3762" w:type="dxa"/>
            <w:vMerge/>
          </w:tcPr>
          <w:p w14:paraId="5897994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AE13248" w14:textId="1EA05BB6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221FD6">
        <w:tc>
          <w:tcPr>
            <w:tcW w:w="3762" w:type="dxa"/>
            <w:vMerge/>
          </w:tcPr>
          <w:p w14:paraId="4408E32F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4006488" w14:textId="0821A64D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221FD6">
        <w:tc>
          <w:tcPr>
            <w:tcW w:w="3762" w:type="dxa"/>
            <w:vMerge/>
          </w:tcPr>
          <w:p w14:paraId="0723DE7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61B3E2D" w14:textId="693C0622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221FD6">
        <w:tc>
          <w:tcPr>
            <w:tcW w:w="3762" w:type="dxa"/>
            <w:vMerge/>
          </w:tcPr>
          <w:p w14:paraId="115F9BC3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1BE73D6B" w14:textId="440E8EF2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221FD6">
        <w:tc>
          <w:tcPr>
            <w:tcW w:w="3762" w:type="dxa"/>
            <w:vMerge/>
          </w:tcPr>
          <w:p w14:paraId="142471DD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5530E128" w14:textId="40EC488A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221FD6">
        <w:tc>
          <w:tcPr>
            <w:tcW w:w="3762" w:type="dxa"/>
            <w:vMerge/>
          </w:tcPr>
          <w:p w14:paraId="566CF3E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CD58CB5" w14:textId="21A74A7C" w:rsidR="000F0A72" w:rsidRPr="00B33119" w:rsidRDefault="000F0A72" w:rsidP="00764884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3"/>
        <w:gridCol w:w="1507"/>
        <w:gridCol w:w="3445"/>
      </w:tblGrid>
      <w:tr w:rsidR="00221FD6" w:rsidRPr="00B33119" w14:paraId="072DCD5F" w14:textId="77777777" w:rsidTr="00764884">
        <w:tc>
          <w:tcPr>
            <w:tcW w:w="4393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847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105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764884">
        <w:tc>
          <w:tcPr>
            <w:tcW w:w="4393" w:type="dxa"/>
          </w:tcPr>
          <w:p w14:paraId="277BC478" w14:textId="3E1DE0CE" w:rsidR="00221FD6" w:rsidRPr="00221FD6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7" w:type="dxa"/>
          </w:tcPr>
          <w:p w14:paraId="522CF427" w14:textId="75F210D2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219F5DBA" w14:textId="13F426C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764884">
        <w:tc>
          <w:tcPr>
            <w:tcW w:w="4393" w:type="dxa"/>
          </w:tcPr>
          <w:p w14:paraId="5981ADBF" w14:textId="77777777" w:rsidR="00764884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</w:p>
          <w:p w14:paraId="3B7EDAD6" w14:textId="03D9E70E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7" w:type="dxa"/>
          </w:tcPr>
          <w:p w14:paraId="0C9E11AC" w14:textId="77777777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2718A35E" w14:textId="628BA4BF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764884">
        <w:trPr>
          <w:trHeight w:val="352"/>
        </w:trPr>
        <w:tc>
          <w:tcPr>
            <w:tcW w:w="4393" w:type="dxa"/>
            <w:vMerge w:val="restart"/>
          </w:tcPr>
          <w:p w14:paraId="379ACD43" w14:textId="77777777" w:rsidR="00764884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D4A112" w14:textId="77777777" w:rsidR="00764884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5BC33698" w14:textId="44CC6893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847" w:type="dxa"/>
          </w:tcPr>
          <w:p w14:paraId="6B125B87" w14:textId="059C2983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4105" w:type="dxa"/>
            <w:vMerge w:val="restart"/>
          </w:tcPr>
          <w:p w14:paraId="3A4E42FA" w14:textId="3BAFC29E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764884">
        <w:tc>
          <w:tcPr>
            <w:tcW w:w="4393" w:type="dxa"/>
            <w:vMerge/>
          </w:tcPr>
          <w:p w14:paraId="23D63FFE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</w:tcPr>
          <w:p w14:paraId="6D61A672" w14:textId="1FE9E5FD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4105" w:type="dxa"/>
            <w:vMerge/>
          </w:tcPr>
          <w:p w14:paraId="563B65F0" w14:textId="77777777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764884">
        <w:trPr>
          <w:trHeight w:val="519"/>
        </w:trPr>
        <w:tc>
          <w:tcPr>
            <w:tcW w:w="4393" w:type="dxa"/>
            <w:vMerge w:val="restart"/>
          </w:tcPr>
          <w:p w14:paraId="39C7E5EC" w14:textId="77777777" w:rsidR="00764884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3281151A" w14:textId="48C146DA" w:rsidR="00EA1F97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847" w:type="dxa"/>
          </w:tcPr>
          <w:p w14:paraId="03B8841B" w14:textId="74983950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4105" w:type="dxa"/>
            <w:vMerge w:val="restart"/>
          </w:tcPr>
          <w:p w14:paraId="58B0BEAC" w14:textId="442C62D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764884">
        <w:tc>
          <w:tcPr>
            <w:tcW w:w="4393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</w:tcPr>
          <w:p w14:paraId="79F5ED46" w14:textId="1788EE21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4105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F06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2-03-24T14:49:00Z" w:initials="A">
    <w:p w14:paraId="1079F0CD" w14:textId="3117A64A" w:rsidR="00F06912" w:rsidRDefault="00F06912">
      <w:pPr>
        <w:pStyle w:val="af4"/>
      </w:pPr>
      <w:r>
        <w:rPr>
          <w:rStyle w:val="af3"/>
        </w:rPr>
        <w:annotationRef/>
      </w:r>
    </w:p>
  </w:comment>
  <w:comment w:id="7" w:author="AAK" w:date="2022-03-24T14:50:00Z" w:initials="A">
    <w:p w14:paraId="73533919" w14:textId="5AC27A94" w:rsidR="00F06912" w:rsidRDefault="00F06912">
      <w:pPr>
        <w:pStyle w:val="af4"/>
      </w:pPr>
      <w:r>
        <w:rPr>
          <w:rStyle w:val="af3"/>
        </w:rPr>
        <w:annotationRef/>
      </w:r>
    </w:p>
  </w:comment>
  <w:comment w:id="13" w:author="AAK" w:date="2022-03-24T14:51:00Z" w:initials="A">
    <w:p w14:paraId="69278820" w14:textId="317A4494" w:rsidR="00F06912" w:rsidRPr="00F06912" w:rsidRDefault="00F06912">
      <w:pPr>
        <w:pStyle w:val="af4"/>
      </w:pPr>
      <w:r>
        <w:rPr>
          <w:rStyle w:val="af3"/>
        </w:rPr>
        <w:annotationRef/>
      </w:r>
      <w:r>
        <w:t>Уменьшить колонку</w:t>
      </w:r>
    </w:p>
  </w:comment>
  <w:comment w:id="20" w:author="AAK" w:date="2022-03-24T14:53:00Z" w:initials="A">
    <w:p w14:paraId="5986C50E" w14:textId="2242849A" w:rsidR="00F06912" w:rsidRDefault="00F06912">
      <w:pPr>
        <w:pStyle w:val="af4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9F0CD" w15:done="0"/>
  <w15:commentEx w15:paraId="73533919" w15:done="0"/>
  <w15:commentEx w15:paraId="69278820" w15:done="0"/>
  <w15:commentEx w15:paraId="5986C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394" w16cex:dateUtc="2022-03-24T07:49:00Z"/>
  <w16cex:commentExtensible w16cex:durableId="25E7039C" w16cex:dateUtc="2022-03-24T07:50:00Z"/>
  <w16cex:commentExtensible w16cex:durableId="25E703E5" w16cex:dateUtc="2022-03-24T07:51:00Z"/>
  <w16cex:commentExtensible w16cex:durableId="25E70470" w16cex:dateUtc="2022-03-24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9F0CD" w16cid:durableId="25E70394"/>
  <w16cid:commentId w16cid:paraId="73533919" w16cid:durableId="25E7039C"/>
  <w16cid:commentId w16cid:paraId="69278820" w16cid:durableId="25E703E5"/>
  <w16cid:commentId w16cid:paraId="5986C50E" w16cid:durableId="25E70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1A24" w14:textId="77777777" w:rsidR="007B22D0" w:rsidRDefault="007B22D0" w:rsidP="00D20F1A">
      <w:pPr>
        <w:spacing w:after="0" w:line="240" w:lineRule="auto"/>
      </w:pPr>
      <w:r>
        <w:separator/>
      </w:r>
    </w:p>
  </w:endnote>
  <w:endnote w:type="continuationSeparator" w:id="0">
    <w:p w14:paraId="20487DB3" w14:textId="77777777" w:rsidR="007B22D0" w:rsidRDefault="007B22D0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6554" w14:textId="77777777" w:rsidR="007B22D0" w:rsidRDefault="007B22D0" w:rsidP="00D20F1A">
      <w:pPr>
        <w:spacing w:after="0" w:line="240" w:lineRule="auto"/>
      </w:pPr>
      <w:r>
        <w:separator/>
      </w:r>
    </w:p>
  </w:footnote>
  <w:footnote w:type="continuationSeparator" w:id="0">
    <w:p w14:paraId="7A9CC7C5" w14:textId="77777777" w:rsidR="007B22D0" w:rsidRDefault="007B22D0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FD4"/>
    <w:rsid w:val="000746CD"/>
    <w:rsid w:val="000750A4"/>
    <w:rsid w:val="00083EB7"/>
    <w:rsid w:val="00093879"/>
    <w:rsid w:val="000A714F"/>
    <w:rsid w:val="000B0508"/>
    <w:rsid w:val="000C4FFB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0452D"/>
    <w:rsid w:val="002074E3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D2566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82189"/>
    <w:rsid w:val="00396C7A"/>
    <w:rsid w:val="003A574F"/>
    <w:rsid w:val="003C0329"/>
    <w:rsid w:val="003D1610"/>
    <w:rsid w:val="003E239F"/>
    <w:rsid w:val="003F71A9"/>
    <w:rsid w:val="0041277E"/>
    <w:rsid w:val="0041551D"/>
    <w:rsid w:val="004229B5"/>
    <w:rsid w:val="00451CB1"/>
    <w:rsid w:val="00463172"/>
    <w:rsid w:val="00470E33"/>
    <w:rsid w:val="004A0186"/>
    <w:rsid w:val="004A2E13"/>
    <w:rsid w:val="004A34CF"/>
    <w:rsid w:val="004A3CA5"/>
    <w:rsid w:val="004C5FF7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B6EB1"/>
    <w:rsid w:val="005B70C4"/>
    <w:rsid w:val="005C7C19"/>
    <w:rsid w:val="005D305D"/>
    <w:rsid w:val="005E22F6"/>
    <w:rsid w:val="005F49F0"/>
    <w:rsid w:val="006028BB"/>
    <w:rsid w:val="006079B1"/>
    <w:rsid w:val="006268E4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4242"/>
    <w:rsid w:val="00764884"/>
    <w:rsid w:val="007712A4"/>
    <w:rsid w:val="00774189"/>
    <w:rsid w:val="00780E2D"/>
    <w:rsid w:val="007A1D0A"/>
    <w:rsid w:val="007B22D0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C4A06"/>
    <w:rsid w:val="00CD1D9D"/>
    <w:rsid w:val="00CD27DF"/>
    <w:rsid w:val="00CD52DB"/>
    <w:rsid w:val="00CE177C"/>
    <w:rsid w:val="00CE29B6"/>
    <w:rsid w:val="00CE3D8A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06912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6CD"/>
  </w:style>
  <w:style w:type="paragraph" w:styleId="1">
    <w:name w:val="heading 1"/>
    <w:basedOn w:val="a"/>
    <w:next w:val="a"/>
    <w:link w:val="10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746C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1A"/>
  </w:style>
  <w:style w:type="paragraph" w:styleId="a8">
    <w:name w:val="footer"/>
    <w:basedOn w:val="a"/>
    <w:link w:val="a9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1A"/>
  </w:style>
  <w:style w:type="paragraph" w:styleId="aa">
    <w:name w:val="Normal (Web)"/>
    <w:basedOn w:val="a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b">
    <w:name w:val="Body Text"/>
    <w:basedOn w:val="a"/>
    <w:link w:val="ac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0"/>
    <w:link w:val="20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ad">
    <w:name w:val="List Paragraph"/>
    <w:aliases w:val="Список нумерованный"/>
    <w:basedOn w:val="a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a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1031C"/>
    <w:rPr>
      <w:b/>
      <w:bCs/>
    </w:rPr>
  </w:style>
  <w:style w:type="table" w:styleId="af">
    <w:name w:val="Table Grid"/>
    <w:basedOn w:val="a1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af0">
    <w:name w:val="Emphasis"/>
    <w:basedOn w:val="a0"/>
    <w:uiPriority w:val="20"/>
    <w:qFormat/>
    <w:rsid w:val="00D9131C"/>
    <w:rPr>
      <w:i/>
      <w:iCs/>
    </w:rPr>
  </w:style>
  <w:style w:type="paragraph" w:customStyle="1" w:styleId="p1">
    <w:name w:val="p1"/>
    <w:basedOn w:val="a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A809A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809A5"/>
    <w:rPr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4E38"/>
    <w:pPr>
      <w:spacing w:after="100"/>
      <w:ind w:firstLine="567"/>
    </w:p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1FF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af8">
    <w:name w:val="Hyperlink"/>
    <w:basedOn w:val="a0"/>
    <w:uiPriority w:val="99"/>
    <w:unhideWhenUsed/>
    <w:rsid w:val="00BF1FF0"/>
    <w:rPr>
      <w:color w:val="0563C1" w:themeColor="hyperlink"/>
      <w:u w:val="single"/>
    </w:rPr>
  </w:style>
  <w:style w:type="character" w:customStyle="1" w:styleId="13">
    <w:name w:val="Заголовок1"/>
    <w:basedOn w:val="a0"/>
    <w:rsid w:val="00BF1FF0"/>
  </w:style>
  <w:style w:type="character" w:customStyle="1" w:styleId="x2ul">
    <w:name w:val="x2ul"/>
    <w:basedOn w:val="a0"/>
    <w:rsid w:val="00282804"/>
  </w:style>
  <w:style w:type="paragraph" w:customStyle="1" w:styleId="bodytext">
    <w:name w:val="bodytext"/>
    <w:basedOn w:val="a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40">
    <w:name w:val="Заголовок 4 Знак"/>
    <w:basedOn w:val="a0"/>
    <w:link w:val="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caption"/>
    <w:basedOn w:val="a"/>
    <w:next w:val="a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fa">
    <w:name w:val="FollowedHyperlink"/>
    <w:basedOn w:val="a0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qa-academy.by/qaacademy/news/klassifikaciya-vidov-testirovani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://www.k2x2.info/kompas_3d_v10_na_100/p9.php%20%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apps.autodesk.com/FUSION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36</Pages>
  <Words>3586</Words>
  <Characters>20441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Лев</cp:lastModifiedBy>
  <cp:revision>92</cp:revision>
  <dcterms:created xsi:type="dcterms:W3CDTF">2022-03-09T19:25:00Z</dcterms:created>
  <dcterms:modified xsi:type="dcterms:W3CDTF">2022-03-31T03:25:00Z</dcterms:modified>
</cp:coreProperties>
</file>