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C9" w:rsidRDefault="004B7E3B" w:rsidP="004B7E3B">
      <w:pPr>
        <w:pStyle w:val="Titel"/>
      </w:pPr>
      <w:r>
        <w:t>Dame-Beschreibung</w:t>
      </w:r>
    </w:p>
    <w:p w:rsidR="004B7E3B" w:rsidRDefault="004B7E3B" w:rsidP="004B7E3B"/>
    <w:p w:rsidR="00F846A1" w:rsidRDefault="004B7E3B" w:rsidP="004B7E3B">
      <w:r>
        <w:t xml:space="preserve">Das Projekt „Dame“ wurde nach dem MVC Prinzip entwickelt. In dem Ordner Model befinden sich sämtliche Klassen, die Daten für das Spiel speichern. Die Oberfläche wurde mit </w:t>
      </w:r>
      <w:proofErr w:type="spellStart"/>
      <w:r>
        <w:t>JavaFX</w:t>
      </w:r>
      <w:proofErr w:type="spellEnd"/>
      <w:r>
        <w:t xml:space="preserve"> </w:t>
      </w:r>
      <w:r w:rsidR="009C0926">
        <w:t xml:space="preserve">realisiert, deshalb befinden sich in der View </w:t>
      </w:r>
      <w:proofErr w:type="gramStart"/>
      <w:r>
        <w:t>„.</w:t>
      </w:r>
      <w:proofErr w:type="spellStart"/>
      <w:r>
        <w:t>fxml</w:t>
      </w:r>
      <w:proofErr w:type="spellEnd"/>
      <w:proofErr w:type="gramEnd"/>
      <w:r>
        <w:t>“ Dateien, die die Oberfläche definieren. Zusätzlich existiert dort eine Datei „style.css“, die das Aussehen der Oberfläche vorgibt.</w:t>
      </w:r>
      <w:r w:rsidR="009C0926">
        <w:t xml:space="preserve"> In der Steuerung existiert erst einmal eine Main Klasse, die die verschiedenen Oberflächen verwaltet und steuert. Außerdem ein </w:t>
      </w:r>
      <w:proofErr w:type="spellStart"/>
      <w:r w:rsidR="009C0926">
        <w:t>PlayerController</w:t>
      </w:r>
      <w:proofErr w:type="spellEnd"/>
      <w:r w:rsidR="009C0926">
        <w:t xml:space="preserve">, der die Spieler verwaltet, und eine Game Klasse, die das Spiel steuert. Zusätzlich befindet sich hier zu jeder Oberfläche </w:t>
      </w:r>
      <w:proofErr w:type="gramStart"/>
      <w:r w:rsidR="009C0926">
        <w:t>(.</w:t>
      </w:r>
      <w:proofErr w:type="spellStart"/>
      <w:r w:rsidR="009C0926">
        <w:t>fxml</w:t>
      </w:r>
      <w:proofErr w:type="spellEnd"/>
      <w:proofErr w:type="gramEnd"/>
      <w:r w:rsidR="009C0926">
        <w:t xml:space="preserve"> Datei) ein Controller, der die Oberfläche mit dem Code verbindet.</w:t>
      </w:r>
    </w:p>
    <w:p w:rsidR="00373F65" w:rsidRDefault="00373F65" w:rsidP="004B7E3B">
      <w:bookmarkStart w:id="0" w:name="_GoBack"/>
      <w:bookmarkEnd w:id="0"/>
    </w:p>
    <w:p w:rsidR="00F846A1" w:rsidRDefault="00F846A1" w:rsidP="004B7E3B">
      <w:r>
        <w:t>Regeln nach denen das Dame Spiel umgesetzt wurde:</w:t>
      </w:r>
    </w:p>
    <w:p w:rsidR="00F846A1" w:rsidRDefault="00F846A1" w:rsidP="00F846A1">
      <w:pPr>
        <w:pStyle w:val="Listenabsatz"/>
        <w:numPr>
          <w:ilvl w:val="0"/>
          <w:numId w:val="1"/>
        </w:numPr>
      </w:pPr>
      <w:r>
        <w:t>8x8 oder 10x10 Feld</w:t>
      </w:r>
    </w:p>
    <w:p w:rsidR="00F846A1" w:rsidRDefault="00F846A1" w:rsidP="00F846A1">
      <w:pPr>
        <w:pStyle w:val="Listenabsatz"/>
        <w:numPr>
          <w:ilvl w:val="0"/>
          <w:numId w:val="1"/>
        </w:numPr>
      </w:pPr>
      <w:r>
        <w:t>Einfache Steine können ein Feld diagonal nach vorne oder einen feindlichen Stein diagonal nach vorne überspringen. Nach einem Schlag, können beliebig viele weitere (soweit möglich) Schläge mit dem gleichen Stein ausgeführt werden. Es besteht kein Schlagzwang.</w:t>
      </w:r>
    </w:p>
    <w:p w:rsidR="00F846A1" w:rsidRDefault="00F846A1" w:rsidP="00F846A1">
      <w:pPr>
        <w:pStyle w:val="Listenabsatz"/>
        <w:numPr>
          <w:ilvl w:val="0"/>
          <w:numId w:val="1"/>
        </w:numPr>
      </w:pPr>
      <w:r>
        <w:t>Die Superdame kann um zu schlagen beliebig viele leere Felder überspringen, muss aber direkt hinter dem geschlagenen Stein aufkommen.</w:t>
      </w:r>
    </w:p>
    <w:p w:rsidR="00FC2123" w:rsidRPr="004B7E3B" w:rsidRDefault="00FC2123" w:rsidP="004B7E3B"/>
    <w:sectPr w:rsidR="00FC2123" w:rsidRPr="004B7E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2D5E"/>
    <w:multiLevelType w:val="hybridMultilevel"/>
    <w:tmpl w:val="00B2ED28"/>
    <w:lvl w:ilvl="0" w:tplc="9A260F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3B"/>
    <w:rsid w:val="000C2AE2"/>
    <w:rsid w:val="002855C9"/>
    <w:rsid w:val="00373F65"/>
    <w:rsid w:val="004B7E3B"/>
    <w:rsid w:val="004E5730"/>
    <w:rsid w:val="007D035B"/>
    <w:rsid w:val="009C0926"/>
    <w:rsid w:val="00DF3221"/>
    <w:rsid w:val="00F846A1"/>
    <w:rsid w:val="00FC21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2F60"/>
  <w15:chartTrackingRefBased/>
  <w15:docId w15:val="{D7DDCCCC-0424-44E2-A763-4B2FA819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7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7E3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84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9697A3"/>
      </a:dk2>
      <a:lt2>
        <a:srgbClr val="00488E"/>
      </a:lt2>
      <a:accent1>
        <a:srgbClr val="96BFD2"/>
      </a:accent1>
      <a:accent2>
        <a:srgbClr val="446482"/>
      </a:accent2>
      <a:accent3>
        <a:srgbClr val="B0B1BA"/>
      </a:accent3>
      <a:accent4>
        <a:srgbClr val="4076AA"/>
      </a:accent4>
      <a:accent5>
        <a:srgbClr val="B1CFDE"/>
      </a:accent5>
      <a:accent6>
        <a:srgbClr val="738BA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Duerr Corporate Color Blue 50%">
      <a:srgbClr val="80A3C6"/>
    </a:custClr>
    <a:custClr name="Duerr Corporate Color Blue 25%">
      <a:srgbClr val="BFD1E3"/>
    </a:custClr>
    <a:custClr name="Duerr Corporate Color Blue 10%">
      <a:srgbClr val="E5EDF4"/>
    </a:custClr>
    <a:custClr name="Duerr Corporate Color Ice-Blue 50%">
      <a:srgbClr val="CADFE8"/>
    </a:custClr>
    <a:custClr name="Duerr Corporate Color Ice-Blue 25%">
      <a:srgbClr val="E5EFF4"/>
    </a:custClr>
    <a:custClr name="Duerr Corporate Color Ice-Blue 10%">
      <a:srgbClr val="F4F9FA"/>
    </a:custClr>
    <a:custClr name="Duerr Corporate Color Grey 50%">
      <a:srgbClr val="CACBD1"/>
    </a:custClr>
    <a:custClr name="Duerr Corporate Color Grey 25%">
      <a:srgbClr val="E5E5E8"/>
    </a:custClr>
    <a:custClr name="Duerr Corporate Color Grey 10%">
      <a:srgbClr val="F4F5F6"/>
    </a:custClr>
    <a:custClr name="Duerr Corporate Color Grey-Blue 50%">
      <a:srgbClr val="A1B1C0"/>
    </a:custClr>
    <a:custClr name="Duerr Corporate Color Grey-Blue 25%">
      <a:srgbClr val="D0D8E0"/>
    </a:custClr>
    <a:custClr name="Duerr Corporate Color Grey-Blue 10%">
      <a:srgbClr val="ECEEF1"/>
    </a:custClr>
    <a:custClr name="Duerr Corporate Color Yellow">
      <a:srgbClr val="FFCC00"/>
    </a:custClr>
    <a:custClr name="Duerr Corporate Color Red">
      <a:srgbClr val="B6101D"/>
    </a:custClr>
    <a:custClr name="Duerr Corporate Color Light Green">
      <a:srgbClr val="B1C800"/>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Dürr IT Service GmbH</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Gaiser</dc:creator>
  <cp:keywords/>
  <dc:description/>
  <cp:lastModifiedBy>Johannes Gaiser</cp:lastModifiedBy>
  <cp:revision>4</cp:revision>
  <dcterms:created xsi:type="dcterms:W3CDTF">2018-08-27T06:15:00Z</dcterms:created>
  <dcterms:modified xsi:type="dcterms:W3CDTF">2018-08-28T11:54:00Z</dcterms:modified>
</cp:coreProperties>
</file>