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0"/>
        </w:rPr>
        <w:t>Пояснительная записка решения Волга IT 2026</w:t>
      </w:r>
    </w:p>
    <w:p>
      <w:pPr>
        <w:spacing w:after="100"/>
      </w:pPr>
      <w:r>
        <w:t>Версия от 30 сентября 2026 года. Документ описывает состав решения, выбранную конфигурацию и результаты доступных проверок.</w:t>
      </w:r>
    </w:p>
    <w:p>
      <w:pPr>
        <w:pStyle w:val="Heading1"/>
      </w:pPr>
      <w:r>
        <w:t>1 Назначение и состав</w:t>
      </w:r>
    </w:p>
    <w:p>
      <w:pPr>
        <w:spacing w:after="100"/>
      </w:pPr>
      <w:r>
        <w:t>Программа принимает каталог JPG/PNG и формирует UTF-8 CSV с полями image;plate_num;plate_type;confidence. Детектор ONNX работает локально на CPU, распознаватель EasyOCR использует локальные веса. В predict.py отключены сетевые загрузки.</w:t>
      </w:r>
    </w:p>
    <w:p>
      <w:pPr>
        <w:spacing w:after="100"/>
      </w:pPr>
      <w:r>
        <w:t>Основной dataset official_v1 содержит 5003 изображения: 5000 процедурно синтезированных и 3 реальных. Для него сохранены официальные YOLO labels, meta.csv, сведения об источниках и лицензиях, а также отчёт validate_dataset.py. Открытый debug-набор, development-наборы, вспомогательные материалы и промежуточные веса в комплект не включены.</w:t>
      </w:r>
    </w:p>
    <w:p>
      <w:pPr>
        <w:pStyle w:val="Heading1"/>
      </w:pPr>
      <w:r>
        <w:t>2 Формат и конфигурация</w:t>
      </w:r>
    </w:p>
    <w:p>
      <w:pPr>
        <w:spacing w:after="100"/>
      </w:pPr>
      <w:r>
        <w:t>Режим strict выбран по умолчанию и следует доступным официальным материалам: type1/type1a — одна буква, три цифры, две буквы и регион из 2–3 цифр; type1b — две буквы, три цифры и регион из 2–3 цифр. Регион обязателен; применяются латинские символы установленного алфавита. Строки не дополняются и не сокращаются.</w:t>
      </w:r>
    </w:p>
    <w:p>
      <w:pPr>
        <w:spacing w:after="100"/>
      </w:pPr>
      <w:r>
        <w:t>Выбран checkpoint models/fine_tuned/easyocr_autoria_mixed_20260930_from_step1000_step1000.pt. Экспериментальная ветка чтения двухстрочных номеров отключена. Детектор и правила постобработки в выбранной конфигурации не изменялись.</w:t>
      </w:r>
    </w:p>
    <w:p>
      <w:pPr>
        <w:pStyle w:val="Heading1"/>
      </w:pPr>
      <w:r>
        <w:t>3 Результаты проверок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Набор</w:t>
            </w:r>
          </w:p>
        </w:tc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3324"/>
            <w:vAlign w:val="center"/>
          </w:tcPr>
          <w:p>
            <w:r>
              <w:t>Synthetic validation</w:t>
            </w:r>
          </w:p>
        </w:tc>
        <w:tc>
          <w:tcPr>
            <w:tcW w:type="dxa" w:w="3324"/>
            <w:vAlign w:val="center"/>
          </w:tcPr>
          <w:p>
            <w:r>
              <w:t>exact 76,6%; CER 0,04444</w:t>
            </w:r>
          </w:p>
        </w:tc>
        <w:tc>
          <w:tcPr>
            <w:tcW w:type="dxa" w:w="3324"/>
            <w:vAlign w:val="center"/>
          </w:tcPr>
          <w:p>
            <w:r>
              <w:t>Синтетические данные</w:t>
            </w:r>
          </w:p>
        </w:tc>
      </w:tr>
      <w:tr>
        <w:tc>
          <w:tcPr>
            <w:tcW w:type="dxa" w:w="3324"/>
            <w:vAlign w:val="center"/>
          </w:tcPr>
          <w:p>
            <w:r>
              <w:t>AUTO.RIA test</w:t>
            </w:r>
          </w:p>
        </w:tc>
        <w:tc>
          <w:tcPr>
            <w:tcW w:type="dxa" w:w="3324"/>
            <w:vAlign w:val="center"/>
          </w:tcPr>
          <w:p>
            <w:r>
              <w:t>2163/2845; exact 76,03%; CER 0,161899</w:t>
            </w:r>
          </w:p>
        </w:tc>
        <w:tc>
          <w:tcPr>
            <w:tcW w:type="dxa" w:w="3324"/>
            <w:vAlign w:val="center"/>
          </w:tcPr>
          <w:p>
            <w:r>
              <w:t>Отложенные OCR-кропы; не сцены автомобиля</w:t>
            </w:r>
          </w:p>
        </w:tc>
      </w:tr>
      <w:tr>
        <w:tc>
          <w:tcPr>
            <w:tcW w:type="dxa" w:w="3324"/>
            <w:vAlign w:val="center"/>
          </w:tcPr>
          <w:p>
            <w:r>
              <w:t>Official public debug</w:t>
            </w:r>
          </w:p>
        </w:tc>
        <w:tc>
          <w:tcPr>
            <w:tcW w:type="dxa" w:w="3324"/>
            <w:vAlign w:val="center"/>
          </w:tcPr>
          <w:p>
            <w:r>
              <w:t>81/115; exact 70,43%; score 74,65; precision 83,51%</w:t>
            </w:r>
          </w:p>
        </w:tc>
        <w:tc>
          <w:tcPr>
            <w:tcW w:type="dxa" w:w="3324"/>
            <w:vAlign w:val="center"/>
          </w:tcPr>
          <w:p>
            <w:r>
              <w:t>Открытый debug, не независимый тест</w:t>
            </w:r>
          </w:p>
        </w:tc>
      </w:tr>
      <w:tr>
        <w:tc>
          <w:tcPr>
            <w:tcW w:type="dxa" w:w="3324"/>
            <w:vAlign w:val="center"/>
          </w:tcPr>
          <w:p>
            <w:r>
              <w:t>input_images</w:t>
            </w:r>
          </w:p>
        </w:tc>
        <w:tc>
          <w:tcPr>
            <w:tcW w:type="dxa" w:w="3324"/>
            <w:vAlign w:val="center"/>
          </w:tcPr>
          <w:p>
            <w:r>
              <w:t>13/15</w:t>
            </w:r>
          </w:p>
        </w:tc>
        <w:tc>
          <w:tcPr>
            <w:tcW w:type="dxa" w:w="3324"/>
            <w:vAlign w:val="center"/>
          </w:tcPr>
          <w:p>
            <w:r>
              <w:t>Development-набор</w:t>
            </w:r>
          </w:p>
        </w:tc>
      </w:tr>
      <w:tr>
        <w:tc>
          <w:tcPr>
            <w:tcW w:type="dxa" w:w="3324"/>
            <w:vAlign w:val="center"/>
          </w:tcPr>
          <w:p>
            <w:r>
              <w:t>two_line</w:t>
            </w:r>
          </w:p>
        </w:tc>
        <w:tc>
          <w:tcPr>
            <w:tcW w:type="dxa" w:w="3324"/>
            <w:vAlign w:val="center"/>
          </w:tcPr>
          <w:p>
            <w:r>
              <w:t>16/19</w:t>
            </w:r>
          </w:p>
        </w:tc>
        <w:tc>
          <w:tcPr>
            <w:tcW w:type="dxa" w:w="3324"/>
            <w:vAlign w:val="center"/>
          </w:tcPr>
          <w:p>
            <w:r>
              <w:t>Development-набор</w:t>
            </w:r>
          </w:p>
        </w:tc>
      </w:tr>
      <w:tr>
        <w:tc>
          <w:tcPr>
            <w:tcW w:type="dxa" w:w="3324"/>
            <w:vAlign w:val="center"/>
          </w:tcPr>
          <w:p>
            <w:r>
              <w:t>W01 W02 C01</w:t>
            </w:r>
          </w:p>
        </w:tc>
        <w:tc>
          <w:tcPr>
            <w:tcW w:type="dxa" w:w="3324"/>
            <w:vAlign w:val="center"/>
          </w:tcPr>
          <w:p>
            <w:r>
              <w:t>1/3: W01 верно; W02 TC041777; C01 без строки</w:t>
            </w:r>
          </w:p>
        </w:tc>
        <w:tc>
          <w:tcPr>
            <w:tcW w:type="dxa" w:w="3324"/>
            <w:vAlign w:val="center"/>
          </w:tcPr>
          <w:p>
            <w:r>
              <w:t>Три реальные полные сцены</w:t>
            </w:r>
          </w:p>
        </w:tc>
      </w:tr>
    </w:tbl>
    <w:p>
      <w:pPr>
        <w:spacing w:after="100"/>
      </w:pPr>
      <w:r>
        <w:t>Разница времени между отдельными запусками не интерпретируется как ускорение модели. Замеры на RTX 5070 не являются замером на компьютере жюри и не подтверждают его ограничение скорости.</w:t>
      </w:r>
    </w:p>
    <w:p>
      <w:pPr>
        <w:pStyle w:val="Heading1"/>
      </w:pPr>
      <w:r>
        <w:t>4 Данные и воспроизведение</w:t>
      </w:r>
    </w:p>
    <w:p>
      <w:pPr>
        <w:spacing w:after="100"/>
      </w:pPr>
      <w:r>
        <w:t>Для mixed fine-tune применялись 5000 OCR-кропов AUTO.RIA и 5000 фрагментов корректной синтетики в обучающей части, с отдельной отложенной проверкой. В комплекте приведены скрипты подготовки и обучения, manifest выбранных фрагментов, ссылка на источник, контрольные суммы архивов и лицензионные сведения. Сами архивы и распакованные OCR-кропы не включены.</w:t>
      </w:r>
    </w:p>
    <w:p>
      <w:pPr>
        <w:spacing w:after="100"/>
      </w:pPr>
      <w:r>
        <w:t>Основной dataset прошёл неизменённый validate_dataset.py: 0 ошибок и 112 предупреждений. Предупреждения отражают в том числе рекомендованный объём и разнообразие реальных материалов; локальная дополнительная проверка не заменяет официальный валидатор.</w:t>
      </w:r>
    </w:p>
    <w:p>
      <w:pPr>
        <w:pStyle w:val="Heading1"/>
      </w:pPr>
      <w:r>
        <w:t>5 Ограничения</w:t>
      </w:r>
    </w:p>
    <w:p>
      <w:pPr>
        <w:spacing w:after="100"/>
      </w:pPr>
      <w:r>
        <w:t>Количество и разнообразие реальных сцен, особенно type1a, type1b и other, остаются недостаточными относительно рекомендаций задания. Реальные жёлтые номера пока распознаются нестабильно. Обработка рамки и классификация типа используют эвристики; сложные двухстрочные номера и перспектива остаются источниками ошибок.</w:t>
      </w:r>
    </w:p>
    <w:p>
      <w:pPr>
        <w:spacing w:after="100"/>
      </w:pPr>
      <w:r>
        <w:t>Нет измерения на i5-7600, GTX 1050 Ti 4 GB и 16 GB RAM. Показатели приведены для открытых, synthetic и development-наборов и не являются гарантией качества на скрытом тесте или на оборудовании жюри.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