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7379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2023-06-20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Грехова Надежда Павловна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2614403192 от 2007-04-12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35124.01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2010-04-19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3051.05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Ренессанс-кредит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49017079825 от 2012-12-07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"Феникс"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274712.60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КБ ""УБРиР"""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KD827180000001624 от 2015-04-29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"ФИНТРАСТ"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42278.88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90458237 от 2015-11-25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БФР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381652695 от 2016-01-18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146270.33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2605750727 от 2016-02-26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РСВ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66818.28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000279484095 от 2020-08-12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000279484085 от 2020-08-12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14142.93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29610.00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1360209 от 2023-05-10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7926.56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650234.64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4300.00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19786.49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22000.00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вдова/вдовец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41786.49 руб., размер денежных средств, направленных на погашение требований кредиторов составляет:
41786.49 руб.(доход) -16054 руб. (ПМ)=25732.49 * 36 мес. (план реструктуризации долгов) руб. =926369.64 руб.
Из расчёта следует, что есть риск утверждения плана реструктуризации, так как с текущим уровнем дохода может быть погашено более 50% задолженности.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При наличии совокупного дохода, имеется риск введения процедуры реструктуризации долгов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