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2EFD" w:rsidRPr="00397666" w:rsidRDefault="00593E84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Отчет </w:t>
      </w:r>
      <w:r w:rsidR="00EF2F5B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по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экономико-правовой экспертизе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В рамках договора на оказание  услуг</w:t>
      </w:r>
    </w:p>
    <w:p w:rsidR="00397666" w:rsidRPr="00397666" w:rsidRDefault="00397666" w:rsidP="00397666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№ </w:t>
      </w:r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7354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от </w:t>
      </w:r>
      <w:bookmarkStart w:id="0" w:name="ДогДата1"/>
      <w:r w:rsidR="00362825" w:rsidRPr="0036282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>2023-06-02</w:t>
      </w:r>
      <w:r w:rsidRPr="00397666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г.</w:t>
      </w:r>
    </w:p>
    <w:p w:rsidR="00593E84" w:rsidRDefault="00593E84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D7794A" w:rsidRPr="00362825" w:rsidRDefault="00D7794A" w:rsidP="00D7794A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город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Бердск</w:t>
      </w:r>
      <w:r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 xml:space="preserve">                                                                                                       </w:t>
      </w:r>
      <w:r w:rsidR="00362825" w:rsidRPr="00362825">
        <w:rPr>
          <w:rFonts w:ascii="Times New Roman" w:hAnsi="Times New Roman" w:cs="Times New Roman"/>
          <w:b/>
          <w:sz w:val="24"/>
          <w:szCs w:val="24"/>
          <w:shd w:val="clear" w:color="auto" w:fill="FFFFFF"/>
        </w:rPr>
        <w:t>2023-06-15</w:t>
      </w:r>
    </w:p>
    <w:p w:rsidR="00D7794A" w:rsidRDefault="00D7794A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shd w:val="clear" w:color="auto" w:fill="FFFFFF"/>
        </w:rPr>
      </w:pPr>
    </w:p>
    <w:p w:rsidR="00B44EB2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r w:rsidRPr="00FA37BE">
        <w:rPr>
          <w:rFonts w:ascii="Times New Roman" w:hAnsi="Times New Roman"/>
          <w:sz w:val="20"/>
          <w:szCs w:val="20"/>
        </w:rPr>
        <w:t>Казанцева Юлия Александровна</w:t>
      </w:r>
      <w:r w:rsidR="00F07D37">
        <w:rPr>
          <w:rFonts w:ascii="Times New Roman" w:eastAsia="Times New Roman" w:hAnsi="Times New Roman" w:cs="Times New Roman"/>
          <w:bCs/>
          <w:lang w:eastAsia="ru-RU"/>
        </w:rPr>
        <w:t xml:space="preserve"> </w:t>
      </w:r>
      <w:r w:rsidR="00D63064" w:rsidRPr="001460C3">
        <w:rPr>
          <w:rFonts w:ascii="Times New Roman" w:hAnsi="Times New Roman" w:cs="Times New Roman"/>
        </w:rPr>
        <w:t xml:space="preserve">(далее – Заказчик) обратился в </w:t>
      </w:r>
      <w:r w:rsidR="00362825" w:rsidRPr="00362825">
        <w:rPr>
          <w:rFonts w:ascii="Times New Roman" w:hAnsi="Times New Roman" w:cs="Times New Roman"/>
        </w:rPr>
        <w:t>ООО ФПК "АЛЬТЕРНАТИВА"</w:t>
      </w:r>
      <w:r w:rsidR="00D63064" w:rsidRPr="001460C3">
        <w:rPr>
          <w:rFonts w:ascii="Times New Roman" w:hAnsi="Times New Roman" w:cs="Times New Roman"/>
        </w:rPr>
        <w:t xml:space="preserve"> с целью проведения процедуры банкротства гражданина. </w:t>
      </w:r>
    </w:p>
    <w:p w:rsidR="0048150C" w:rsidRDefault="0048150C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787154" w:rsidRPr="0048150C" w:rsidRDefault="00787154" w:rsidP="00BF6E79">
      <w:pPr>
        <w:spacing w:after="0" w:line="240" w:lineRule="auto"/>
        <w:rPr>
          <w:rFonts w:ascii="Times New Roman" w:hAnsi="Times New Roman" w:cs="Times New Roman"/>
          <w:b/>
        </w:rPr>
      </w:pPr>
      <w:r w:rsidRPr="0048150C">
        <w:rPr>
          <w:rFonts w:ascii="Times New Roman" w:hAnsi="Times New Roman" w:cs="Times New Roman"/>
          <w:b/>
        </w:rPr>
        <w:t>Раздел 1: «</w:t>
      </w:r>
      <w:r w:rsidR="001E30DF">
        <w:rPr>
          <w:rFonts w:ascii="Times New Roman" w:hAnsi="Times New Roman" w:cs="Times New Roman"/>
          <w:b/>
        </w:rPr>
        <w:t>Анализируемая информация</w:t>
      </w:r>
      <w:r w:rsidRPr="0048150C">
        <w:rPr>
          <w:rFonts w:ascii="Times New Roman" w:hAnsi="Times New Roman" w:cs="Times New Roman"/>
          <w:b/>
        </w:rPr>
        <w:t>»</w:t>
      </w:r>
    </w:p>
    <w:p w:rsidR="001460C3" w:rsidRDefault="001460C3" w:rsidP="004E0E2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</w:p>
    <w:p w:rsidR="003D6DBF" w:rsidRPr="001460C3" w:rsidRDefault="003D6DBF" w:rsidP="00BF6E79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1.1. Денежные обязательства</w:t>
      </w:r>
      <w:r w:rsidR="00B94727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Заказчика</w:t>
      </w:r>
      <w:r w:rsidR="00B94727">
        <w:rPr>
          <w:rFonts w:ascii="Times New Roman" w:hAnsi="Times New Roman" w:cs="Times New Roman"/>
          <w:b/>
          <w:bCs/>
        </w:rPr>
        <w:t>)</w:t>
      </w:r>
    </w:p>
    <w:p w:rsidR="003D6DBF" w:rsidRPr="001460C3" w:rsidRDefault="003D6DBF" w:rsidP="001460C3">
      <w:pPr>
        <w:pStyle w:val="af4"/>
        <w:spacing w:after="0" w:line="240" w:lineRule="auto"/>
        <w:ind w:left="0" w:firstLine="709"/>
        <w:jc w:val="both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ayout w:type="fixed"/>
        <w:tblLook w:val="04A0"/>
      </w:tblPr>
      <w:tblGrid>
        <w:gridCol w:w="709"/>
        <w:gridCol w:w="2806"/>
        <w:gridCol w:w="1843"/>
        <w:gridCol w:w="1843"/>
        <w:gridCol w:w="1588"/>
        <w:gridCol w:w="1276"/>
      </w:tblGrid>
      <w:tr w:rsidR="00005BBE" w:rsidRPr="005B29BA" w:rsidTr="00005BBE">
        <w:tc>
          <w:tcPr>
            <w:tcW w:w="709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№</w:t>
            </w:r>
          </w:p>
        </w:tc>
        <w:tc>
          <w:tcPr>
            <w:tcW w:w="2806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Кредитор</w:t>
            </w:r>
            <w:r>
              <w:rPr>
                <w:rFonts w:ascii="Times New Roman" w:hAnsi="Times New Roman"/>
                <w:b/>
                <w:i/>
                <w:sz w:val="20"/>
                <w:szCs w:val="20"/>
                <w:lang w:val="en-US"/>
              </w:rPr>
              <w:t xml:space="preserve"> по договору</w:t>
            </w:r>
          </w:p>
        </w:tc>
        <w:tc>
          <w:tcPr>
            <w:tcW w:w="1843" w:type="dxa"/>
            <w:vAlign w:val="center"/>
          </w:tcPr>
          <w:p w:rsidR="00005BBE" w:rsidRPr="00005BBE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i/>
                <w:sz w:val="20"/>
                <w:szCs w:val="20"/>
              </w:rPr>
              <w:t>Текущий кредитор</w:t>
            </w:r>
          </w:p>
        </w:tc>
        <w:tc>
          <w:tcPr>
            <w:tcW w:w="1843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Остаток задолженности (включая основной долг и проценты)</w:t>
            </w:r>
          </w:p>
        </w:tc>
        <w:tc>
          <w:tcPr>
            <w:tcW w:w="1588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Платеж (руб.)</w:t>
            </w:r>
          </w:p>
        </w:tc>
        <w:tc>
          <w:tcPr>
            <w:tcW w:w="1276" w:type="dxa"/>
            <w:vAlign w:val="center"/>
          </w:tcPr>
          <w:p w:rsidR="00005BBE" w:rsidRPr="005B29BA" w:rsidRDefault="00005BBE" w:rsidP="0048150C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Просрочки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Вербена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Вербена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107353.10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да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Сбербанк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2021-07-06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Сбербанк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100000.00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1800.00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Сбербанк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2023-02-15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Сбербанк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277999.68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7579.81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05BBE" w:rsidRPr="009E73F0" w:rsidTr="00005BBE">
        <w:tc>
          <w:tcPr>
            <w:tcW w:w="709" w:type="dxa"/>
          </w:tcPr>
          <w:p w:rsidR="00005BBE" w:rsidRPr="009E73F0" w:rsidRDefault="00005BBE" w:rsidP="004C39C1">
            <w:pP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4</w:t>
            </w:r>
          </w:p>
        </w:tc>
        <w:tc>
          <w:tcPr>
            <w:tcW w:w="2806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Совкомбанк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н/д от 2023-02-27</w:t>
            </w:r>
          </w:p>
        </w:tc>
        <w:tc>
          <w:tcPr>
            <w:tcW w:w="1843" w:type="dxa"/>
          </w:tcPr>
          <w:p w:rsidR="00005BBE" w:rsidRPr="00005BBE" w:rsidRDefault="00005BBE" w:rsidP="004C39C1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Совкомбанк</w:t>
            </w:r>
          </w:p>
        </w:tc>
        <w:tc>
          <w:tcPr>
            <w:tcW w:w="1843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60000.00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88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3000.00</w:t>
            </w:r>
            <w:r w:rsidRPr="009E73F0">
              <w:rPr>
                <w:rFonts w:ascii="Times New Roman" w:hAnsi="Times New Roman" w:cs="Times New Roman"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005BBE" w:rsidRPr="009E73F0" w:rsidRDefault="00005BBE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9E73F0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C615D6" w:rsidRPr="005B29BA" w:rsidTr="00005BBE">
        <w:trPr>
          <w:trHeight w:val="388"/>
        </w:trPr>
        <w:tc>
          <w:tcPr>
            <w:tcW w:w="709" w:type="dxa"/>
          </w:tcPr>
          <w:p w:rsidR="00C615D6" w:rsidRPr="005B29BA" w:rsidRDefault="00C615D6" w:rsidP="004C39C1">
            <w:pPr>
              <w:ind w:firstLine="709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C615D6" w:rsidRPr="005B29BA" w:rsidRDefault="00C615D6" w:rsidP="004C39C1">
            <w:pPr>
              <w:jc w:val="right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ИТОГО</w:t>
            </w:r>
          </w:p>
        </w:tc>
        <w:tc>
          <w:tcPr>
            <w:tcW w:w="1843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bCs/>
                <w:sz w:val="20"/>
                <w:szCs w:val="20"/>
                <w:lang w:val="en-US"/>
              </w:rPr>
              <w:t>485352.78</w:t>
            </w:r>
            <w:r w:rsidRPr="005B29BA"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  <w:t xml:space="preserve"> руб.</w:t>
            </w:r>
          </w:p>
        </w:tc>
        <w:tc>
          <w:tcPr>
            <w:tcW w:w="1588" w:type="dxa"/>
          </w:tcPr>
          <w:p w:rsidR="00C615D6" w:rsidRPr="00DD30DD" w:rsidRDefault="00C615D6" w:rsidP="004C39C1">
            <w:pPr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DD30DD">
              <w:rPr>
                <w:rFonts w:ascii="Times New Roman" w:hAnsi="Times New Roman" w:cs="Times New Roman"/>
                <w:b/>
                <w:sz w:val="20"/>
                <w:szCs w:val="20"/>
                <w:lang w:val="en-US"/>
              </w:rPr>
              <w:t>9379.81</w:t>
            </w:r>
            <w:r w:rsidRPr="00DD30DD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руб.</w:t>
            </w:r>
          </w:p>
        </w:tc>
        <w:tc>
          <w:tcPr>
            <w:tcW w:w="1276" w:type="dxa"/>
          </w:tcPr>
          <w:p w:rsidR="00C615D6" w:rsidRPr="005B29BA" w:rsidRDefault="00C615D6" w:rsidP="004C39C1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-</w:t>
            </w:r>
          </w:p>
        </w:tc>
      </w:tr>
    </w:tbl>
    <w:p w:rsidR="00556FFC" w:rsidRDefault="00556FFC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9E73F0" w:rsidRPr="00556FFC" w:rsidRDefault="009E73F0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  <w:lang w:val="en-US"/>
        </w:rPr>
      </w:pPr>
    </w:p>
    <w:p w:rsidR="003D6DBF" w:rsidRPr="001460C3" w:rsidRDefault="003D6DBF" w:rsidP="0048150C">
      <w:pPr>
        <w:pStyle w:val="af4"/>
        <w:spacing w:after="0" w:line="240" w:lineRule="auto"/>
        <w:ind w:left="0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1.2. Доход</w:t>
      </w:r>
      <w:r w:rsidR="00287366">
        <w:rPr>
          <w:rFonts w:ascii="Times New Roman" w:hAnsi="Times New Roman" w:cs="Times New Roman"/>
          <w:b/>
          <w:bCs/>
        </w:rPr>
        <w:t>/расход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1460C3" w:rsidRPr="001460C3" w:rsidRDefault="001460C3" w:rsidP="001460C3">
      <w:pPr>
        <w:pStyle w:val="af4"/>
        <w:spacing w:after="0" w:line="240" w:lineRule="auto"/>
        <w:ind w:left="0"/>
        <w:jc w:val="both"/>
        <w:rPr>
          <w:rFonts w:ascii="Times New Roman" w:hAnsi="Times New Roman" w:cs="Times New Roman"/>
        </w:rPr>
      </w:pPr>
    </w:p>
    <w:tbl>
      <w:tblPr>
        <w:tblStyle w:val="af"/>
        <w:tblW w:w="0" w:type="auto"/>
        <w:tblLook w:val="04A0"/>
      </w:tblPr>
      <w:tblGrid>
        <w:gridCol w:w="3794"/>
        <w:gridCol w:w="5551"/>
      </w:tblGrid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доходы</w:t>
            </w:r>
          </w:p>
        </w:tc>
      </w:tr>
      <w:tr w:rsidR="009E73F0" w:rsidRPr="005B29BA" w:rsidTr="004C39C1">
        <w:tc>
          <w:tcPr>
            <w:tcW w:w="9345" w:type="dxa"/>
            <w:gridSpan w:val="2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/>
                <w:b/>
                <w:i/>
                <w:sz w:val="20"/>
                <w:szCs w:val="20"/>
              </w:rPr>
              <w:t>Текущие расходы</w:t>
            </w:r>
          </w:p>
        </w:tc>
      </w:tr>
      <w:tr w:rsidR="009E73F0" w:rsidRPr="005B29BA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Алиментные обязательства</w:t>
            </w:r>
          </w:p>
        </w:tc>
        <w:tc>
          <w:tcPr>
            <w:tcW w:w="5551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  <w:r w:rsidRPr="005B29BA">
              <w:rPr>
                <w:rFonts w:ascii="Times New Roman" w:hAnsi="Times New Roman"/>
                <w:sz w:val="20"/>
                <w:szCs w:val="20"/>
                <w:lang w:val="en-US"/>
              </w:rPr>
              <w:t>0.00</w:t>
            </w:r>
          </w:p>
        </w:tc>
      </w:tr>
      <w:tr w:rsidR="009E73F0" w:rsidRPr="00A157E9" w:rsidTr="004C39C1">
        <w:tc>
          <w:tcPr>
            <w:tcW w:w="3794" w:type="dxa"/>
            <w:shd w:val="clear" w:color="auto" w:fill="auto"/>
          </w:tcPr>
          <w:p w:rsidR="009E73F0" w:rsidRPr="005B29BA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</w:rPr>
            </w:pPr>
            <w:r w:rsidRPr="005B29BA">
              <w:rPr>
                <w:rFonts w:ascii="Times New Roman" w:hAnsi="Times New Roman"/>
                <w:sz w:val="20"/>
                <w:szCs w:val="20"/>
              </w:rPr>
              <w:t>Аренда жилья</w:t>
            </w:r>
          </w:p>
        </w:tc>
        <w:tc>
          <w:tcPr>
            <w:tcW w:w="5551" w:type="dxa"/>
            <w:shd w:val="clear" w:color="auto" w:fill="auto"/>
          </w:tcPr>
          <w:p w:rsidR="009E73F0" w:rsidRPr="00A157E9" w:rsidRDefault="009E73F0" w:rsidP="004C39C1">
            <w:pPr>
              <w:tabs>
                <w:tab w:val="left" w:pos="708"/>
                <w:tab w:val="left" w:pos="1416"/>
                <w:tab w:val="left" w:pos="2124"/>
                <w:tab w:val="left" w:pos="2832"/>
                <w:tab w:val="left" w:pos="3540"/>
                <w:tab w:val="left" w:pos="7575"/>
              </w:tabs>
              <w:rPr>
                <w:rFonts w:ascii="Times New Roman" w:hAnsi="Times New Roman"/>
                <w:sz w:val="20"/>
                <w:szCs w:val="20"/>
                <w:lang w:val="en-US"/>
              </w:rPr>
            </w:pPr>
          </w:p>
        </w:tc>
      </w:tr>
    </w:tbl>
    <w:p w:rsidR="00A157E9" w:rsidRDefault="00A157E9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E73F0" w:rsidRPr="00A157E9" w:rsidRDefault="009E73F0" w:rsidP="001460C3">
      <w:pPr>
        <w:spacing w:after="0" w:line="240" w:lineRule="auto"/>
        <w:jc w:val="both"/>
        <w:rPr>
          <w:rFonts w:ascii="Times New Roman" w:hAnsi="Times New Roman" w:cs="Times New Roman"/>
          <w:lang w:val="en-US"/>
        </w:rPr>
      </w:pPr>
    </w:p>
    <w:p w:rsidR="009529D0" w:rsidRDefault="009529D0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1460C3">
        <w:rPr>
          <w:rFonts w:ascii="Times New Roman" w:hAnsi="Times New Roman" w:cs="Times New Roman"/>
          <w:b/>
          <w:bCs/>
        </w:rPr>
        <w:t>1.3. Состав имущества</w:t>
      </w:r>
      <w:r w:rsidR="00F22CCA">
        <w:rPr>
          <w:rFonts w:ascii="Times New Roman" w:hAnsi="Times New Roman" w:cs="Times New Roman"/>
          <w:b/>
          <w:bCs/>
        </w:rPr>
        <w:t xml:space="preserve"> (со слов </w:t>
      </w:r>
      <w:r w:rsidR="002B3100">
        <w:rPr>
          <w:rFonts w:ascii="Times New Roman" w:hAnsi="Times New Roman" w:cs="Times New Roman"/>
          <w:b/>
          <w:bCs/>
        </w:rPr>
        <w:t>Заказчик</w:t>
      </w:r>
      <w:r w:rsidR="00F22CCA">
        <w:rPr>
          <w:rFonts w:ascii="Times New Roman" w:hAnsi="Times New Roman" w:cs="Times New Roman"/>
          <w:b/>
          <w:bCs/>
        </w:rPr>
        <w:t>а)</w:t>
      </w:r>
    </w:p>
    <w:p w:rsidR="00E32797" w:rsidRDefault="00E32797" w:rsidP="00BF6E79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840"/>
        <w:gridCol w:w="1697"/>
        <w:gridCol w:w="2694"/>
      </w:tblGrid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9E73F0" w:rsidRPr="005B29BA" w:rsidTr="004C39C1">
        <w:trPr>
          <w:trHeight w:val="297"/>
        </w:trPr>
        <w:tc>
          <w:tcPr>
            <w:tcW w:w="1947" w:type="dxa"/>
          </w:tcPr>
          <w:p w:rsidR="009E73F0" w:rsidRPr="00831B70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3840" w:type="dxa"/>
            <w:tcBorders>
              <w:right w:val="single" w:sz="4" w:space="0" w:color="auto"/>
            </w:tcBorders>
          </w:tcPr>
          <w:p w:rsidR="009E73F0" w:rsidRPr="005B29BA" w:rsidRDefault="009E73F0" w:rsidP="000267C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697" w:type="dxa"/>
            <w:tcBorders>
              <w:left w:val="single" w:sz="4" w:space="0" w:color="auto"/>
            </w:tcBorders>
          </w:tcPr>
          <w:p w:rsidR="009E73F0" w:rsidRPr="005B29BA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2694" w:type="dxa"/>
          </w:tcPr>
          <w:p w:rsidR="009E73F0" w:rsidRPr="00AF1287" w:rsidRDefault="009E73F0" w:rsidP="004C39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556FFC" w:rsidRPr="00556FFC" w:rsidRDefault="00556FFC" w:rsidP="00E32797">
      <w:pPr>
        <w:spacing w:after="0" w:line="240" w:lineRule="auto"/>
        <w:jc w:val="both"/>
        <w:rPr>
          <w:rFonts w:ascii="Times New Roman" w:eastAsia="Times New Roman" w:hAnsi="Times New Roman" w:cs="Times New Roman"/>
          <w:highlight w:val="red"/>
          <w:lang w:val="en-US"/>
        </w:rPr>
      </w:pP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Согласно ст. 213.25 Закона, все имущество гражданина, имеющееся на дату принятия решения арбитражного суда о признании гражданина банкротом и введении реализации имущества гражданина и выявленное или приобретенное после даты принятия указанного решения, составляет конкурсную массу, за исключением имущества, определенного ГПК.</w:t>
      </w:r>
    </w:p>
    <w:p w:rsidR="007C5328" w:rsidRPr="00FE4281" w:rsidRDefault="007C5328" w:rsidP="007C5328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bCs/>
        </w:rPr>
      </w:pPr>
      <w:r w:rsidRPr="00FE4281">
        <w:rPr>
          <w:rFonts w:ascii="Times New Roman" w:eastAsia="Times New Roman" w:hAnsi="Times New Roman" w:cs="Times New Roman"/>
          <w:bCs/>
        </w:rPr>
        <w:t>В соответствии со ст. 446 ГПК РФ взыскание не может быть обращено на следующее имущество: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жилое помещение (его части), если для гражданина-должника и членов его семьи, совместно проживающих в принадлежащем помещении, оно является </w:t>
      </w:r>
      <w:hyperlink w:anchor="dst100052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единственным пригодным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для постоянного проживания помещением, за исключением указанного в настоящем абзаце имущества, если оно является предметом ипотеки и на него в соответствии с </w:t>
      </w:r>
      <w:hyperlink w:anchor="dst100353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законодательством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земельные участки, на которых расположены объекты, указанные в </w:t>
      </w:r>
      <w:hyperlink w:anchor="dst10218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абзаце втором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настоящей части, за исключением указанного в настоящем абзаце имущества, если оно является предметом ипотеки и на него в соответствии с законодательством об ипотеке может быть обращено взыскание;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предметы обычной домашней обстановки и обихода, вещи индивидуального пользования (одежда, обувь и другие), за исключением драгоценностей и других </w:t>
      </w:r>
      <w:hyperlink w:anchor="dst100175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предметов</w:t>
        </w:r>
      </w:hyperlink>
      <w:r w:rsidRPr="00FE4281">
        <w:rPr>
          <w:rFonts w:ascii="Times New Roman" w:eastAsia="Times New Roman" w:hAnsi="Times New Roman" w:cs="Times New Roman"/>
          <w:iCs/>
        </w:rPr>
        <w:t xml:space="preserve"> роскоши;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lastRenderedPageBreak/>
        <w:t xml:space="preserve">имущество, необходимое для профессиональных занятий гражданина-должника, за исключением предметов, стоимость которых превышает сто установленных федеральным законом </w:t>
      </w:r>
      <w:hyperlink w:anchor="dst100014" w:tooltip="Current Document" w:history="1">
        <w:r w:rsidRPr="00FE4281">
          <w:rPr>
            <w:rFonts w:ascii="Times New Roman" w:eastAsia="Times New Roman" w:hAnsi="Times New Roman" w:cs="Times New Roman"/>
            <w:iCs/>
          </w:rPr>
          <w:t>минимальных размеров оплаты труда</w:t>
        </w:r>
      </w:hyperlink>
      <w:r w:rsidRPr="00FE4281">
        <w:rPr>
          <w:rFonts w:ascii="Times New Roman" w:eastAsia="Times New Roman" w:hAnsi="Times New Roman" w:cs="Times New Roman"/>
          <w:iCs/>
        </w:rPr>
        <w:t>;</w:t>
      </w:r>
    </w:p>
    <w:p w:rsidR="007C5328" w:rsidRPr="00FE4281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bCs/>
          <w:iCs/>
        </w:rPr>
      </w:pPr>
      <w:r w:rsidRPr="00FE4281">
        <w:rPr>
          <w:rFonts w:ascii="Times New Roman" w:eastAsia="Times New Roman" w:hAnsi="Times New Roman" w:cs="Times New Roman"/>
          <w:bCs/>
          <w:iCs/>
        </w:rPr>
        <w:t xml:space="preserve">продукты питания и деньги на общую сумму не менее установленной величины </w:t>
      </w:r>
      <w:hyperlink w:anchor="dst0" w:tooltip="Current Document" w:history="1">
        <w:r w:rsidRPr="00FE4281">
          <w:rPr>
            <w:rFonts w:ascii="Times New Roman" w:eastAsia="Times New Roman" w:hAnsi="Times New Roman" w:cs="Times New Roman"/>
            <w:bCs/>
            <w:iCs/>
          </w:rPr>
          <w:t>прожиточного минимума</w:t>
        </w:r>
      </w:hyperlink>
      <w:r w:rsidRPr="00FE4281">
        <w:rPr>
          <w:rFonts w:ascii="Times New Roman" w:eastAsia="Times New Roman" w:hAnsi="Times New Roman" w:cs="Times New Roman"/>
          <w:bCs/>
          <w:iCs/>
        </w:rPr>
        <w:t xml:space="preserve"> самого гражданина-должника и лиц, находящихся на его иждивении;</w:t>
      </w:r>
    </w:p>
    <w:p w:rsidR="007C5328" w:rsidRPr="00993AB3" w:rsidRDefault="007C5328" w:rsidP="007C5328">
      <w:pPr>
        <w:numPr>
          <w:ilvl w:val="0"/>
          <w:numId w:val="13"/>
        </w:numPr>
        <w:spacing w:after="0" w:line="240" w:lineRule="auto"/>
        <w:ind w:left="0" w:firstLine="709"/>
        <w:jc w:val="both"/>
        <w:rPr>
          <w:rFonts w:ascii="Times New Roman" w:eastAsia="Times New Roman" w:hAnsi="Times New Roman" w:cs="Times New Roman"/>
          <w:iCs/>
        </w:rPr>
      </w:pPr>
      <w:r w:rsidRPr="00FE4281">
        <w:rPr>
          <w:rFonts w:ascii="Times New Roman" w:eastAsia="Times New Roman" w:hAnsi="Times New Roman" w:cs="Times New Roman"/>
          <w:iCs/>
        </w:rPr>
        <w:t xml:space="preserve">средства транспорта и другое необходимое гражданину-должнику в связи с его </w:t>
      </w:r>
      <w:r w:rsidRPr="00AF1287">
        <w:rPr>
          <w:rFonts w:ascii="Times New Roman" w:eastAsia="Times New Roman" w:hAnsi="Times New Roman" w:cs="Times New Roman"/>
          <w:iCs/>
        </w:rPr>
        <w:t>инвалидностью имущество.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BF6E79" w:rsidRPr="00AF1287" w:rsidTr="00174F48">
        <w:trPr>
          <w:trHeight w:val="297"/>
        </w:trPr>
        <w:tc>
          <w:tcPr>
            <w:tcW w:w="1947" w:type="dxa"/>
          </w:tcPr>
          <w:p w:rsidR="00BF6E79" w:rsidRDefault="00BF6E79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DD30DD" w:rsidRDefault="00DD30DD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107570" w:rsidRPr="00DD30DD" w:rsidRDefault="00107570" w:rsidP="00174F4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BF6E79" w:rsidRDefault="001173DD" w:rsidP="001173D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>Риски</w:t>
            </w:r>
            <w:r w:rsidR="00BF6E79"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: </w:t>
            </w:r>
          </w:p>
          <w:p w:rsidR="00BF6E79" w:rsidRPr="00A07E06" w:rsidRDefault="00DD30DD" w:rsidP="00DD30DD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Рисков при анализе предоставленных данных не обнаружено </w:t>
            </w:r>
          </w:p>
        </w:tc>
      </w:tr>
    </w:tbl>
    <w:p w:rsidR="00107570" w:rsidRDefault="00107570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  <w:lang w:val="en-US"/>
        </w:rPr>
      </w:pPr>
    </w:p>
    <w:p w:rsidR="009529D0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 w:rsidRPr="002363C1">
        <w:rPr>
          <w:rFonts w:ascii="Times New Roman" w:hAnsi="Times New Roman" w:cs="Times New Roman"/>
          <w:b/>
          <w:bCs/>
        </w:rPr>
        <w:t>1.4</w:t>
      </w:r>
      <w:r w:rsidR="009529D0" w:rsidRPr="002363C1">
        <w:rPr>
          <w:rFonts w:ascii="Times New Roman" w:hAnsi="Times New Roman" w:cs="Times New Roman"/>
          <w:b/>
          <w:bCs/>
        </w:rPr>
        <w:t xml:space="preserve">. </w:t>
      </w:r>
      <w:r w:rsidRPr="002363C1">
        <w:rPr>
          <w:rFonts w:ascii="Times New Roman" w:hAnsi="Times New Roman" w:cs="Times New Roman"/>
          <w:b/>
          <w:bCs/>
        </w:rPr>
        <w:t xml:space="preserve">Сделки за </w:t>
      </w:r>
      <w:r w:rsidR="002B3100">
        <w:rPr>
          <w:rFonts w:ascii="Times New Roman" w:hAnsi="Times New Roman" w:cs="Times New Roman"/>
          <w:b/>
          <w:bCs/>
        </w:rPr>
        <w:t>последние 3 года(со слов Заказчик</w:t>
      </w:r>
      <w:r w:rsidRPr="002363C1">
        <w:rPr>
          <w:rFonts w:ascii="Times New Roman" w:hAnsi="Times New Roman" w:cs="Times New Roman"/>
          <w:b/>
          <w:bCs/>
        </w:rPr>
        <w:t>а)</w:t>
      </w:r>
    </w:p>
    <w:p w:rsidR="00A86E2F" w:rsidRDefault="00A86E2F" w:rsidP="001460C3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  <w:b/>
          <w:bCs/>
        </w:rPr>
      </w:pPr>
    </w:p>
    <w:tbl>
      <w:tblPr>
        <w:tblStyle w:val="af"/>
        <w:tblW w:w="10178" w:type="dxa"/>
        <w:tblInd w:w="-5" w:type="dxa"/>
        <w:tblLook w:val="04A0"/>
      </w:tblPr>
      <w:tblGrid>
        <w:gridCol w:w="1947"/>
        <w:gridCol w:w="3780"/>
        <w:gridCol w:w="1757"/>
        <w:gridCol w:w="2694"/>
      </w:tblGrid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Вид имущества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Описание имущества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B29BA" w:rsidRDefault="0083482F" w:rsidP="00D1350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Стоимость</w:t>
            </w:r>
          </w:p>
        </w:tc>
        <w:tc>
          <w:tcPr>
            <w:tcW w:w="2694" w:type="dxa"/>
          </w:tcPr>
          <w:p w:rsidR="00D1350C" w:rsidRPr="005B29BA" w:rsidRDefault="00D1350C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Собственник</w:t>
            </w:r>
          </w:p>
        </w:tc>
      </w:tr>
      <w:tr w:rsidR="00D1350C" w:rsidRPr="005B29BA" w:rsidTr="00D1350C">
        <w:trPr>
          <w:trHeight w:val="297"/>
        </w:trPr>
        <w:tc>
          <w:tcPr>
            <w:tcW w:w="1947" w:type="dxa"/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3780" w:type="dxa"/>
            <w:tcBorders>
              <w:right w:val="single" w:sz="4" w:space="0" w:color="auto"/>
            </w:tcBorders>
          </w:tcPr>
          <w:p w:rsidR="00D1350C" w:rsidRPr="005B29BA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1757" w:type="dxa"/>
            <w:tcBorders>
              <w:left w:val="single" w:sz="4" w:space="0" w:color="auto"/>
            </w:tcBorders>
          </w:tcPr>
          <w:p w:rsidR="00D1350C" w:rsidRPr="005108FE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  <w:tc>
          <w:tcPr>
            <w:tcW w:w="2694" w:type="dxa"/>
          </w:tcPr>
          <w:p w:rsidR="00D1350C" w:rsidRPr="00AF1287" w:rsidRDefault="005108FE" w:rsidP="005D4B6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---</w:t>
            </w:r>
          </w:p>
        </w:tc>
      </w:tr>
    </w:tbl>
    <w:p w:rsidR="00556FFC" w:rsidRDefault="00556FF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lang w:val="en-US"/>
        </w:rPr>
      </w:pP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eastAsia="Times New Roman" w:hAnsi="Times New Roman" w:cs="Times New Roman"/>
        </w:rPr>
        <w:t xml:space="preserve">Согласно ст. 61.2. Закона о банкротстве, при рассмотрении дела о банкротстве гражданина возможно оспаривание подозрительных сделок, </w:t>
      </w:r>
      <w:r w:rsidRPr="00FE4281">
        <w:rPr>
          <w:rFonts w:ascii="Times New Roman" w:hAnsi="Times New Roman" w:cs="Times New Roman"/>
          <w:color w:val="000000"/>
          <w:shd w:val="clear" w:color="auto" w:fill="FFFFFF"/>
        </w:rPr>
        <w:t xml:space="preserve">совершенных должником в течение одного года до принятия заявления о признании банкротом или после принятия указанного заявления, при </w:t>
      </w:r>
      <w:r w:rsidRPr="00FE4281">
        <w:rPr>
          <w:rFonts w:ascii="Times New Roman" w:hAnsi="Times New Roman" w:cs="Times New Roman"/>
          <w:shd w:val="clear" w:color="auto" w:fill="FFFFFF"/>
        </w:rPr>
        <w:t>неравноценном встречном исполнении обязательств другой стороной сделки, в том числе в случае, если цена этой сделки и (или) иные условия существенно в худшую для должника сторону отличаются от </w:t>
      </w:r>
      <w:hyperlink r:id="rId8" w:anchor="dst100074" w:history="1">
        <w:r w:rsidRPr="00FE4281">
          <w:rPr>
            <w:rFonts w:ascii="Times New Roman" w:hAnsi="Times New Roman" w:cs="Times New Roman"/>
            <w:shd w:val="clear" w:color="auto" w:fill="FFFFFF"/>
          </w:rPr>
          <w:t>цены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 (или) иных условий, при которых в сравнимых обстоятельствах совершаются аналогичные сделки (подозрительная сделка).</w:t>
      </w:r>
    </w:p>
    <w:p w:rsidR="00767799" w:rsidRPr="00FE4281" w:rsidRDefault="00767799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ст.61.3.Закона о банкротстве сделка, совершенная должником в целях причинения вреда имущественным правам кредиторов, </w:t>
      </w:r>
      <w:hyperlink r:id="rId9" w:history="1">
        <w:r w:rsidRPr="00FE4281">
          <w:rPr>
            <w:rFonts w:ascii="Times New Roman" w:hAnsi="Times New Roman" w:cs="Times New Roman"/>
            <w:shd w:val="clear" w:color="auto" w:fill="FFFFFF"/>
          </w:rPr>
          <w:t>может быть признана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арбитражным судом недействительной, если такая сделка была совершена в течение трех лет до принятия заявления о признании должника банкротом или после принятия указанного заявления и в результате ее совершения был причинен </w:t>
      </w:r>
      <w:hyperlink r:id="rId10" w:anchor="dst2463" w:history="1">
        <w:r w:rsidRPr="00FE4281">
          <w:rPr>
            <w:rFonts w:ascii="Times New Roman" w:hAnsi="Times New Roman" w:cs="Times New Roman"/>
            <w:shd w:val="clear" w:color="auto" w:fill="FFFFFF"/>
          </w:rPr>
          <w:t>вред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имущественным правам кредиторов и если другая сторона сделки знала об указанной цели должника к моменту совершения сделки (подозрительная сделка). Предполагается, что другая сторона знала об этом, если она признана </w:t>
      </w:r>
      <w:hyperlink r:id="rId11" w:anchor="dst1387" w:history="1">
        <w:r w:rsidRPr="00FE4281">
          <w:rPr>
            <w:rFonts w:ascii="Times New Roman" w:hAnsi="Times New Roman" w:cs="Times New Roman"/>
            <w:shd w:val="clear" w:color="auto" w:fill="FFFFFF"/>
          </w:rPr>
          <w:t>заинтересованным лицом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 либо если она знала или должна была знать об ущемлении интересов кредиторов должника либо о признаках неплатежеспособности или недостаточности имущества должника.</w:t>
      </w:r>
    </w:p>
    <w:p w:rsidR="00F721EC" w:rsidRPr="005D0A28" w:rsidRDefault="00F721EC" w:rsidP="00767799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hAnsi="Times New Roman" w:cs="Times New Roman"/>
          <w:shd w:val="clear" w:color="auto" w:fill="FFFFFF"/>
        </w:rPr>
      </w:pPr>
      <w:r w:rsidRPr="00FE4281">
        <w:rPr>
          <w:rFonts w:ascii="Times New Roman" w:hAnsi="Times New Roman" w:cs="Times New Roman"/>
          <w:shd w:val="clear" w:color="auto" w:fill="FFFFFF"/>
        </w:rPr>
        <w:t>Также согласно п.4 ст.213.32 Закона о банкротстве оспариванию в рамках дела о банкротстве гражданина подлежат также сделки, совершенные супругом должника-гражданина в отношении имущества супругов, по основаниям, предусмотренным семейным </w:t>
      </w:r>
      <w:hyperlink r:id="rId12" w:anchor="dst100162" w:history="1">
        <w:r w:rsidRPr="00FE4281">
          <w:rPr>
            <w:rFonts w:ascii="Times New Roman" w:hAnsi="Times New Roman" w:cs="Times New Roman"/>
            <w:shd w:val="clear" w:color="auto" w:fill="FFFFFF"/>
          </w:rPr>
          <w:t>законодательством</w:t>
        </w:r>
      </w:hyperlink>
      <w:r w:rsidRPr="00FE4281">
        <w:rPr>
          <w:rFonts w:ascii="Times New Roman" w:hAnsi="Times New Roman" w:cs="Times New Roman"/>
          <w:shd w:val="clear" w:color="auto" w:fill="FFFFFF"/>
        </w:rPr>
        <w:t>.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657281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Рисков при анализе предоставленных данных не обнаружено </w:t>
            </w:r>
          </w:p>
        </w:tc>
      </w:tr>
    </w:tbl>
    <w:p w:rsidR="00556FFC" w:rsidRPr="003A51DB" w:rsidRDefault="00556FFC" w:rsidP="00556FFC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Cs/>
        </w:rPr>
      </w:pPr>
    </w:p>
    <w:p w:rsidR="00A86E2F" w:rsidRDefault="00A86E2F" w:rsidP="002363C1">
      <w:pPr>
        <w:pBdr>
          <w:top w:val="none" w:sz="4" w:space="16" w:color="000000"/>
        </w:pBd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1.5</w:t>
      </w:r>
      <w:r w:rsidRPr="001460C3">
        <w:rPr>
          <w:rFonts w:ascii="Times New Roman" w:hAnsi="Times New Roman" w:cs="Times New Roman"/>
          <w:b/>
          <w:bCs/>
        </w:rPr>
        <w:t xml:space="preserve">. </w:t>
      </w:r>
      <w:r>
        <w:rPr>
          <w:rFonts w:ascii="Times New Roman" w:hAnsi="Times New Roman" w:cs="Times New Roman"/>
          <w:b/>
          <w:bCs/>
        </w:rPr>
        <w:t>Общие сведения</w:t>
      </w:r>
    </w:p>
    <w:p w:rsidR="001460C3" w:rsidRPr="001460C3" w:rsidRDefault="001460C3" w:rsidP="00A86E2F">
      <w:pPr>
        <w:pBdr>
          <w:top w:val="none" w:sz="4" w:space="16" w:color="000000"/>
        </w:pBdr>
        <w:spacing w:after="0" w:line="240" w:lineRule="auto"/>
        <w:jc w:val="center"/>
        <w:rPr>
          <w:rFonts w:ascii="Times New Roman" w:hAnsi="Times New Roman" w:cs="Times New Roman"/>
        </w:rPr>
      </w:pPr>
    </w:p>
    <w:tbl>
      <w:tblPr>
        <w:tblStyle w:val="af"/>
        <w:tblW w:w="10065" w:type="dxa"/>
        <w:tblInd w:w="-5" w:type="dxa"/>
        <w:tblLook w:val="04A0"/>
      </w:tblPr>
      <w:tblGrid>
        <w:gridCol w:w="5343"/>
        <w:gridCol w:w="4722"/>
      </w:tblGrid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Семейное положение</w:t>
            </w:r>
          </w:p>
        </w:tc>
        <w:tc>
          <w:tcPr>
            <w:tcW w:w="4722" w:type="dxa"/>
          </w:tcPr>
          <w:p w:rsidR="009529D0" w:rsidRPr="00332B49" w:rsidRDefault="00332B49" w:rsidP="002363C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в разводе</w:t>
            </w:r>
          </w:p>
        </w:tc>
      </w:tr>
      <w:tr w:rsidR="009529D0" w:rsidRPr="005B29BA" w:rsidTr="00050302">
        <w:tc>
          <w:tcPr>
            <w:tcW w:w="5343" w:type="dxa"/>
          </w:tcPr>
          <w:p w:rsidR="009529D0" w:rsidRPr="005B29BA" w:rsidRDefault="009529D0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Наличие детей на иждивении </w:t>
            </w:r>
          </w:p>
        </w:tc>
        <w:tc>
          <w:tcPr>
            <w:tcW w:w="4722" w:type="dxa"/>
          </w:tcPr>
          <w:p w:rsidR="009529D0" w:rsidRPr="00332B49" w:rsidRDefault="00332B4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1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0A22F2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Привлечение к уголовной ответственности</w:t>
            </w:r>
          </w:p>
        </w:tc>
        <w:tc>
          <w:tcPr>
            <w:tcW w:w="4722" w:type="dxa"/>
          </w:tcPr>
          <w:p w:rsidR="000A22F2" w:rsidRPr="005B29BA" w:rsidRDefault="00A157E9" w:rsidP="00A157E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  <w:tr w:rsidR="000A22F2" w:rsidRPr="005B29BA" w:rsidTr="00050302">
        <w:tc>
          <w:tcPr>
            <w:tcW w:w="5343" w:type="dxa"/>
          </w:tcPr>
          <w:p w:rsidR="000A22F2" w:rsidRPr="005B29BA" w:rsidRDefault="00332B49" w:rsidP="00332B49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 xml:space="preserve">Привлечение к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административной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Pr="005B29BA">
              <w:rPr>
                <w:rFonts w:ascii="Times New Roman" w:hAnsi="Times New Roman" w:cs="Times New Roman"/>
                <w:sz w:val="20"/>
                <w:szCs w:val="20"/>
              </w:rPr>
              <w:t>ответственности</w:t>
            </w:r>
          </w:p>
        </w:tc>
        <w:tc>
          <w:tcPr>
            <w:tcW w:w="4722" w:type="dxa"/>
          </w:tcPr>
          <w:p w:rsidR="000A22F2" w:rsidRPr="00A157E9" w:rsidRDefault="00A157E9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нет</w:t>
            </w:r>
          </w:p>
        </w:tc>
      </w:tr>
    </w:tbl>
    <w:p w:rsidR="00787154" w:rsidRDefault="00787154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  <w:bookmarkStart w:id="1" w:name="_Hlk10206135"/>
    </w:p>
    <w:p w:rsidR="00126B73" w:rsidRDefault="00126B73" w:rsidP="001460C3">
      <w:pPr>
        <w:spacing w:after="0" w:line="240" w:lineRule="auto"/>
        <w:ind w:firstLine="709"/>
        <w:jc w:val="both"/>
        <w:rPr>
          <w:rFonts w:ascii="Times New Roman" w:hAnsi="Times New Roman" w:cs="Times New Roman"/>
        </w:rPr>
      </w:pPr>
    </w:p>
    <w:p w:rsidR="00F05907" w:rsidRPr="00FE4281" w:rsidRDefault="00F05907" w:rsidP="00F05907">
      <w:pPr>
        <w:spacing w:after="0" w:line="240" w:lineRule="auto"/>
        <w:rPr>
          <w:rFonts w:ascii="Times New Roman" w:hAnsi="Times New Roman" w:cs="Times New Roman"/>
          <w:b/>
        </w:rPr>
      </w:pPr>
      <w:r w:rsidRPr="00FE4281">
        <w:rPr>
          <w:rFonts w:ascii="Times New Roman" w:hAnsi="Times New Roman" w:cs="Times New Roman"/>
          <w:b/>
        </w:rPr>
        <w:t xml:space="preserve">Раздел 2: </w:t>
      </w:r>
      <w:r w:rsidR="001173DD" w:rsidRPr="00FE4281">
        <w:rPr>
          <w:rFonts w:ascii="Times New Roman" w:hAnsi="Times New Roman" w:cs="Times New Roman"/>
          <w:b/>
        </w:rPr>
        <w:t>Описание</w:t>
      </w:r>
      <w:r w:rsidRPr="00FE4281">
        <w:rPr>
          <w:rFonts w:ascii="Times New Roman" w:hAnsi="Times New Roman" w:cs="Times New Roman"/>
          <w:b/>
        </w:rPr>
        <w:t xml:space="preserve"> процедуры банкротства физического лица</w:t>
      </w:r>
    </w:p>
    <w:p w:rsidR="00F05907" w:rsidRPr="00FE4281" w:rsidRDefault="00F05907" w:rsidP="00F05907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7C1578" w:rsidRPr="00FE4281" w:rsidRDefault="00F05907" w:rsidP="002363C1">
      <w:pPr>
        <w:pStyle w:val="af4"/>
        <w:numPr>
          <w:ilvl w:val="1"/>
          <w:numId w:val="16"/>
        </w:numPr>
        <w:spacing w:after="0" w:line="240" w:lineRule="auto"/>
        <w:rPr>
          <w:rFonts w:ascii="Times New Roman" w:eastAsia="Times New Roman" w:hAnsi="Times New Roman" w:cs="Times New Roman"/>
          <w:b/>
          <w:bCs/>
        </w:rPr>
      </w:pPr>
      <w:r w:rsidRPr="00FE4281">
        <w:rPr>
          <w:rFonts w:ascii="Times New Roman" w:eastAsia="Times New Roman" w:hAnsi="Times New Roman" w:cs="Times New Roman"/>
          <w:b/>
          <w:bCs/>
        </w:rPr>
        <w:t xml:space="preserve"> Реструктуризация / Р</w:t>
      </w:r>
      <w:r w:rsidR="007C1578" w:rsidRPr="00FE4281">
        <w:rPr>
          <w:rFonts w:ascii="Times New Roman" w:eastAsia="Times New Roman" w:hAnsi="Times New Roman" w:cs="Times New Roman"/>
          <w:b/>
          <w:bCs/>
        </w:rPr>
        <w:t xml:space="preserve">еализация </w:t>
      </w:r>
      <w:r w:rsidR="008E3C4C">
        <w:rPr>
          <w:rFonts w:ascii="Times New Roman" w:eastAsia="Times New Roman" w:hAnsi="Times New Roman" w:cs="Times New Roman"/>
          <w:b/>
          <w:bCs/>
        </w:rPr>
        <w:t>имущества</w:t>
      </w:r>
    </w:p>
    <w:p w:rsidR="002363C1" w:rsidRPr="00FE4281" w:rsidRDefault="002363C1" w:rsidP="002363C1">
      <w:pPr>
        <w:pStyle w:val="af4"/>
        <w:spacing w:after="0" w:line="240" w:lineRule="auto"/>
        <w:ind w:left="360"/>
        <w:rPr>
          <w:rFonts w:ascii="Times New Roman" w:eastAsia="Times New Roman" w:hAnsi="Times New Roman" w:cs="Times New Roman"/>
          <w:b/>
          <w:bCs/>
        </w:rPr>
      </w:pPr>
    </w:p>
    <w:p w:rsidR="00B60315" w:rsidRPr="00FE4281" w:rsidRDefault="00C02795" w:rsidP="004B2E02">
      <w:pPr>
        <w:pBdr>
          <w:bottom w:val="none" w:sz="4" w:space="5" w:color="000000"/>
        </w:pBd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С</w:t>
      </w:r>
      <w:r w:rsidR="00B60315" w:rsidRPr="00FE4281">
        <w:rPr>
          <w:rFonts w:ascii="Times New Roman" w:eastAsia="Times New Roman" w:hAnsi="Times New Roman" w:cs="Times New Roman"/>
        </w:rPr>
        <w:t>огласно ст. 213.6 Закона, при рассмотрении дела о банкротстве гражданина возможно введение реструктуризации долгов гражданина, реализации имущества гражданина, утверждение мирового соглашения.</w:t>
      </w:r>
    </w:p>
    <w:tbl>
      <w:tblPr>
        <w:tblStyle w:val="af"/>
        <w:tblW w:w="10173" w:type="dxa"/>
        <w:tblLook w:val="04A0"/>
      </w:tblPr>
      <w:tblGrid>
        <w:gridCol w:w="4998"/>
        <w:gridCol w:w="5175"/>
      </w:tblGrid>
      <w:tr w:rsidR="00733F17" w:rsidRPr="005B29BA" w:rsidTr="00507F26">
        <w:tc>
          <w:tcPr>
            <w:tcW w:w="4998" w:type="dxa"/>
            <w:vAlign w:val="center"/>
          </w:tcPr>
          <w:p w:rsidR="00733F17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Реструктуризация долгов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–является первым этапом в процессе банкротства. </w:t>
            </w:r>
          </w:p>
          <w:p w:rsidR="00296A5A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восстановление платежеспособности должника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. </w:t>
            </w:r>
          </w:p>
          <w:p w:rsidR="00F05907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 </w:t>
            </w:r>
          </w:p>
        </w:tc>
        <w:tc>
          <w:tcPr>
            <w:tcW w:w="5175" w:type="dxa"/>
            <w:vAlign w:val="center"/>
          </w:tcPr>
          <w:p w:rsidR="00296A5A" w:rsidRPr="005B29BA" w:rsidRDefault="00733F17" w:rsidP="00F05907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  <w:u w:val="single"/>
              </w:rPr>
              <w:t>Реализация имущества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–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</w:t>
            </w:r>
            <w:r w:rsidR="00296A5A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является вторым этапом в процессе банкротства. </w:t>
            </w:r>
          </w:p>
          <w:p w:rsidR="00733F17" w:rsidRPr="005B29BA" w:rsidRDefault="00296A5A" w:rsidP="00296A5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П</w:t>
            </w:r>
            <w:r w:rsidR="00F05907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роцедура направлена на погашение задолженности за счет имеющегося имущества перед кредиторами и списания долгов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.</w:t>
            </w:r>
          </w:p>
          <w:p w:rsidR="00296A5A" w:rsidRPr="005B29BA" w:rsidRDefault="00296A5A" w:rsidP="00507F2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Процедура назначается на срок </w:t>
            </w:r>
            <w:r w:rsidR="00507F26"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>4-6</w:t>
            </w:r>
            <w:r w:rsidRPr="005B29BA">
              <w:rPr>
                <w:rFonts w:ascii="Times New Roman" w:eastAsia="Times New Roman" w:hAnsi="Times New Roman" w:cs="Times New Roman"/>
                <w:b/>
                <w:i/>
                <w:sz w:val="20"/>
                <w:szCs w:val="20"/>
              </w:rPr>
              <w:t xml:space="preserve"> мес. может быть продлена.</w:t>
            </w:r>
          </w:p>
        </w:tc>
      </w:tr>
      <w:tr w:rsidR="00733F17" w:rsidRPr="005B29BA" w:rsidTr="00507F26">
        <w:tc>
          <w:tcPr>
            <w:tcW w:w="4998" w:type="dxa"/>
          </w:tcPr>
          <w:p w:rsidR="003E1690" w:rsidRPr="005B29BA" w:rsidRDefault="003E1690" w:rsidP="00F05907">
            <w:pPr>
              <w:pBdr>
                <w:bottom w:val="none" w:sz="4" w:space="5" w:color="000000"/>
              </w:pBdr>
              <w:jc w:val="both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bCs/>
                <w:color w:val="000000"/>
                <w:sz w:val="20"/>
                <w:szCs w:val="20"/>
              </w:rPr>
              <w:t xml:space="preserve">В соответствии со ст. 213.13 Закона, </w:t>
            </w: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п</w:t>
            </w: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лан реструктуризации долгов гражданина может быть представлен в отношении задолженности гражданина, соответствующего следующим требованиям:</w:t>
            </w:r>
          </w:p>
          <w:p w:rsidR="00733F17" w:rsidRPr="005B29BA" w:rsidRDefault="00733F17" w:rsidP="003E1690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Наличие источников дохода, достаточных для утверждения плана реструктуризации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Отсутствие судимости по экономическим преступлениям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Не признавался банкротом в течение пяти лет, предшествующих представлению плана реструктуризации его долгов;</w:t>
            </w:r>
          </w:p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План реструктуризации долгов гражданина в отношении его задолженности не утверждался в течение восьми лет, предшествующих представлению этого плана</w:t>
            </w:r>
          </w:p>
        </w:tc>
        <w:tc>
          <w:tcPr>
            <w:tcW w:w="5175" w:type="dxa"/>
          </w:tcPr>
          <w:p w:rsidR="00733F17" w:rsidRPr="005B29BA" w:rsidRDefault="00733F17" w:rsidP="00733F17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Вводится при отсутствии источников доходов</w:t>
            </w:r>
          </w:p>
          <w:p w:rsidR="00733F17" w:rsidRPr="005B29BA" w:rsidRDefault="00C02795" w:rsidP="00507F26">
            <w:pPr>
              <w:pStyle w:val="af4"/>
              <w:numPr>
                <w:ilvl w:val="0"/>
                <w:numId w:val="17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Реализуется все имущество гражданина, кроме единственного жилья на праве собственности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(комната, квартира, дом/земельный участок</w:t>
            </w:r>
            <w:r w:rsidR="00507F26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).</w:t>
            </w:r>
          </w:p>
        </w:tc>
      </w:tr>
    </w:tbl>
    <w:p w:rsidR="00C12EFD" w:rsidRPr="00FE4281" w:rsidRDefault="00C12EFD" w:rsidP="00C12EFD">
      <w:pPr>
        <w:spacing w:after="0" w:line="240" w:lineRule="auto"/>
        <w:rPr>
          <w:rFonts w:ascii="Times New Roman" w:eastAsia="Times New Roman" w:hAnsi="Times New Roman" w:cs="Times New Roman"/>
        </w:rPr>
      </w:pPr>
    </w:p>
    <w:p w:rsidR="00787154" w:rsidRPr="00FE4281" w:rsidRDefault="00787154" w:rsidP="00787154">
      <w:pPr>
        <w:pStyle w:val="af4"/>
        <w:spacing w:after="0" w:line="240" w:lineRule="auto"/>
        <w:ind w:left="360"/>
        <w:jc w:val="both"/>
        <w:rPr>
          <w:rFonts w:ascii="Times New Roman" w:hAnsi="Times New Roman" w:cs="Times New Roman"/>
        </w:rPr>
      </w:pPr>
    </w:p>
    <w:p w:rsidR="00D962E9" w:rsidRPr="00FE4281" w:rsidRDefault="00876F44" w:rsidP="00F05907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Вероятность введения 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процедуры </w:t>
      </w: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реструктуризации</w:t>
      </w:r>
      <w:r w:rsidR="008E3C4C">
        <w:rPr>
          <w:rFonts w:ascii="Times New Roman" w:eastAsia="Times New Roman" w:hAnsi="Times New Roman" w:cs="Times New Roman"/>
          <w:b/>
          <w:color w:val="000000"/>
          <w:lang w:eastAsia="ru-RU"/>
        </w:rPr>
        <w:t xml:space="preserve"> и утверждения плана реструктуризации</w:t>
      </w:r>
    </w:p>
    <w:p w:rsidR="00B44EB2" w:rsidRPr="00FE4281" w:rsidRDefault="00A91222" w:rsidP="007C1578">
      <w:pPr>
        <w:pStyle w:val="af5"/>
        <w:pBdr>
          <w:bottom w:val="none" w:sz="4" w:space="5" w:color="000000"/>
        </w:pBdr>
        <w:shd w:val="clear" w:color="auto" w:fill="FFFFFF"/>
        <w:spacing w:before="0" w:beforeAutospacing="0" w:after="0" w:afterAutospacing="0"/>
        <w:ind w:firstLine="709"/>
        <w:jc w:val="both"/>
        <w:rPr>
          <w:sz w:val="22"/>
          <w:szCs w:val="22"/>
        </w:rPr>
      </w:pPr>
      <w:r w:rsidRPr="00FE4281">
        <w:rPr>
          <w:sz w:val="22"/>
          <w:szCs w:val="22"/>
        </w:rPr>
        <w:t>В соответствии с пунктом 3 статьи 4 Федерального закона «О прожиточном минимуме в Российской Федерации» Правительство </w:t>
      </w:r>
      <w:r w:rsidR="0063707D">
        <w:rPr>
          <w:sz w:val="22"/>
          <w:szCs w:val="22"/>
        </w:rPr>
        <w:t>субъекта РФ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 xml:space="preserve"> устанавливает величину прожиточного минимума </w:t>
      </w:r>
      <w:r w:rsidRPr="00126B73">
        <w:rPr>
          <w:sz w:val="22"/>
          <w:szCs w:val="22"/>
        </w:rPr>
        <w:t>в </w:t>
      </w:r>
      <w:r w:rsidR="001173DD" w:rsidRPr="00126B73">
        <w:rPr>
          <w:sz w:val="22"/>
          <w:szCs w:val="22"/>
        </w:rPr>
        <w:t>области</w:t>
      </w:r>
      <w:r w:rsidR="001173DD" w:rsidRPr="00FE4281">
        <w:rPr>
          <w:sz w:val="22"/>
          <w:szCs w:val="22"/>
        </w:rPr>
        <w:t xml:space="preserve"> </w:t>
      </w:r>
      <w:r w:rsidRPr="00FE4281">
        <w:rPr>
          <w:sz w:val="22"/>
          <w:szCs w:val="22"/>
        </w:rPr>
        <w:t> на 202</w:t>
      </w:r>
      <w:r w:rsidR="001173DD" w:rsidRPr="00FE4281">
        <w:rPr>
          <w:sz w:val="22"/>
          <w:szCs w:val="22"/>
        </w:rPr>
        <w:t>3</w:t>
      </w:r>
      <w:r w:rsidRPr="00FE4281">
        <w:rPr>
          <w:sz w:val="22"/>
          <w:szCs w:val="22"/>
        </w:rPr>
        <w:t> год:</w:t>
      </w:r>
    </w:p>
    <w:tbl>
      <w:tblPr>
        <w:tblStyle w:val="af"/>
        <w:tblW w:w="9770" w:type="dxa"/>
        <w:tblLook w:val="04A0"/>
      </w:tblPr>
      <w:tblGrid>
        <w:gridCol w:w="1951"/>
        <w:gridCol w:w="2934"/>
        <w:gridCol w:w="4885"/>
      </w:tblGrid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в расчете на душу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  <w:lang w:val="en-US"/>
              </w:rPr>
            </w:pPr>
            <w:r w:rsidRPr="003B0B20">
              <w:rPr>
                <w:sz w:val="20"/>
                <w:szCs w:val="20"/>
                <w:lang w:val="en-US"/>
              </w:rPr>
              <w:t>14466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трудоспособного населения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16054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пенсионеров</w:t>
            </w:r>
          </w:p>
        </w:tc>
        <w:tc>
          <w:tcPr>
            <w:tcW w:w="4885" w:type="dxa"/>
          </w:tcPr>
          <w:p w:rsidR="007C1578" w:rsidRPr="003B0B20" w:rsidRDefault="003B0B20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12666</w:t>
            </w:r>
          </w:p>
        </w:tc>
      </w:tr>
      <w:tr w:rsidR="007C1578" w:rsidRPr="005B29BA" w:rsidTr="001173DD">
        <w:tc>
          <w:tcPr>
            <w:tcW w:w="4885" w:type="dxa"/>
            <w:gridSpan w:val="2"/>
          </w:tcPr>
          <w:p w:rsidR="007C1578" w:rsidRPr="005B29BA" w:rsidRDefault="007C1578" w:rsidP="007C1578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sz w:val="20"/>
                <w:szCs w:val="20"/>
              </w:rPr>
            </w:pPr>
            <w:r w:rsidRPr="005B29BA">
              <w:rPr>
                <w:color w:val="000000"/>
                <w:sz w:val="20"/>
                <w:szCs w:val="20"/>
              </w:rPr>
              <w:t>для детей  </w:t>
            </w:r>
          </w:p>
        </w:tc>
        <w:tc>
          <w:tcPr>
            <w:tcW w:w="4885" w:type="dxa"/>
          </w:tcPr>
          <w:p w:rsidR="007C1578" w:rsidRPr="003B0B20" w:rsidRDefault="003B0B20" w:rsidP="003B0B20">
            <w:pPr>
              <w:pStyle w:val="af5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spacing w:before="0" w:beforeAutospacing="0" w:after="0" w:afterAutospacing="0"/>
              <w:jc w:val="both"/>
              <w:rPr>
                <w:b/>
                <w:bCs/>
                <w:sz w:val="20"/>
                <w:szCs w:val="20"/>
              </w:rPr>
            </w:pPr>
            <w:r w:rsidRPr="003B0B20">
              <w:rPr>
                <w:sz w:val="20"/>
                <w:szCs w:val="20"/>
                <w:lang w:val="en-US"/>
              </w:rPr>
              <w:t>15261</w:t>
            </w:r>
          </w:p>
        </w:tc>
      </w:tr>
      <w:tr w:rsidR="007C1578" w:rsidRPr="005B29BA" w:rsidTr="00287366">
        <w:tc>
          <w:tcPr>
            <w:tcW w:w="1951" w:type="dxa"/>
          </w:tcPr>
          <w:p w:rsidR="007C1578" w:rsidRPr="003B0B20" w:rsidRDefault="00287366" w:rsidP="001460C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</w:pPr>
            <w:r w:rsidRPr="003B0B20">
              <w:rPr>
                <w:rFonts w:ascii="Times New Roman" w:eastAsia="Times New Roman" w:hAnsi="Times New Roman" w:cs="Times New Roman"/>
                <w:b/>
                <w:bCs/>
                <w:i/>
                <w:color w:val="000000"/>
                <w:sz w:val="20"/>
                <w:szCs w:val="20"/>
                <w:lang w:eastAsia="ru-RU"/>
              </w:rPr>
              <w:t>Расчет:</w:t>
            </w:r>
          </w:p>
        </w:tc>
        <w:tc>
          <w:tcPr>
            <w:tcW w:w="7819" w:type="dxa"/>
            <w:gridSpan w:val="2"/>
          </w:tcPr>
          <w:p w:rsidR="007C1578" w:rsidRPr="003B0B20" w:rsidRDefault="003B0B20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Таким образом, поскольку официальный доход Заказчика составляет 0 руб., размер денежных средств, направленных на погашение требований кредиторов составляет:
0 руб.(доход) -16054 руб. (ПМ)-15261(ПМ на ребенка)=0 * 36 мес. (план реструктуризации долгов) руб. =0 руб.
Из расчёта следует, что риск утверждения плана реструктуризации отсутствует.</w:t>
            </w: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  <w:p w:rsidR="007B7766" w:rsidRPr="003B0B20" w:rsidRDefault="007B7766" w:rsidP="001173DD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</w:pPr>
          </w:p>
        </w:tc>
      </w:tr>
    </w:tbl>
    <w:p w:rsidR="00B44EB2" w:rsidRPr="005D0A28" w:rsidRDefault="00B44EB2" w:rsidP="00876F44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color w:val="000000"/>
          <w:lang w:eastAsia="ru-RU"/>
        </w:rPr>
      </w:pP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EE1E2B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>В связи с отсутствием официального дохода и трудоспособного возраста есть риск введения процедуры реструктуризации с возникновением обязательства по трудоустройству </w:t>
            </w:r>
          </w:p>
        </w:tc>
      </w:tr>
    </w:tbl>
    <w:p w:rsidR="002D18F5" w:rsidRPr="00657281" w:rsidRDefault="002D18F5" w:rsidP="002D18F5">
      <w:pPr>
        <w:pStyle w:val="af4"/>
        <w:pBdr>
          <w:top w:val="none" w:sz="4" w:space="16" w:color="000000"/>
        </w:pBdr>
        <w:spacing w:after="0" w:line="240" w:lineRule="auto"/>
        <w:ind w:left="0"/>
        <w:rPr>
          <w:rFonts w:ascii="Times New Roman" w:hAnsi="Times New Roman" w:cs="Times New Roman"/>
          <w:bCs/>
          <w:lang w:val="en-US"/>
        </w:rPr>
      </w:pPr>
    </w:p>
    <w:p w:rsidR="00B44EB2" w:rsidRPr="00FE4281" w:rsidRDefault="00D63064" w:rsidP="001173DD">
      <w:pPr>
        <w:pStyle w:val="af4"/>
        <w:numPr>
          <w:ilvl w:val="1"/>
          <w:numId w:val="16"/>
        </w:numPr>
        <w:pBdr>
          <w:bottom w:val="none" w:sz="4" w:space="5" w:color="000000"/>
        </w:pBd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b/>
          <w:color w:val="000000"/>
          <w:lang w:eastAsia="ru-RU"/>
        </w:rPr>
      </w:pPr>
      <w:r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Возможные нед</w:t>
      </w:r>
      <w:r w:rsidR="00876F44" w:rsidRPr="00FE4281">
        <w:rPr>
          <w:rFonts w:ascii="Times New Roman" w:eastAsia="Times New Roman" w:hAnsi="Times New Roman" w:cs="Times New Roman"/>
          <w:b/>
          <w:color w:val="000000"/>
          <w:lang w:eastAsia="ru-RU"/>
        </w:rPr>
        <w:t>обросовестные действия должника</w:t>
      </w:r>
    </w:p>
    <w:p w:rsidR="00C02795" w:rsidRPr="00FE4281" w:rsidRDefault="00C02795" w:rsidP="00C02795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При совершении недобросовестных действий Арбитражный суд</w:t>
      </w:r>
      <w:r w:rsidR="00C54705" w:rsidRPr="00FE4281">
        <w:rPr>
          <w:rFonts w:ascii="Times New Roman" w:eastAsia="Times New Roman" w:hAnsi="Times New Roman" w:cs="Times New Roman"/>
        </w:rPr>
        <w:t>,</w:t>
      </w:r>
      <w:r w:rsidR="001173DD" w:rsidRPr="00FE4281">
        <w:rPr>
          <w:rFonts w:ascii="Times New Roman" w:eastAsia="Times New Roman" w:hAnsi="Times New Roman" w:cs="Times New Roman"/>
        </w:rPr>
        <w:t xml:space="preserve"> </w:t>
      </w:r>
      <w:r w:rsidR="00C54705" w:rsidRPr="00FE4281">
        <w:rPr>
          <w:rFonts w:ascii="Times New Roman" w:eastAsia="Times New Roman" w:hAnsi="Times New Roman" w:cs="Times New Roman"/>
        </w:rPr>
        <w:t>руководствуясь статьей 10 Гражданского кодекса Российской Федерации</w:t>
      </w:r>
      <w:r w:rsidRPr="00FE4281">
        <w:rPr>
          <w:rFonts w:ascii="Times New Roman" w:eastAsia="Times New Roman" w:hAnsi="Times New Roman" w:cs="Times New Roman"/>
        </w:rPr>
        <w:t xml:space="preserve"> имеет право не применять правило об освобождения от задолженности гражданина. </w:t>
      </w:r>
      <w:r w:rsidR="00D63064" w:rsidRPr="00FE4281">
        <w:rPr>
          <w:rFonts w:ascii="Times New Roman" w:eastAsia="Times New Roman" w:hAnsi="Times New Roman" w:cs="Times New Roman"/>
        </w:rPr>
        <w:t>К недобросовестным действиям должника</w:t>
      </w:r>
      <w:r w:rsidRPr="00FE4281">
        <w:rPr>
          <w:rFonts w:ascii="Times New Roman" w:eastAsia="Times New Roman" w:hAnsi="Times New Roman" w:cs="Times New Roman"/>
        </w:rPr>
        <w:t xml:space="preserve">, при совершении </w:t>
      </w:r>
      <w:r w:rsidR="00D63064" w:rsidRPr="00FE4281">
        <w:rPr>
          <w:rFonts w:ascii="Times New Roman" w:eastAsia="Times New Roman" w:hAnsi="Times New Roman" w:cs="Times New Roman"/>
        </w:rPr>
        <w:t>суды относят</w:t>
      </w:r>
      <w:r w:rsidRPr="00FE4281">
        <w:rPr>
          <w:rFonts w:ascii="Times New Roman" w:eastAsia="Times New Roman" w:hAnsi="Times New Roman" w:cs="Times New Roman"/>
        </w:rPr>
        <w:t>: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неисполнение судебных актов о представлении документов,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неучастие в процедуре реализации имущества или непринятие мер по погашению задолженности. </w:t>
      </w:r>
    </w:p>
    <w:p w:rsidR="00C02795" w:rsidRPr="00FE4281" w:rsidRDefault="00D63064" w:rsidP="00C02795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не предпринимал мер по погашению образовавшейся задолженности с учетом непогашения задолженности по налогам и сборам в течение пяти лет, </w:t>
      </w:r>
    </w:p>
    <w:p w:rsidR="00B44EB2" w:rsidRPr="00FE4281" w:rsidRDefault="00D63064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злостно уклонялся от уплаты задолженности по налогам и сборам, кредиторской задолженности.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принятие на себя заведомо не исполнимых обязательств, предоставление банку заведомо ложных сведений при получении кредита, </w:t>
      </w:r>
    </w:p>
    <w:p w:rsidR="004B2E02" w:rsidRPr="00FE4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 xml:space="preserve">сокрытие или умышленное уничтожение имущества, </w:t>
      </w:r>
    </w:p>
    <w:p w:rsidR="004B2E02" w:rsidRPr="00657281" w:rsidRDefault="004B2E02" w:rsidP="004B2E02">
      <w:pPr>
        <w:pStyle w:val="af4"/>
        <w:numPr>
          <w:ilvl w:val="0"/>
          <w:numId w:val="18"/>
        </w:numPr>
        <w:spacing w:after="0" w:line="240" w:lineRule="auto"/>
        <w:ind w:left="426"/>
        <w:jc w:val="both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lastRenderedPageBreak/>
        <w:t>вывод активов, неисполнение указаний суда о предоставлении информации и тому подобное</w:t>
      </w:r>
    </w:p>
    <w:tbl>
      <w:tblPr>
        <w:tblStyle w:val="af"/>
        <w:tblW w:w="10143" w:type="dxa"/>
        <w:tblInd w:w="-5" w:type="dxa"/>
        <w:tblLook w:val="04A0"/>
      </w:tblPr>
      <w:tblGrid>
        <w:gridCol w:w="1947"/>
        <w:gridCol w:w="8196"/>
      </w:tblGrid>
      <w:tr w:rsidR="00657281" w:rsidRPr="00AF1287" w:rsidTr="004B3CF8">
        <w:trPr>
          <w:trHeight w:val="297"/>
        </w:trPr>
        <w:tc>
          <w:tcPr>
            <w:tcW w:w="1947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bCs/>
                <w:i/>
                <w:iCs/>
                <w:sz w:val="20"/>
                <w:szCs w:val="20"/>
              </w:rPr>
              <w:t>Вывод</w:t>
            </w:r>
            <w:r w:rsidRPr="00AF1287">
              <w:rPr>
                <w:rFonts w:ascii="Times New Roman" w:eastAsia="Times New Roman" w:hAnsi="Times New Roman" w:cs="Times New Roman"/>
                <w:sz w:val="20"/>
                <w:szCs w:val="20"/>
              </w:rPr>
              <w:t>:</w:t>
            </w:r>
          </w:p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  <w:p w:rsidR="00657281" w:rsidRPr="00DD30DD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196" w:type="dxa"/>
          </w:tcPr>
          <w:p w:rsidR="00657281" w:rsidRDefault="00657281" w:rsidP="004B3CF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</w:pPr>
            <w:r w:rsidRPr="00AF1287"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</w:rPr>
              <w:t xml:space="preserve">Риски: </w:t>
            </w:r>
          </w:p>
          <w:p w:rsidR="00657281" w:rsidRPr="00A07E06" w:rsidRDefault="00657281" w:rsidP="004B3CF8">
            <w:pPr>
              <w:pStyle w:val="af4"/>
              <w:numPr>
                <w:ilvl w:val="0"/>
                <w:numId w:val="28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b/>
                <w:iCs/>
                <w:sz w:val="20"/>
                <w:szCs w:val="20"/>
                <w:lang w:val="en-US"/>
              </w:rPr>
              <w:t xml:space="preserve">По причине предоставления кредитору заведомо ложных сведений при получении кредита правила об освобождении от исполнения обязательств не применяются </w:t>
            </w:r>
          </w:p>
        </w:tc>
      </w:tr>
    </w:tbl>
    <w:p w:rsidR="003E1690" w:rsidRDefault="003E1690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657281" w:rsidRPr="00657281" w:rsidRDefault="00657281" w:rsidP="002D18F5">
      <w:pPr>
        <w:spacing w:after="0" w:line="240" w:lineRule="auto"/>
        <w:rPr>
          <w:rFonts w:ascii="Times New Roman" w:eastAsia="Times New Roman" w:hAnsi="Times New Roman" w:cs="Times New Roman"/>
          <w:lang w:val="en-US"/>
        </w:rPr>
      </w:pPr>
    </w:p>
    <w:p w:rsidR="00B44EB2" w:rsidRPr="00FE4281" w:rsidRDefault="00D63064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 xml:space="preserve">Расходы </w:t>
      </w:r>
      <w:r w:rsidR="000F2571" w:rsidRPr="00FE4281">
        <w:rPr>
          <w:rFonts w:ascii="Times New Roman" w:eastAsia="Times New Roman" w:hAnsi="Times New Roman" w:cs="Times New Roman"/>
          <w:b/>
          <w:iCs/>
        </w:rPr>
        <w:t>гражданина в процедуре банкротства (за каждый из этапов процедуры)</w:t>
      </w:r>
    </w:p>
    <w:p w:rsidR="000F2571" w:rsidRPr="00FE4281" w:rsidRDefault="000F2571" w:rsidP="000F2571">
      <w:pPr>
        <w:pStyle w:val="af4"/>
        <w:widowControl w:val="0"/>
        <w:pBdr>
          <w:top w:val="none" w:sz="4" w:space="2" w:color="000000"/>
        </w:pBdr>
        <w:spacing w:after="0" w:line="240" w:lineRule="auto"/>
        <w:ind w:left="831"/>
        <w:rPr>
          <w:rFonts w:ascii="Times New Roman" w:eastAsia="Times New Roman" w:hAnsi="Times New Roman" w:cs="Times New Roman"/>
          <w:b/>
          <w:iCs/>
        </w:rPr>
      </w:pPr>
    </w:p>
    <w:tbl>
      <w:tblPr>
        <w:tblStyle w:val="af"/>
        <w:tblW w:w="0" w:type="auto"/>
        <w:tblLook w:val="04A0"/>
      </w:tblPr>
      <w:tblGrid>
        <w:gridCol w:w="7196"/>
        <w:gridCol w:w="1701"/>
      </w:tblGrid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1. Вознаграждение финансового управляющего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25000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D74AB5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2.   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Государственная пошлина за подачу заявления о признании банкротом</w:t>
            </w:r>
          </w:p>
        </w:tc>
        <w:tc>
          <w:tcPr>
            <w:tcW w:w="1701" w:type="dxa"/>
          </w:tcPr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300</w:t>
            </w: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D74AB5">
            <w:pPr>
              <w:pStyle w:val="af4"/>
              <w:widowControl w:val="0"/>
              <w:numPr>
                <w:ilvl w:val="0"/>
                <w:numId w:val="16"/>
              </w:num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Расходы на публикации в ходе процедуры банкротства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15000</w:t>
            </w:r>
          </w:p>
          <w:p w:rsidR="004B2E02" w:rsidRPr="005B29BA" w:rsidRDefault="004B2E02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4B2E02" w:rsidRPr="005B29BA" w:rsidTr="000F2571">
        <w:tc>
          <w:tcPr>
            <w:tcW w:w="7196" w:type="dxa"/>
          </w:tcPr>
          <w:p w:rsidR="004B2E02" w:rsidRPr="005B29BA" w:rsidRDefault="004B2E02" w:rsidP="004B2E02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righ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ИТОГО:</w:t>
            </w:r>
          </w:p>
        </w:tc>
        <w:tc>
          <w:tcPr>
            <w:tcW w:w="1701" w:type="dxa"/>
          </w:tcPr>
          <w:p w:rsidR="004B2E02" w:rsidRPr="005B29BA" w:rsidRDefault="00296A5A" w:rsidP="007E15CD">
            <w:pPr>
              <w:widowControl w:val="0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от </w:t>
            </w:r>
            <w:r w:rsidR="004B2E02" w:rsidRPr="005B29BA">
              <w:rPr>
                <w:rFonts w:ascii="Times New Roman" w:eastAsia="Times New Roman" w:hAnsi="Times New Roman" w:cs="Times New Roman"/>
                <w:sz w:val="20"/>
                <w:szCs w:val="20"/>
              </w:rPr>
              <w:t>40300</w:t>
            </w:r>
          </w:p>
        </w:tc>
      </w:tr>
    </w:tbl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7E15CD" w:rsidRPr="00FE4281" w:rsidRDefault="004B2E02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  <w:r w:rsidRPr="00FE4281">
        <w:rPr>
          <w:rFonts w:ascii="Times New Roman" w:eastAsia="Times New Roman" w:hAnsi="Times New Roman" w:cs="Times New Roman"/>
        </w:rPr>
        <w:t>По ходатайству должника Суд может предоставить ему отсрочку на внесение этих средств</w:t>
      </w:r>
      <w:r w:rsidR="00C12EFD" w:rsidRPr="00FE4281">
        <w:rPr>
          <w:rFonts w:ascii="Times New Roman" w:eastAsia="Times New Roman" w:hAnsi="Times New Roman" w:cs="Times New Roman"/>
        </w:rPr>
        <w:t xml:space="preserve"> при наличии достаточных оснований</w:t>
      </w:r>
      <w:r w:rsidRPr="00FE4281">
        <w:rPr>
          <w:rFonts w:ascii="Times New Roman" w:eastAsia="Times New Roman" w:hAnsi="Times New Roman" w:cs="Times New Roman"/>
        </w:rPr>
        <w:t xml:space="preserve"> (п. 3 ст. 20.6, п. п. 4, 5 ст. 213.4 Закона о банкротстве).</w:t>
      </w:r>
    </w:p>
    <w:p w:rsidR="000F2571" w:rsidRPr="00FE4281" w:rsidRDefault="000F2571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</w:rPr>
      </w:pPr>
    </w:p>
    <w:p w:rsidR="00F05907" w:rsidRPr="00FE4281" w:rsidRDefault="00F05907" w:rsidP="000F2571">
      <w:pPr>
        <w:pStyle w:val="af4"/>
        <w:widowControl w:val="0"/>
        <w:numPr>
          <w:ilvl w:val="1"/>
          <w:numId w:val="32"/>
        </w:numPr>
        <w:pBdr>
          <w:top w:val="none" w:sz="4" w:space="2" w:color="000000"/>
        </w:pBdr>
        <w:spacing w:after="0" w:line="240" w:lineRule="auto"/>
        <w:rPr>
          <w:rFonts w:ascii="Times New Roman" w:eastAsia="Times New Roman" w:hAnsi="Times New Roman" w:cs="Times New Roman"/>
          <w:b/>
          <w:iCs/>
        </w:rPr>
      </w:pPr>
      <w:r w:rsidRPr="00FE4281">
        <w:rPr>
          <w:rFonts w:ascii="Times New Roman" w:eastAsia="Times New Roman" w:hAnsi="Times New Roman" w:cs="Times New Roman"/>
          <w:b/>
          <w:iCs/>
        </w:rPr>
        <w:t>Последствия признания гражданина банкротом</w:t>
      </w:r>
    </w:p>
    <w:p w:rsidR="00F05907" w:rsidRPr="00FE4281" w:rsidRDefault="00F05907" w:rsidP="00F05907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принимать на себя обязательства по кредитным договорам и (или) договорам займа без указания на факт своего банкротства.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пяти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дело о его банкротстве не может быть возбуждено по заявлению этого гражданина.</w:t>
      </w:r>
    </w:p>
    <w:p w:rsidR="00F05907" w:rsidRPr="00FE4281" w:rsidRDefault="00F05907" w:rsidP="00F05907">
      <w:pPr>
        <w:pStyle w:val="af4"/>
        <w:numPr>
          <w:ilvl w:val="0"/>
          <w:numId w:val="20"/>
        </w:numPr>
        <w:spacing w:after="0" w:line="240" w:lineRule="auto"/>
        <w:ind w:left="0" w:firstLine="360"/>
        <w:jc w:val="both"/>
        <w:rPr>
          <w:rFonts w:ascii="Times New Roman" w:hAnsi="Times New Roman" w:cs="Times New Roman"/>
        </w:rPr>
      </w:pPr>
      <w:r w:rsidRPr="00FE4281">
        <w:rPr>
          <w:rFonts w:ascii="Times New Roman" w:hAnsi="Times New Roman" w:cs="Times New Roman"/>
        </w:rPr>
        <w:t>В течение трех лет с даты завершения в отношении гражданина процедуры реализации имущества или прекращения производства по делу о банкротстве в ходе такой процедуры он не вправе занимать должности в органах управления юридического лица, иным образом участвовать в управлении юридическим лицом, если иное не установлено настоящим Федеральным законом.</w:t>
      </w:r>
    </w:p>
    <w:p w:rsidR="00F05907" w:rsidRDefault="00F05907" w:rsidP="004B2E02">
      <w:pPr>
        <w:widowControl w:val="0"/>
        <w:spacing w:after="0" w:line="240" w:lineRule="auto"/>
        <w:ind w:firstLine="709"/>
        <w:rPr>
          <w:rFonts w:ascii="Times New Roman" w:eastAsia="Times New Roman" w:hAnsi="Times New Roman" w:cs="Times New Roman"/>
          <w:strike/>
        </w:rPr>
      </w:pPr>
    </w:p>
    <w:bookmarkEnd w:id="1"/>
    <w:p w:rsidR="00B44EB2" w:rsidRDefault="00C12EFD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  <w:r w:rsidRPr="001460C3">
        <w:rPr>
          <w:rFonts w:ascii="Times New Roman" w:eastAsia="Times New Roman" w:hAnsi="Times New Roman" w:cs="Times New Roman"/>
          <w:b/>
          <w:bCs/>
          <w:lang w:eastAsia="ru-RU"/>
        </w:rPr>
        <w:t>ЗАКЛЮЧЕНИЕ</w:t>
      </w:r>
      <w:r w:rsidR="000F2571">
        <w:rPr>
          <w:rFonts w:ascii="Times New Roman" w:eastAsia="Times New Roman" w:hAnsi="Times New Roman" w:cs="Times New Roman"/>
          <w:b/>
          <w:bCs/>
          <w:lang w:eastAsia="ru-RU"/>
        </w:rPr>
        <w:t xml:space="preserve"> </w:t>
      </w:r>
    </w:p>
    <w:p w:rsidR="00284436" w:rsidRDefault="00284436" w:rsidP="00C12EFD">
      <w:pPr>
        <w:spacing w:after="0" w:line="240" w:lineRule="auto"/>
        <w:ind w:firstLine="709"/>
        <w:jc w:val="center"/>
        <w:rPr>
          <w:rFonts w:ascii="Times New Roman" w:eastAsia="Times New Roman" w:hAnsi="Times New Roman" w:cs="Times New Roman"/>
          <w:b/>
          <w:bCs/>
          <w:lang w:eastAsia="ru-RU"/>
        </w:rPr>
      </w:pPr>
    </w:p>
    <w:tbl>
      <w:tblPr>
        <w:tblStyle w:val="af"/>
        <w:tblW w:w="0" w:type="auto"/>
        <w:tblInd w:w="514" w:type="dxa"/>
        <w:tblLook w:val="04A0"/>
      </w:tblPr>
      <w:tblGrid>
        <w:gridCol w:w="3280"/>
        <w:gridCol w:w="2977"/>
        <w:gridCol w:w="3367"/>
      </w:tblGrid>
      <w:tr w:rsidR="00593E84" w:rsidRPr="005B29BA" w:rsidTr="005A4199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 xml:space="preserve">Выявленный риск </w:t>
            </w:r>
          </w:p>
        </w:tc>
        <w:tc>
          <w:tcPr>
            <w:tcW w:w="2977" w:type="dxa"/>
          </w:tcPr>
          <w:p w:rsidR="00593E84" w:rsidRPr="005B29BA" w:rsidRDefault="00593E84" w:rsidP="0075015F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B29BA"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Возможность юриста работы с риском</w:t>
            </w:r>
          </w:p>
        </w:tc>
        <w:tc>
          <w:tcPr>
            <w:tcW w:w="3367" w:type="dxa"/>
          </w:tcPr>
          <w:p w:rsidR="00593E84" w:rsidRPr="005B29BA" w:rsidRDefault="00593E84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  <w:t>Описание имущества</w:t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Необходимо предоставить договор ГПХ, действующий в период получения кредитов для увеличения дохода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По причине предоставления кредитору заведомо ложных сведений при получении кредита правила об освобождении от исполнения обязательств не применяются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  <w:tr w:rsidR="00593E84" w:rsidRPr="005B29BA" w:rsidTr="003B0B20">
        <w:tc>
          <w:tcPr>
            <w:tcW w:w="3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593E84" w:rsidRPr="005108FE" w:rsidRDefault="005108FE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>В связи с отсутствием официального дохода и трудоспособного возраста есть риск введения процедуры реструктуризации с возникновением обязательства по трудоустройству</w:t>
            </w:r>
          </w:p>
        </w:tc>
        <w:tc>
          <w:tcPr>
            <w:tcW w:w="2977" w:type="dxa"/>
            <w:tcBorders>
              <w:bottom w:val="single" w:sz="4" w:space="0" w:color="auto"/>
            </w:tcBorders>
            <w:shd w:val="clear" w:color="auto" w:fill="auto"/>
          </w:tcPr>
          <w:p w:rsidR="00593E84" w:rsidRPr="00AF1287" w:rsidRDefault="003B0B20" w:rsidP="003B0B2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r w:rsidRPr="005108FE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  <w:tc>
          <w:tcPr>
            <w:tcW w:w="3367" w:type="dxa"/>
            <w:shd w:val="clear" w:color="auto" w:fill="auto"/>
          </w:tcPr>
          <w:p w:rsidR="00593E84" w:rsidRPr="003B0B20" w:rsidRDefault="003B0B20" w:rsidP="0078715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rPr>
                <w:rFonts w:ascii="Times New Roman" w:eastAsia="Times New Roman" w:hAnsi="Times New Roman" w:cs="Times New Roman"/>
                <w:bCs/>
                <w:sz w:val="20"/>
                <w:szCs w:val="20"/>
                <w:highlight w:val="cyan"/>
                <w:lang w:val="en-US" w:eastAsia="ru-RU"/>
              </w:rPr>
            </w:pPr>
            <w:r w:rsidRPr="003B0B20">
              <w:rPr>
                <w:rFonts w:ascii="Times New Roman" w:eastAsia="Times New Roman" w:hAnsi="Times New Roman" w:cs="Times New Roman"/>
                <w:bCs/>
                <w:sz w:val="20"/>
                <w:szCs w:val="20"/>
                <w:lang w:val="en-US" w:eastAsia="ru-RU"/>
              </w:rPr>
              <w:t/>
            </w:r>
          </w:p>
        </w:tc>
      </w:tr>
    </w:tbl>
    <w:p w:rsidR="000F2571" w:rsidRDefault="000F2571" w:rsidP="00787154">
      <w:pPr>
        <w:spacing w:after="0" w:line="240" w:lineRule="auto"/>
        <w:ind w:firstLine="709"/>
        <w:rPr>
          <w:rFonts w:ascii="Times New Roman" w:eastAsia="Times New Roman" w:hAnsi="Times New Roman" w:cs="Times New Roman"/>
          <w:b/>
          <w:bCs/>
          <w:lang w:eastAsia="ru-RU"/>
        </w:rPr>
      </w:pPr>
    </w:p>
    <w:p w:rsidR="00E31363" w:rsidRDefault="00787154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</w:pPr>
      <w:r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Предложения по дальнейшим действиям</w:t>
      </w:r>
      <w:r w:rsidR="00274835" w:rsidRPr="00DC1726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>:</w:t>
      </w:r>
      <w:r w:rsidR="00E31363" w:rsidRPr="00274835">
        <w:rPr>
          <w:rFonts w:ascii="Times New Roman" w:hAnsi="Times New Roman" w:cs="Times New Roman"/>
          <w:b/>
          <w:bCs/>
          <w:color w:val="000000" w:themeColor="text1"/>
          <w:shd w:val="clear" w:color="auto" w:fill="FFFFFF"/>
        </w:rPr>
        <w:t xml:space="preserve"> </w:t>
      </w:r>
    </w:p>
    <w:p w:rsidR="00DE01B6" w:rsidRPr="00DE01B6" w:rsidRDefault="00DE01B6" w:rsidP="000F2571">
      <w:pPr>
        <w:pStyle w:val="af4"/>
        <w:spacing w:after="0" w:line="240" w:lineRule="auto"/>
        <w:ind w:left="0" w:firstLine="709"/>
        <w:rPr>
          <w:rFonts w:ascii="Times New Roman" w:hAnsi="Times New Roman" w:cs="Times New Roman"/>
          <w:bCs/>
          <w:color w:val="000000" w:themeColor="text1"/>
          <w:shd w:val="clear" w:color="auto" w:fill="FFFFFF"/>
          <w:lang w:val="en-US"/>
        </w:rPr>
      </w:pPr>
      <w:r w:rsidRPr="00DE01B6">
        <w:rPr>
          <w:rFonts w:ascii="Times New Roman" w:hAnsi="Times New Roman" w:cs="Times New Roman"/>
          <w:bCs/>
          <w:color w:val="000000" w:themeColor="text1"/>
          <w:shd w:val="clear" w:color="auto" w:fill="FFFFFF"/>
        </w:rPr>
        <w:t>Необходимо обратиться в правоохранительные органы по факту мошеннических действий в отношении Клиента, т.к. денежные средства с кредитной карты переведены мошенникам. Без справки о признании потерпевшим по уголовному имеются признаки недобросовестности.</w:t>
      </w:r>
    </w:p>
    <w:p w:rsidR="00B44EB2" w:rsidRPr="001460C3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Услуги оказаны на сумму </w:t>
      </w:r>
      <w:r w:rsidRPr="007A176D">
        <w:rPr>
          <w:rFonts w:ascii="Times New Roman" w:eastAsia="Times New Roman" w:hAnsi="Times New Roman" w:cs="Times New Roman"/>
          <w:lang w:eastAsia="ru-RU"/>
        </w:rPr>
        <w:t xml:space="preserve">1500.00 </w:t>
      </w:r>
      <w:bookmarkStart w:id="2" w:name="ДогСтоимостьПроп"/>
      <w:r w:rsidRPr="007A176D">
        <w:rPr>
          <w:rFonts w:ascii="Times New Roman" w:eastAsia="Times New Roman" w:hAnsi="Times New Roman" w:cs="Times New Roman"/>
          <w:lang w:eastAsia="ru-RU"/>
        </w:rPr>
        <w:t>(один тысяча пятьсот рублей)</w:t>
      </w:r>
      <w:bookmarkEnd w:id="2"/>
      <w:r w:rsidRPr="007A176D">
        <w:rPr>
          <w:rFonts w:ascii="Times New Roman" w:eastAsia="Times New Roman" w:hAnsi="Times New Roman" w:cs="Times New Roman"/>
          <w:lang w:eastAsia="ru-RU"/>
        </w:rPr>
        <w:t xml:space="preserve"> рублей</w:t>
      </w:r>
    </w:p>
    <w:p w:rsidR="007A176D" w:rsidRDefault="007A176D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Pr="00362825" w:rsidRDefault="00593E84" w:rsidP="00274835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Отчет по экономико-правовой экспертизе подготовлен       </w:t>
      </w:r>
      <w:r w:rsidR="00274835">
        <w:rPr>
          <w:rFonts w:ascii="Times New Roman" w:eastAsia="Times New Roman" w:hAnsi="Times New Roman" w:cs="Times New Roman"/>
          <w:lang w:eastAsia="ru-RU"/>
        </w:rPr>
        <w:t xml:space="preserve">            </w:t>
      </w:r>
      <w:r w:rsidR="00D7794A">
        <w:rPr>
          <w:rFonts w:ascii="Times New Roman" w:eastAsia="Times New Roman" w:hAnsi="Times New Roman" w:cs="Times New Roman"/>
          <w:lang w:eastAsia="ru-RU"/>
        </w:rPr>
        <w:t xml:space="preserve">    </w:t>
      </w:r>
      <w:r w:rsidR="00362825" w:rsidRPr="00362825">
        <w:rPr>
          <w:rFonts w:ascii="Times New Roman" w:eastAsia="Times New Roman" w:hAnsi="Times New Roman" w:cs="Times New Roman"/>
          <w:lang w:eastAsia="ru-RU"/>
        </w:rPr>
        <w:t>ООО ФПК "АЛЬТЕРНАТИВА"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266B06" w:rsidP="00266B06">
      <w:pPr>
        <w:spacing w:after="0" w:line="240" w:lineRule="auto"/>
        <w:ind w:firstLine="709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 xml:space="preserve">                                                                                           </w:t>
      </w:r>
      <w:r w:rsidR="00593E84" w:rsidRPr="00266B06">
        <w:rPr>
          <w:rFonts w:ascii="Times New Roman" w:eastAsia="Times New Roman" w:hAnsi="Times New Roman" w:cs="Times New Roman"/>
          <w:u w:val="single"/>
          <w:lang w:eastAsia="ru-RU"/>
        </w:rPr>
        <w:t>ФИО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            </w:t>
      </w:r>
      <w:r>
        <w:rPr>
          <w:rFonts w:ascii="Times New Roman" w:eastAsia="Times New Roman" w:hAnsi="Times New Roman" w:cs="Times New Roman"/>
          <w:lang w:eastAsia="ru-RU"/>
        </w:rPr>
        <w:t xml:space="preserve">       </w:t>
      </w:r>
      <w:r w:rsidR="00593E84">
        <w:rPr>
          <w:rFonts w:ascii="Times New Roman" w:eastAsia="Times New Roman" w:hAnsi="Times New Roman" w:cs="Times New Roman"/>
          <w:lang w:eastAsia="ru-RU"/>
        </w:rPr>
        <w:t xml:space="preserve">    ____________________</w:t>
      </w: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0F2571" w:rsidRDefault="000F2571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B44EB2" w:rsidRPr="00050302" w:rsidRDefault="007A176D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>
        <w:rPr>
          <w:rFonts w:ascii="Times New Roman" w:eastAsia="Times New Roman" w:hAnsi="Times New Roman" w:cs="Times New Roman"/>
          <w:i/>
          <w:lang w:eastAsia="ru-RU"/>
        </w:rPr>
        <w:t>Услуги приняты, претензий не имею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 xml:space="preserve">: </w:t>
      </w:r>
      <w:r w:rsidR="00D63064" w:rsidRPr="00050302">
        <w:rPr>
          <w:rFonts w:ascii="Times New Roman" w:eastAsia="Times New Roman" w:hAnsi="Times New Roman" w:cs="Times New Roman"/>
          <w:i/>
          <w:lang w:eastAsia="ru-RU"/>
        </w:rPr>
        <w:t>_______________/_________________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B44EB2" w:rsidRPr="00050302" w:rsidRDefault="00D63064" w:rsidP="00050302">
      <w:pPr>
        <w:spacing w:after="0" w:line="240" w:lineRule="auto"/>
        <w:jc w:val="both"/>
        <w:rPr>
          <w:rFonts w:ascii="Times New Roman" w:eastAsia="Times New Roman" w:hAnsi="Times New Roman" w:cs="Times New Roman"/>
          <w:i/>
          <w:lang w:eastAsia="ru-RU"/>
        </w:rPr>
      </w:pPr>
      <w:r w:rsidRPr="00050302">
        <w:rPr>
          <w:rFonts w:ascii="Times New Roman" w:eastAsia="Times New Roman" w:hAnsi="Times New Roman" w:cs="Times New Roman"/>
          <w:i/>
          <w:lang w:eastAsia="ru-RU"/>
        </w:rPr>
        <w:t>Обо всех рисках предупрежден (а), они мне разъяснены и понятны:__</w:t>
      </w:r>
      <w:r w:rsidR="00050302" w:rsidRPr="00050302">
        <w:rPr>
          <w:rFonts w:ascii="Times New Roman" w:eastAsia="Times New Roman" w:hAnsi="Times New Roman" w:cs="Times New Roman"/>
          <w:i/>
          <w:lang w:eastAsia="ru-RU"/>
        </w:rPr>
        <w:t>______________/______________</w:t>
      </w:r>
    </w:p>
    <w:p w:rsidR="00B44EB2" w:rsidRPr="00050302" w:rsidRDefault="00B44EB2" w:rsidP="001460C3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i/>
          <w:lang w:eastAsia="ru-RU"/>
        </w:rPr>
      </w:pPr>
    </w:p>
    <w:p w:rsidR="00C12EFD" w:rsidRDefault="00C12EFD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39412E" w:rsidRDefault="0039412E" w:rsidP="00C12EFD">
      <w:pPr>
        <w:spacing w:after="0" w:line="240" w:lineRule="auto"/>
        <w:ind w:firstLine="709"/>
        <w:jc w:val="both"/>
        <w:rPr>
          <w:rFonts w:ascii="Times New Roman" w:eastAsia="Times New Roman" w:hAnsi="Times New Roman" w:cs="Times New Roman"/>
          <w:lang w:eastAsia="ru-RU"/>
        </w:rPr>
      </w:pPr>
    </w:p>
    <w:p w:rsidR="00C12EFD" w:rsidRDefault="00593E84" w:rsidP="00C12EFD">
      <w:pPr>
        <w:spacing w:after="0" w:line="240" w:lineRule="auto"/>
        <w:jc w:val="both"/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eastAsia="ru-RU"/>
        </w:rPr>
        <w:t>Нормативная база отчета</w:t>
      </w:r>
      <w:r w:rsidR="00C12EFD">
        <w:rPr>
          <w:rFonts w:ascii="Times New Roman" w:eastAsia="Times New Roman" w:hAnsi="Times New Roman" w:cs="Times New Roman"/>
          <w:lang w:eastAsia="ru-RU"/>
        </w:rPr>
        <w:t>: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Конституция Российской Федерации;</w:t>
      </w:r>
    </w:p>
    <w:p w:rsidR="00C12EFD" w:rsidRP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 xml:space="preserve">Арбитражный процессуальный кодекс Российской Федерации </w:t>
      </w:r>
      <w:r w:rsidRPr="00C12EFD">
        <w:rPr>
          <w:rFonts w:ascii="Times New Roman" w:eastAsia="Times New Roman" w:hAnsi="Times New Roman" w:cs="Times New Roman"/>
          <w:color w:val="000000" w:themeColor="text1"/>
          <w:lang w:eastAsia="ru-RU"/>
        </w:rPr>
        <w:t>от 24.07.2002 № 95-ФЗ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Гражданский процессуальный кодекс Российской Федерации от 14.11.2002 № 138-ФЗ</w:t>
      </w:r>
    </w:p>
    <w:p w:rsidR="00C12EFD" w:rsidRDefault="00C12EFD" w:rsidP="00C12EFD">
      <w:pPr>
        <w:pStyle w:val="af4"/>
        <w:numPr>
          <w:ilvl w:val="0"/>
          <w:numId w:val="19"/>
        </w:numPr>
        <w:spacing w:after="0" w:line="240" w:lineRule="auto"/>
        <w:jc w:val="both"/>
        <w:rPr>
          <w:rFonts w:ascii="Times New Roman" w:hAnsi="Times New Roman" w:cs="Times New Roman"/>
        </w:rPr>
      </w:pPr>
      <w:r w:rsidRPr="00C12EFD">
        <w:rPr>
          <w:rFonts w:ascii="Times New Roman" w:hAnsi="Times New Roman" w:cs="Times New Roman"/>
        </w:rPr>
        <w:t>Федеральный закон «О несостоятельности (банкротстве)» от 26.10.2002 № 127-ФЗ</w:t>
      </w: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E34589" w:rsidRDefault="00E34589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p w:rsidR="00593E84" w:rsidRDefault="00593E84" w:rsidP="009D6E12">
      <w:pPr>
        <w:pStyle w:val="af4"/>
        <w:spacing w:after="0" w:line="240" w:lineRule="auto"/>
        <w:jc w:val="right"/>
        <w:rPr>
          <w:rFonts w:ascii="Times New Roman" w:hAnsi="Times New Roman"/>
          <w:sz w:val="20"/>
          <w:szCs w:val="20"/>
        </w:rPr>
      </w:pPr>
    </w:p>
    <w:sectPr w:rsidR="00593E84" w:rsidSect="00C02795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851" w:right="850" w:bottom="709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47796" w:rsidRDefault="00047796">
      <w:pPr>
        <w:spacing w:after="0" w:line="240" w:lineRule="auto"/>
      </w:pPr>
      <w:r>
        <w:separator/>
      </w:r>
    </w:p>
  </w:endnote>
  <w:endnote w:type="continuationSeparator" w:id="1">
    <w:p w:rsidR="00047796" w:rsidRDefault="000477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CC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c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47796" w:rsidRDefault="00047796">
      <w:pPr>
        <w:spacing w:after="0" w:line="240" w:lineRule="auto"/>
      </w:pPr>
      <w:r>
        <w:separator/>
      </w:r>
    </w:p>
  </w:footnote>
  <w:footnote w:type="continuationSeparator" w:id="1">
    <w:p w:rsidR="00047796" w:rsidRDefault="000477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9412E" w:rsidRDefault="0039412E">
    <w:pPr>
      <w:pStyle w:val="aa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4136BB"/>
    <w:multiLevelType w:val="hybridMultilevel"/>
    <w:tmpl w:val="B622E10E"/>
    <w:lvl w:ilvl="0" w:tplc="83D28408">
      <w:start w:val="5"/>
      <w:numFmt w:val="decimal"/>
      <w:lvlText w:val="%1."/>
      <w:lvlJc w:val="left"/>
      <w:pPr>
        <w:tabs>
          <w:tab w:val="num" w:pos="4897"/>
        </w:tabs>
        <w:ind w:left="4897" w:hanging="360"/>
      </w:pPr>
    </w:lvl>
    <w:lvl w:ilvl="1" w:tplc="8642FA46">
      <w:start w:val="1"/>
      <w:numFmt w:val="decimal"/>
      <w:lvlText w:val="%2."/>
      <w:lvlJc w:val="left"/>
      <w:pPr>
        <w:tabs>
          <w:tab w:val="num" w:pos="5617"/>
        </w:tabs>
        <w:ind w:left="5617" w:hanging="360"/>
      </w:pPr>
    </w:lvl>
    <w:lvl w:ilvl="2" w:tplc="13B694A8">
      <w:start w:val="1"/>
      <w:numFmt w:val="decimal"/>
      <w:lvlText w:val="%3."/>
      <w:lvlJc w:val="left"/>
      <w:pPr>
        <w:tabs>
          <w:tab w:val="num" w:pos="6337"/>
        </w:tabs>
        <w:ind w:left="6337" w:hanging="360"/>
      </w:pPr>
    </w:lvl>
    <w:lvl w:ilvl="3" w:tplc="9932B862">
      <w:start w:val="1"/>
      <w:numFmt w:val="decimal"/>
      <w:lvlText w:val="%4."/>
      <w:lvlJc w:val="left"/>
      <w:pPr>
        <w:tabs>
          <w:tab w:val="num" w:pos="7057"/>
        </w:tabs>
        <w:ind w:left="7057" w:hanging="360"/>
      </w:pPr>
    </w:lvl>
    <w:lvl w:ilvl="4" w:tplc="409E76D8">
      <w:start w:val="1"/>
      <w:numFmt w:val="decimal"/>
      <w:lvlText w:val="%5."/>
      <w:lvlJc w:val="left"/>
      <w:pPr>
        <w:tabs>
          <w:tab w:val="num" w:pos="7777"/>
        </w:tabs>
        <w:ind w:left="7777" w:hanging="360"/>
      </w:pPr>
    </w:lvl>
    <w:lvl w:ilvl="5" w:tplc="C7AED02A">
      <w:start w:val="1"/>
      <w:numFmt w:val="decimal"/>
      <w:lvlText w:val="%6."/>
      <w:lvlJc w:val="left"/>
      <w:pPr>
        <w:tabs>
          <w:tab w:val="num" w:pos="8497"/>
        </w:tabs>
        <w:ind w:left="8497" w:hanging="360"/>
      </w:pPr>
    </w:lvl>
    <w:lvl w:ilvl="6" w:tplc="56488814">
      <w:start w:val="1"/>
      <w:numFmt w:val="decimal"/>
      <w:lvlText w:val="%7."/>
      <w:lvlJc w:val="left"/>
      <w:pPr>
        <w:tabs>
          <w:tab w:val="num" w:pos="9217"/>
        </w:tabs>
        <w:ind w:left="9217" w:hanging="360"/>
      </w:pPr>
    </w:lvl>
    <w:lvl w:ilvl="7" w:tplc="CB20193C">
      <w:start w:val="1"/>
      <w:numFmt w:val="decimal"/>
      <w:lvlText w:val="%8."/>
      <w:lvlJc w:val="left"/>
      <w:pPr>
        <w:tabs>
          <w:tab w:val="num" w:pos="9937"/>
        </w:tabs>
        <w:ind w:left="9937" w:hanging="360"/>
      </w:pPr>
    </w:lvl>
    <w:lvl w:ilvl="8" w:tplc="7654FA64">
      <w:start w:val="1"/>
      <w:numFmt w:val="decimal"/>
      <w:lvlText w:val="%9."/>
      <w:lvlJc w:val="left"/>
      <w:pPr>
        <w:tabs>
          <w:tab w:val="num" w:pos="10657"/>
        </w:tabs>
        <w:ind w:left="10657" w:hanging="360"/>
      </w:pPr>
    </w:lvl>
  </w:abstractNum>
  <w:abstractNum w:abstractNumId="1">
    <w:nsid w:val="0F8754C2"/>
    <w:multiLevelType w:val="hybridMultilevel"/>
    <w:tmpl w:val="5A56F1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F74C49"/>
    <w:multiLevelType w:val="hybridMultilevel"/>
    <w:tmpl w:val="7F7087D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14D020D8"/>
    <w:multiLevelType w:val="hybridMultilevel"/>
    <w:tmpl w:val="82EABE9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52F524F"/>
    <w:multiLevelType w:val="hybridMultilevel"/>
    <w:tmpl w:val="E5D6073E"/>
    <w:lvl w:ilvl="0" w:tplc="0FAA60A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D3C44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2207A2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9DAFC5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3A0731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4803E2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CCE255A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6984B44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8A22A6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75F52C7"/>
    <w:multiLevelType w:val="hybridMultilevel"/>
    <w:tmpl w:val="F6F0F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1B60B87"/>
    <w:multiLevelType w:val="hybridMultilevel"/>
    <w:tmpl w:val="DA16294A"/>
    <w:lvl w:ilvl="0" w:tplc="6D6061A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5540E1F8">
      <w:start w:val="1"/>
      <w:numFmt w:val="lowerLetter"/>
      <w:lvlText w:val="%2."/>
      <w:lvlJc w:val="left"/>
      <w:pPr>
        <w:ind w:left="1647" w:hanging="360"/>
      </w:pPr>
    </w:lvl>
    <w:lvl w:ilvl="2" w:tplc="860AD522">
      <w:start w:val="1"/>
      <w:numFmt w:val="lowerRoman"/>
      <w:lvlText w:val="%3."/>
      <w:lvlJc w:val="right"/>
      <w:pPr>
        <w:ind w:left="2367" w:hanging="180"/>
      </w:pPr>
    </w:lvl>
    <w:lvl w:ilvl="3" w:tplc="0BE6BCDA">
      <w:start w:val="1"/>
      <w:numFmt w:val="decimal"/>
      <w:lvlText w:val="%4."/>
      <w:lvlJc w:val="left"/>
      <w:pPr>
        <w:ind w:left="3087" w:hanging="360"/>
      </w:pPr>
    </w:lvl>
    <w:lvl w:ilvl="4" w:tplc="AD7AA372">
      <w:start w:val="1"/>
      <w:numFmt w:val="lowerLetter"/>
      <w:lvlText w:val="%5."/>
      <w:lvlJc w:val="left"/>
      <w:pPr>
        <w:ind w:left="3807" w:hanging="360"/>
      </w:pPr>
    </w:lvl>
    <w:lvl w:ilvl="5" w:tplc="EBCCA0BA">
      <w:start w:val="1"/>
      <w:numFmt w:val="lowerRoman"/>
      <w:lvlText w:val="%6."/>
      <w:lvlJc w:val="right"/>
      <w:pPr>
        <w:ind w:left="4527" w:hanging="180"/>
      </w:pPr>
    </w:lvl>
    <w:lvl w:ilvl="6" w:tplc="81BA1AA6">
      <w:start w:val="1"/>
      <w:numFmt w:val="decimal"/>
      <w:lvlText w:val="%7."/>
      <w:lvlJc w:val="left"/>
      <w:pPr>
        <w:ind w:left="5247" w:hanging="360"/>
      </w:pPr>
    </w:lvl>
    <w:lvl w:ilvl="7" w:tplc="A7060ADE">
      <w:start w:val="1"/>
      <w:numFmt w:val="lowerLetter"/>
      <w:lvlText w:val="%8."/>
      <w:lvlJc w:val="left"/>
      <w:pPr>
        <w:ind w:left="5967" w:hanging="360"/>
      </w:pPr>
    </w:lvl>
    <w:lvl w:ilvl="8" w:tplc="63147E78">
      <w:start w:val="1"/>
      <w:numFmt w:val="lowerRoman"/>
      <w:lvlText w:val="%9."/>
      <w:lvlJc w:val="right"/>
      <w:pPr>
        <w:ind w:left="6687" w:hanging="180"/>
      </w:pPr>
    </w:lvl>
  </w:abstractNum>
  <w:abstractNum w:abstractNumId="7">
    <w:nsid w:val="21F90DAD"/>
    <w:multiLevelType w:val="hybridMultilevel"/>
    <w:tmpl w:val="957E81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3081D48"/>
    <w:multiLevelType w:val="hybridMultilevel"/>
    <w:tmpl w:val="FF0ABD4E"/>
    <w:lvl w:ilvl="0" w:tplc="0B46B96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D6EB6E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53CABB8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A0E688C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AEA61F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E4A579E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D06FBD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F7C838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59069E0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63B693E"/>
    <w:multiLevelType w:val="hybridMultilevel"/>
    <w:tmpl w:val="8EE08AB0"/>
    <w:lvl w:ilvl="0" w:tplc="16FE759E">
      <w:start w:val="1"/>
      <w:numFmt w:val="bullet"/>
      <w:lvlText w:val="–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A83CA694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 w:tplc="E83A76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/>
      </w:rPr>
    </w:lvl>
    <w:lvl w:ilvl="3" w:tplc="3A1003A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</w:rPr>
    </w:lvl>
    <w:lvl w:ilvl="4" w:tplc="8626C88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 w:tplc="FDA67A3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/>
      </w:rPr>
    </w:lvl>
    <w:lvl w:ilvl="6" w:tplc="9BFA5DE0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</w:rPr>
    </w:lvl>
    <w:lvl w:ilvl="7" w:tplc="E98A0C0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 w:tplc="1764B564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/>
      </w:rPr>
    </w:lvl>
  </w:abstractNum>
  <w:abstractNum w:abstractNumId="10">
    <w:nsid w:val="27831382"/>
    <w:multiLevelType w:val="hybridMultilevel"/>
    <w:tmpl w:val="43A45D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9D75483"/>
    <w:multiLevelType w:val="hybridMultilevel"/>
    <w:tmpl w:val="FC4EECD2"/>
    <w:lvl w:ilvl="0" w:tplc="B6103BE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B8CE4CC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066A64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E62C58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F826E7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88A2DF0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7B0D7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D9E604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270CDEA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DBC53E3"/>
    <w:multiLevelType w:val="multilevel"/>
    <w:tmpl w:val="49EE9B5A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4"/>
      <w:numFmt w:val="decimal"/>
      <w:isLgl/>
      <w:lvlText w:val="%1.%2."/>
      <w:lvlJc w:val="left"/>
      <w:pPr>
        <w:ind w:left="831" w:hanging="405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46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50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506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66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6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26" w:hanging="1800"/>
      </w:pPr>
      <w:rPr>
        <w:rFonts w:hint="default"/>
      </w:rPr>
    </w:lvl>
  </w:abstractNum>
  <w:abstractNum w:abstractNumId="13">
    <w:nsid w:val="2DC22E10"/>
    <w:multiLevelType w:val="hybridMultilevel"/>
    <w:tmpl w:val="AA46D1C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2ECE5C44"/>
    <w:multiLevelType w:val="hybridMultilevel"/>
    <w:tmpl w:val="F1807A36"/>
    <w:lvl w:ilvl="0" w:tplc="E8E062F2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B86F85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220721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71889A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EAAED4A6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727972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1F62838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37C046B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60C770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2ED37EF4"/>
    <w:multiLevelType w:val="hybridMultilevel"/>
    <w:tmpl w:val="7666AB6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>
    <w:nsid w:val="32343F6B"/>
    <w:multiLevelType w:val="hybridMultilevel"/>
    <w:tmpl w:val="8B9E9300"/>
    <w:lvl w:ilvl="0" w:tplc="041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526291C"/>
    <w:multiLevelType w:val="hybridMultilevel"/>
    <w:tmpl w:val="B4A2271E"/>
    <w:lvl w:ilvl="0" w:tplc="2676FED2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60263168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C5DE6C6A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6FA10B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B86FEB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31A16FC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1E8A43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D60750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D62C3B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3A1B67FC"/>
    <w:multiLevelType w:val="hybridMultilevel"/>
    <w:tmpl w:val="00B8D1E2"/>
    <w:lvl w:ilvl="0" w:tplc="5BFC6168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4A9CC3A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6EE2D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4667236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0E8DC9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B5EEF4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60CE04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76E0EE8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A6827E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3B310EE6"/>
    <w:multiLevelType w:val="hybridMultilevel"/>
    <w:tmpl w:val="7BCA923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3EE1728B"/>
    <w:multiLevelType w:val="hybridMultilevel"/>
    <w:tmpl w:val="96EC74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1838D4"/>
    <w:multiLevelType w:val="hybridMultilevel"/>
    <w:tmpl w:val="AE768E08"/>
    <w:lvl w:ilvl="0" w:tplc="57E8B45E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plc="31E8E5F8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plc="D8A6003C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plc="5844887A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plc="3FF6357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plc="57E0A956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plc="E02A685C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plc="F882246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plc="D902CAC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nsid w:val="49952383"/>
    <w:multiLevelType w:val="hybridMultilevel"/>
    <w:tmpl w:val="379015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F45556E"/>
    <w:multiLevelType w:val="multilevel"/>
    <w:tmpl w:val="44E09F7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50B32B4D"/>
    <w:multiLevelType w:val="hybridMultilevel"/>
    <w:tmpl w:val="E3D4D7CA"/>
    <w:lvl w:ilvl="0" w:tplc="E98AD734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FF2E476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F08FE7E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EF7E4E20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BD04BD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FD00448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57435C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402362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321009EC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21945DC"/>
    <w:multiLevelType w:val="hybridMultilevel"/>
    <w:tmpl w:val="79B21170"/>
    <w:lvl w:ilvl="0" w:tplc="3D7AE436">
      <w:start w:val="1"/>
      <w:numFmt w:val="decimal"/>
      <w:lvlText w:val="%1."/>
      <w:lvlJc w:val="left"/>
      <w:pPr>
        <w:ind w:left="1069" w:hanging="360"/>
      </w:pPr>
      <w:rPr>
        <w:rFonts w:ascii="Times New Roman" w:eastAsia="Calibr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6">
    <w:nsid w:val="541B630F"/>
    <w:multiLevelType w:val="hybridMultilevel"/>
    <w:tmpl w:val="F7D2CDE4"/>
    <w:lvl w:ilvl="0" w:tplc="412ED1A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586217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E44B2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4C4F91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1D6B9B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616651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7D6E3E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CA08692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66F062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>
    <w:nsid w:val="571F04B0"/>
    <w:multiLevelType w:val="hybridMultilevel"/>
    <w:tmpl w:val="1F80B2D6"/>
    <w:lvl w:ilvl="0" w:tplc="302A2956">
      <w:start w:val="1"/>
      <w:numFmt w:val="bullet"/>
      <w:lvlText w:val="–"/>
      <w:lvlJc w:val="left"/>
      <w:pPr>
        <w:ind w:left="1249" w:hanging="360"/>
      </w:pPr>
      <w:rPr>
        <w:rFonts w:ascii="Arial" w:eastAsia="Arial" w:hAnsi="Arial" w:cs="Arial"/>
      </w:rPr>
    </w:lvl>
    <w:lvl w:ilvl="1" w:tplc="0EC29720">
      <w:start w:val="1"/>
      <w:numFmt w:val="bullet"/>
      <w:lvlText w:val="o"/>
      <w:lvlJc w:val="left"/>
      <w:pPr>
        <w:ind w:left="1969" w:hanging="360"/>
      </w:pPr>
      <w:rPr>
        <w:rFonts w:ascii="Courier New" w:eastAsia="Courier New" w:hAnsi="Courier New" w:cs="Courier New"/>
      </w:rPr>
    </w:lvl>
    <w:lvl w:ilvl="2" w:tplc="21BEC39C">
      <w:start w:val="1"/>
      <w:numFmt w:val="bullet"/>
      <w:lvlText w:val="§"/>
      <w:lvlJc w:val="left"/>
      <w:pPr>
        <w:ind w:left="2689" w:hanging="360"/>
      </w:pPr>
      <w:rPr>
        <w:rFonts w:ascii="Wingdings" w:eastAsia="Wingdings" w:hAnsi="Wingdings" w:cs="Wingdings"/>
      </w:rPr>
    </w:lvl>
    <w:lvl w:ilvl="3" w:tplc="CEF62980">
      <w:start w:val="1"/>
      <w:numFmt w:val="bullet"/>
      <w:lvlText w:val="·"/>
      <w:lvlJc w:val="left"/>
      <w:pPr>
        <w:ind w:left="3409" w:hanging="360"/>
      </w:pPr>
      <w:rPr>
        <w:rFonts w:ascii="Symbol" w:eastAsia="Symbol" w:hAnsi="Symbol" w:cs="Symbol"/>
      </w:rPr>
    </w:lvl>
    <w:lvl w:ilvl="4" w:tplc="56509CD4">
      <w:start w:val="1"/>
      <w:numFmt w:val="bullet"/>
      <w:lvlText w:val="o"/>
      <w:lvlJc w:val="left"/>
      <w:pPr>
        <w:ind w:left="4129" w:hanging="360"/>
      </w:pPr>
      <w:rPr>
        <w:rFonts w:ascii="Courier New" w:eastAsia="Courier New" w:hAnsi="Courier New" w:cs="Courier New"/>
      </w:rPr>
    </w:lvl>
    <w:lvl w:ilvl="5" w:tplc="1EE226C2">
      <w:start w:val="1"/>
      <w:numFmt w:val="bullet"/>
      <w:lvlText w:val="§"/>
      <w:lvlJc w:val="left"/>
      <w:pPr>
        <w:ind w:left="4849" w:hanging="360"/>
      </w:pPr>
      <w:rPr>
        <w:rFonts w:ascii="Wingdings" w:eastAsia="Wingdings" w:hAnsi="Wingdings" w:cs="Wingdings"/>
      </w:rPr>
    </w:lvl>
    <w:lvl w:ilvl="6" w:tplc="618EE6C8">
      <w:start w:val="1"/>
      <w:numFmt w:val="bullet"/>
      <w:lvlText w:val="·"/>
      <w:lvlJc w:val="left"/>
      <w:pPr>
        <w:ind w:left="5569" w:hanging="360"/>
      </w:pPr>
      <w:rPr>
        <w:rFonts w:ascii="Symbol" w:eastAsia="Symbol" w:hAnsi="Symbol" w:cs="Symbol"/>
      </w:rPr>
    </w:lvl>
    <w:lvl w:ilvl="7" w:tplc="4C20CD4C">
      <w:start w:val="1"/>
      <w:numFmt w:val="bullet"/>
      <w:lvlText w:val="o"/>
      <w:lvlJc w:val="left"/>
      <w:pPr>
        <w:ind w:left="6289" w:hanging="360"/>
      </w:pPr>
      <w:rPr>
        <w:rFonts w:ascii="Courier New" w:eastAsia="Courier New" w:hAnsi="Courier New" w:cs="Courier New"/>
      </w:rPr>
    </w:lvl>
    <w:lvl w:ilvl="8" w:tplc="6D0E0E2A">
      <w:start w:val="1"/>
      <w:numFmt w:val="bullet"/>
      <w:lvlText w:val="§"/>
      <w:lvlJc w:val="left"/>
      <w:pPr>
        <w:ind w:left="7009" w:hanging="360"/>
      </w:pPr>
      <w:rPr>
        <w:rFonts w:ascii="Wingdings" w:eastAsia="Wingdings" w:hAnsi="Wingdings" w:cs="Wingdings"/>
      </w:rPr>
    </w:lvl>
  </w:abstractNum>
  <w:abstractNum w:abstractNumId="28">
    <w:nsid w:val="66784F53"/>
    <w:multiLevelType w:val="hybridMultilevel"/>
    <w:tmpl w:val="C09009C0"/>
    <w:lvl w:ilvl="0" w:tplc="041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A788A0C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3D2690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42E8C4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A361F6E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9BC9CC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E6C6CB4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A38DDEC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7A0F816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>
    <w:nsid w:val="71552B46"/>
    <w:multiLevelType w:val="hybridMultilevel"/>
    <w:tmpl w:val="CB8EA0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43600B3"/>
    <w:multiLevelType w:val="hybridMultilevel"/>
    <w:tmpl w:val="09C8AD6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1">
    <w:nsid w:val="7DA3263C"/>
    <w:multiLevelType w:val="hybridMultilevel"/>
    <w:tmpl w:val="23AE17EA"/>
    <w:lvl w:ilvl="0" w:tplc="DDBE77D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bCs/>
      </w:rPr>
    </w:lvl>
    <w:lvl w:ilvl="1" w:tplc="E6EEED1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17382AA0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00C7FDE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CB2E41D8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6C4F3B6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366702C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1067CD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AFCE14E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>
    <w:nsid w:val="7EE72DB3"/>
    <w:multiLevelType w:val="hybridMultilevel"/>
    <w:tmpl w:val="E334CF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28"/>
  </w:num>
  <w:num w:numId="3">
    <w:abstractNumId w:val="18"/>
  </w:num>
  <w:num w:numId="4">
    <w:abstractNumId w:val="31"/>
  </w:num>
  <w:num w:numId="5">
    <w:abstractNumId w:val="4"/>
  </w:num>
  <w:num w:numId="6">
    <w:abstractNumId w:val="8"/>
  </w:num>
  <w:num w:numId="7">
    <w:abstractNumId w:val="14"/>
  </w:num>
  <w:num w:numId="8">
    <w:abstractNumId w:val="24"/>
  </w:num>
  <w:num w:numId="9">
    <w:abstractNumId w:val="0"/>
  </w:num>
  <w:num w:numId="10">
    <w:abstractNumId w:val="26"/>
  </w:num>
  <w:num w:numId="11">
    <w:abstractNumId w:val="17"/>
  </w:num>
  <w:num w:numId="12">
    <w:abstractNumId w:val="6"/>
  </w:num>
  <w:num w:numId="13">
    <w:abstractNumId w:val="21"/>
  </w:num>
  <w:num w:numId="14">
    <w:abstractNumId w:val="27"/>
  </w:num>
  <w:num w:numId="15">
    <w:abstractNumId w:val="9"/>
  </w:num>
  <w:num w:numId="16">
    <w:abstractNumId w:val="23"/>
  </w:num>
  <w:num w:numId="17">
    <w:abstractNumId w:val="20"/>
  </w:num>
  <w:num w:numId="18">
    <w:abstractNumId w:val="15"/>
  </w:num>
  <w:num w:numId="19">
    <w:abstractNumId w:val="1"/>
  </w:num>
  <w:num w:numId="20">
    <w:abstractNumId w:val="3"/>
  </w:num>
  <w:num w:numId="21">
    <w:abstractNumId w:val="19"/>
  </w:num>
  <w:num w:numId="22">
    <w:abstractNumId w:val="13"/>
  </w:num>
  <w:num w:numId="23">
    <w:abstractNumId w:val="16"/>
  </w:num>
  <w:num w:numId="24">
    <w:abstractNumId w:val="2"/>
  </w:num>
  <w:num w:numId="25">
    <w:abstractNumId w:val="29"/>
  </w:num>
  <w:num w:numId="26">
    <w:abstractNumId w:val="30"/>
  </w:num>
  <w:num w:numId="27">
    <w:abstractNumId w:val="7"/>
  </w:num>
  <w:num w:numId="28">
    <w:abstractNumId w:val="10"/>
  </w:num>
  <w:num w:numId="29">
    <w:abstractNumId w:val="22"/>
  </w:num>
  <w:num w:numId="30">
    <w:abstractNumId w:val="32"/>
  </w:num>
  <w:num w:numId="31">
    <w:abstractNumId w:val="5"/>
  </w:num>
  <w:num w:numId="32">
    <w:abstractNumId w:val="12"/>
  </w:num>
  <w:num w:numId="33">
    <w:abstractNumId w:val="2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defaultTabStop w:val="708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4187"/>
    <w:rsid w:val="00001225"/>
    <w:rsid w:val="00002F35"/>
    <w:rsid w:val="00005BBE"/>
    <w:rsid w:val="00016B03"/>
    <w:rsid w:val="000226D7"/>
    <w:rsid w:val="000267C8"/>
    <w:rsid w:val="00035708"/>
    <w:rsid w:val="0004236B"/>
    <w:rsid w:val="00047796"/>
    <w:rsid w:val="00050302"/>
    <w:rsid w:val="0007114D"/>
    <w:rsid w:val="0007731E"/>
    <w:rsid w:val="0009244F"/>
    <w:rsid w:val="000A0347"/>
    <w:rsid w:val="000A22F2"/>
    <w:rsid w:val="000A3BB6"/>
    <w:rsid w:val="000C2B73"/>
    <w:rsid w:val="000D185E"/>
    <w:rsid w:val="000D306A"/>
    <w:rsid w:val="000D4F7A"/>
    <w:rsid w:val="000E1430"/>
    <w:rsid w:val="000F2571"/>
    <w:rsid w:val="00107570"/>
    <w:rsid w:val="001100BC"/>
    <w:rsid w:val="001155B7"/>
    <w:rsid w:val="001173DD"/>
    <w:rsid w:val="00126152"/>
    <w:rsid w:val="00126B73"/>
    <w:rsid w:val="00145005"/>
    <w:rsid w:val="001460C3"/>
    <w:rsid w:val="00164214"/>
    <w:rsid w:val="001669A1"/>
    <w:rsid w:val="00167351"/>
    <w:rsid w:val="001856EF"/>
    <w:rsid w:val="00192BDD"/>
    <w:rsid w:val="001B38E9"/>
    <w:rsid w:val="001C67C5"/>
    <w:rsid w:val="001E30DF"/>
    <w:rsid w:val="001F52D9"/>
    <w:rsid w:val="00201153"/>
    <w:rsid w:val="0022123C"/>
    <w:rsid w:val="00223CAB"/>
    <w:rsid w:val="002363C1"/>
    <w:rsid w:val="00241A4D"/>
    <w:rsid w:val="00247C64"/>
    <w:rsid w:val="00261808"/>
    <w:rsid w:val="002645D0"/>
    <w:rsid w:val="00266B06"/>
    <w:rsid w:val="00266F58"/>
    <w:rsid w:val="00273DD0"/>
    <w:rsid w:val="00274835"/>
    <w:rsid w:val="00277FD3"/>
    <w:rsid w:val="00284436"/>
    <w:rsid w:val="00287366"/>
    <w:rsid w:val="002903F9"/>
    <w:rsid w:val="00291F4A"/>
    <w:rsid w:val="00296A5A"/>
    <w:rsid w:val="002A3A61"/>
    <w:rsid w:val="002A461A"/>
    <w:rsid w:val="002B232E"/>
    <w:rsid w:val="002B3100"/>
    <w:rsid w:val="002D18F5"/>
    <w:rsid w:val="002D3F13"/>
    <w:rsid w:val="002E373D"/>
    <w:rsid w:val="002E74FA"/>
    <w:rsid w:val="00301FFC"/>
    <w:rsid w:val="003131F5"/>
    <w:rsid w:val="00332533"/>
    <w:rsid w:val="00332B49"/>
    <w:rsid w:val="0033453E"/>
    <w:rsid w:val="003368EF"/>
    <w:rsid w:val="00336901"/>
    <w:rsid w:val="00362825"/>
    <w:rsid w:val="00372D5B"/>
    <w:rsid w:val="003855A2"/>
    <w:rsid w:val="0039412E"/>
    <w:rsid w:val="00397666"/>
    <w:rsid w:val="003A38A5"/>
    <w:rsid w:val="003A51DB"/>
    <w:rsid w:val="003A5B16"/>
    <w:rsid w:val="003B0B20"/>
    <w:rsid w:val="003D201F"/>
    <w:rsid w:val="003D6DBF"/>
    <w:rsid w:val="003E1690"/>
    <w:rsid w:val="003E2D2C"/>
    <w:rsid w:val="00403A0C"/>
    <w:rsid w:val="00405DEA"/>
    <w:rsid w:val="00411530"/>
    <w:rsid w:val="00415333"/>
    <w:rsid w:val="004211E6"/>
    <w:rsid w:val="00425E68"/>
    <w:rsid w:val="00437291"/>
    <w:rsid w:val="004465F8"/>
    <w:rsid w:val="00451EF8"/>
    <w:rsid w:val="00455BC3"/>
    <w:rsid w:val="00467597"/>
    <w:rsid w:val="00476AAB"/>
    <w:rsid w:val="0048150C"/>
    <w:rsid w:val="00490CF0"/>
    <w:rsid w:val="004B2E02"/>
    <w:rsid w:val="004B3B29"/>
    <w:rsid w:val="004C57B9"/>
    <w:rsid w:val="004D2D07"/>
    <w:rsid w:val="004E0E2C"/>
    <w:rsid w:val="004E7DF6"/>
    <w:rsid w:val="005035CB"/>
    <w:rsid w:val="00507F26"/>
    <w:rsid w:val="005108FE"/>
    <w:rsid w:val="00512512"/>
    <w:rsid w:val="005177C1"/>
    <w:rsid w:val="00521C48"/>
    <w:rsid w:val="00524F34"/>
    <w:rsid w:val="00556B34"/>
    <w:rsid w:val="00556FFC"/>
    <w:rsid w:val="00557B40"/>
    <w:rsid w:val="00560738"/>
    <w:rsid w:val="00563D5F"/>
    <w:rsid w:val="0056408B"/>
    <w:rsid w:val="00593E84"/>
    <w:rsid w:val="00596B8B"/>
    <w:rsid w:val="005A36A3"/>
    <w:rsid w:val="005A4199"/>
    <w:rsid w:val="005B29BA"/>
    <w:rsid w:val="005C6A73"/>
    <w:rsid w:val="005D0A28"/>
    <w:rsid w:val="005D0E7B"/>
    <w:rsid w:val="005D4ADE"/>
    <w:rsid w:val="005E0BBA"/>
    <w:rsid w:val="006079A8"/>
    <w:rsid w:val="0063342A"/>
    <w:rsid w:val="0063707D"/>
    <w:rsid w:val="00657281"/>
    <w:rsid w:val="00657B4B"/>
    <w:rsid w:val="00687D98"/>
    <w:rsid w:val="00691969"/>
    <w:rsid w:val="00695278"/>
    <w:rsid w:val="006B6E77"/>
    <w:rsid w:val="006C1053"/>
    <w:rsid w:val="006C31A9"/>
    <w:rsid w:val="006D593E"/>
    <w:rsid w:val="007001E3"/>
    <w:rsid w:val="00733F17"/>
    <w:rsid w:val="00735A2B"/>
    <w:rsid w:val="00743973"/>
    <w:rsid w:val="00763D1E"/>
    <w:rsid w:val="00767799"/>
    <w:rsid w:val="00771591"/>
    <w:rsid w:val="00787154"/>
    <w:rsid w:val="007A176D"/>
    <w:rsid w:val="007A345D"/>
    <w:rsid w:val="007B7766"/>
    <w:rsid w:val="007C1578"/>
    <w:rsid w:val="007C5328"/>
    <w:rsid w:val="007D28D4"/>
    <w:rsid w:val="007E0E3C"/>
    <w:rsid w:val="007E15CD"/>
    <w:rsid w:val="007F4E2A"/>
    <w:rsid w:val="00805FDC"/>
    <w:rsid w:val="008331F3"/>
    <w:rsid w:val="0083482F"/>
    <w:rsid w:val="00842CB0"/>
    <w:rsid w:val="00854F86"/>
    <w:rsid w:val="0086604C"/>
    <w:rsid w:val="00876F44"/>
    <w:rsid w:val="008805FD"/>
    <w:rsid w:val="008C5F05"/>
    <w:rsid w:val="008D6455"/>
    <w:rsid w:val="008E3C4C"/>
    <w:rsid w:val="008E5078"/>
    <w:rsid w:val="00906B92"/>
    <w:rsid w:val="00912352"/>
    <w:rsid w:val="00916BD5"/>
    <w:rsid w:val="009201C3"/>
    <w:rsid w:val="009529D0"/>
    <w:rsid w:val="00954108"/>
    <w:rsid w:val="009557D7"/>
    <w:rsid w:val="00961A0F"/>
    <w:rsid w:val="00977E15"/>
    <w:rsid w:val="00982555"/>
    <w:rsid w:val="009826BF"/>
    <w:rsid w:val="00993AB3"/>
    <w:rsid w:val="009C044B"/>
    <w:rsid w:val="009C3AE0"/>
    <w:rsid w:val="009D6E12"/>
    <w:rsid w:val="009E73F0"/>
    <w:rsid w:val="009F3F51"/>
    <w:rsid w:val="009F79A7"/>
    <w:rsid w:val="00A0663C"/>
    <w:rsid w:val="00A07E06"/>
    <w:rsid w:val="00A157E9"/>
    <w:rsid w:val="00A20DA2"/>
    <w:rsid w:val="00A3786C"/>
    <w:rsid w:val="00A512D6"/>
    <w:rsid w:val="00A704E5"/>
    <w:rsid w:val="00A70CB4"/>
    <w:rsid w:val="00A844F9"/>
    <w:rsid w:val="00A86E2F"/>
    <w:rsid w:val="00A879A7"/>
    <w:rsid w:val="00A91222"/>
    <w:rsid w:val="00AC3669"/>
    <w:rsid w:val="00AF1287"/>
    <w:rsid w:val="00B04A06"/>
    <w:rsid w:val="00B07C0C"/>
    <w:rsid w:val="00B44EB2"/>
    <w:rsid w:val="00B60315"/>
    <w:rsid w:val="00B81417"/>
    <w:rsid w:val="00B94727"/>
    <w:rsid w:val="00B9512E"/>
    <w:rsid w:val="00BD4B36"/>
    <w:rsid w:val="00BF6E79"/>
    <w:rsid w:val="00C02795"/>
    <w:rsid w:val="00C06916"/>
    <w:rsid w:val="00C12754"/>
    <w:rsid w:val="00C12EFD"/>
    <w:rsid w:val="00C17494"/>
    <w:rsid w:val="00C42D14"/>
    <w:rsid w:val="00C47CD5"/>
    <w:rsid w:val="00C52363"/>
    <w:rsid w:val="00C54705"/>
    <w:rsid w:val="00C615D6"/>
    <w:rsid w:val="00C62ECF"/>
    <w:rsid w:val="00C64822"/>
    <w:rsid w:val="00C72C20"/>
    <w:rsid w:val="00CF0F94"/>
    <w:rsid w:val="00D02BD7"/>
    <w:rsid w:val="00D1350C"/>
    <w:rsid w:val="00D63064"/>
    <w:rsid w:val="00D74AB5"/>
    <w:rsid w:val="00D7794A"/>
    <w:rsid w:val="00D962E9"/>
    <w:rsid w:val="00DC1726"/>
    <w:rsid w:val="00DC729C"/>
    <w:rsid w:val="00DD1C25"/>
    <w:rsid w:val="00DD30DD"/>
    <w:rsid w:val="00DD7283"/>
    <w:rsid w:val="00DE01B6"/>
    <w:rsid w:val="00DE4187"/>
    <w:rsid w:val="00E16E95"/>
    <w:rsid w:val="00E22490"/>
    <w:rsid w:val="00E236E0"/>
    <w:rsid w:val="00E31363"/>
    <w:rsid w:val="00E32797"/>
    <w:rsid w:val="00E34589"/>
    <w:rsid w:val="00E4279C"/>
    <w:rsid w:val="00E4451F"/>
    <w:rsid w:val="00E66407"/>
    <w:rsid w:val="00E7649D"/>
    <w:rsid w:val="00E7702E"/>
    <w:rsid w:val="00E77597"/>
    <w:rsid w:val="00EA093C"/>
    <w:rsid w:val="00EB72E3"/>
    <w:rsid w:val="00EC231F"/>
    <w:rsid w:val="00EE1E2B"/>
    <w:rsid w:val="00EE6DE1"/>
    <w:rsid w:val="00EE72F3"/>
    <w:rsid w:val="00EF2F5B"/>
    <w:rsid w:val="00F05907"/>
    <w:rsid w:val="00F07D37"/>
    <w:rsid w:val="00F1061A"/>
    <w:rsid w:val="00F10A9D"/>
    <w:rsid w:val="00F22CCA"/>
    <w:rsid w:val="00F508CD"/>
    <w:rsid w:val="00F52642"/>
    <w:rsid w:val="00F54052"/>
    <w:rsid w:val="00F5473C"/>
    <w:rsid w:val="00F71158"/>
    <w:rsid w:val="00F721EC"/>
    <w:rsid w:val="00F74506"/>
    <w:rsid w:val="00F767CB"/>
    <w:rsid w:val="00F84FB1"/>
    <w:rsid w:val="00FB38B9"/>
    <w:rsid w:val="00FC0B63"/>
    <w:rsid w:val="00FC159C"/>
    <w:rsid w:val="00FC5473"/>
    <w:rsid w:val="00FC6D03"/>
    <w:rsid w:val="00FE4281"/>
    <w:rsid w:val="00FF70F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en-US" w:bidi="ar-SA"/>
      </w:rPr>
    </w:rPrDefault>
    <w:pPrDefault>
      <w:pPr>
        <w:pBdr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  <w:between w:val="none" w:sz="4" w:space="0" w:color="000000"/>
        </w:pBd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63D1E"/>
  </w:style>
  <w:style w:type="paragraph" w:styleId="1">
    <w:name w:val="heading 1"/>
    <w:basedOn w:val="a"/>
    <w:next w:val="a"/>
    <w:link w:val="10"/>
    <w:uiPriority w:val="9"/>
    <w:qFormat/>
    <w:rsid w:val="00425E68"/>
    <w:pPr>
      <w:keepNext/>
      <w:keepLines/>
      <w:spacing w:before="480" w:after="20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425E68"/>
    <w:pPr>
      <w:keepNext/>
      <w:keepLines/>
      <w:spacing w:before="360" w:after="20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rsid w:val="00425E68"/>
    <w:pPr>
      <w:keepNext/>
      <w:keepLines/>
      <w:spacing w:before="320" w:after="20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rsid w:val="00425E68"/>
    <w:pPr>
      <w:keepNext/>
      <w:keepLines/>
      <w:spacing w:before="320" w:after="20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rsid w:val="00425E68"/>
    <w:pPr>
      <w:keepNext/>
      <w:keepLines/>
      <w:spacing w:before="320" w:after="20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rsid w:val="00425E68"/>
    <w:pPr>
      <w:keepNext/>
      <w:keepLines/>
      <w:spacing w:before="320" w:after="20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425E68"/>
    <w:pPr>
      <w:keepNext/>
      <w:keepLines/>
      <w:spacing w:before="320" w:after="20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rsid w:val="00425E68"/>
    <w:pPr>
      <w:keepNext/>
      <w:keepLines/>
      <w:spacing w:before="320" w:after="20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rsid w:val="00425E68"/>
    <w:pPr>
      <w:keepNext/>
      <w:keepLines/>
      <w:spacing w:before="320" w:after="20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25E68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425E68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sid w:val="00425E68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sid w:val="00425E68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sid w:val="00425E68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sid w:val="00425E68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sid w:val="00425E68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sid w:val="00425E68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sid w:val="00425E68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rsid w:val="00425E68"/>
    <w:pPr>
      <w:spacing w:after="0" w:line="240" w:lineRule="auto"/>
    </w:pPr>
  </w:style>
  <w:style w:type="paragraph" w:styleId="a4">
    <w:name w:val="Title"/>
    <w:basedOn w:val="a"/>
    <w:next w:val="a"/>
    <w:link w:val="a5"/>
    <w:uiPriority w:val="10"/>
    <w:qFormat/>
    <w:rsid w:val="00425E68"/>
    <w:pPr>
      <w:spacing w:before="300" w:after="200"/>
      <w:contextualSpacing/>
    </w:pPr>
    <w:rPr>
      <w:sz w:val="48"/>
      <w:szCs w:val="48"/>
    </w:rPr>
  </w:style>
  <w:style w:type="character" w:customStyle="1" w:styleId="a5">
    <w:name w:val="Название Знак"/>
    <w:basedOn w:val="a0"/>
    <w:link w:val="a4"/>
    <w:uiPriority w:val="10"/>
    <w:rsid w:val="00425E68"/>
    <w:rPr>
      <w:sz w:val="48"/>
      <w:szCs w:val="48"/>
    </w:rPr>
  </w:style>
  <w:style w:type="paragraph" w:styleId="a6">
    <w:name w:val="Subtitle"/>
    <w:basedOn w:val="a"/>
    <w:next w:val="a"/>
    <w:link w:val="a7"/>
    <w:uiPriority w:val="11"/>
    <w:qFormat/>
    <w:rsid w:val="00425E68"/>
    <w:pPr>
      <w:spacing w:before="200" w:after="200"/>
    </w:pPr>
    <w:rPr>
      <w:sz w:val="24"/>
      <w:szCs w:val="24"/>
    </w:rPr>
  </w:style>
  <w:style w:type="character" w:customStyle="1" w:styleId="a7">
    <w:name w:val="Подзаголовок Знак"/>
    <w:basedOn w:val="a0"/>
    <w:link w:val="a6"/>
    <w:uiPriority w:val="11"/>
    <w:rsid w:val="00425E68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rsid w:val="00425E68"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sid w:val="00425E68"/>
    <w:rPr>
      <w:i/>
    </w:rPr>
  </w:style>
  <w:style w:type="paragraph" w:styleId="a8">
    <w:name w:val="Intense Quote"/>
    <w:basedOn w:val="a"/>
    <w:next w:val="a"/>
    <w:link w:val="a9"/>
    <w:uiPriority w:val="30"/>
    <w:qFormat/>
    <w:rsid w:val="00425E68"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sid w:val="00425E68"/>
    <w:rPr>
      <w:i/>
    </w:rPr>
  </w:style>
  <w:style w:type="paragraph" w:styleId="aa">
    <w:name w:val="header"/>
    <w:basedOn w:val="a"/>
    <w:link w:val="ab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425E68"/>
  </w:style>
  <w:style w:type="paragraph" w:styleId="ac">
    <w:name w:val="footer"/>
    <w:basedOn w:val="a"/>
    <w:link w:val="ad"/>
    <w:uiPriority w:val="99"/>
    <w:unhideWhenUsed/>
    <w:rsid w:val="00425E68"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basedOn w:val="a0"/>
    <w:uiPriority w:val="99"/>
    <w:rsid w:val="00425E68"/>
  </w:style>
  <w:style w:type="paragraph" w:styleId="ae">
    <w:name w:val="caption"/>
    <w:basedOn w:val="a"/>
    <w:next w:val="a"/>
    <w:uiPriority w:val="35"/>
    <w:semiHidden/>
    <w:unhideWhenUsed/>
    <w:qFormat/>
    <w:rsid w:val="00425E68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customStyle="1" w:styleId="ad">
    <w:name w:val="Нижний колонтитул Знак"/>
    <w:link w:val="ac"/>
    <w:uiPriority w:val="99"/>
    <w:rsid w:val="00425E68"/>
  </w:style>
  <w:style w:type="table" w:styleId="af">
    <w:name w:val="Table Grid"/>
    <w:basedOn w:val="a1"/>
    <w:uiPriority w:val="39"/>
    <w:rsid w:val="00425E68"/>
    <w:pPr>
      <w:spacing w:after="0" w:line="240" w:lineRule="auto"/>
    </w:p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Light">
    <w:name w:val="Table Grid Light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Таблица простая 1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auto" w:fill="F2F2F2" w:themeFill="text1" w:themeFillTint="D"/>
      </w:tcPr>
    </w:tblStylePr>
    <w:tblStylePr w:type="band1Horz">
      <w:tblPr/>
      <w:tcPr>
        <w:shd w:val="clear" w:color="auto" w:fill="F2F2F2" w:themeFill="text1" w:themeFillTint="D"/>
      </w:tcPr>
    </w:tblStylePr>
  </w:style>
  <w:style w:type="table" w:customStyle="1" w:styleId="210">
    <w:name w:val="Таблица простая 21"/>
    <w:basedOn w:val="a1"/>
    <w:uiPriority w:val="59"/>
    <w:rsid w:val="00425E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31">
    <w:name w:val="Таблица простая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41">
    <w:name w:val="Таблица простая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51">
    <w:name w:val="Таблица простая 5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auto" w:fill="FFFFFF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-11">
    <w:name w:val="Таблица-сетк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customStyle="1" w:styleId="-21">
    <w:name w:val="Таблица-сетк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37DC8" w:themeColor="accent1" w:themeTint="E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B9BD5" w:themeColor="accent5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31">
    <w:name w:val="Таблица-сетк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37DC8" w:themeColor="accent1" w:themeTint="EA"/>
        <w:insideH w:val="single" w:sz="4" w:space="0" w:color="537DC8" w:themeColor="accent1" w:themeTint="EA"/>
        <w:insideV w:val="single" w:sz="4" w:space="0" w:color="537DC8" w:themeColor="accent1" w:themeTint="E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8E2F3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41">
    <w:name w:val="Таблица-сетка 4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auto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  <w:insideV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37DC8" w:themeColor="accent1" w:themeTint="EA"/>
          <w:left w:val="single" w:sz="4" w:space="0" w:color="537DC8" w:themeColor="accent1" w:themeTint="EA"/>
          <w:bottom w:val="single" w:sz="4" w:space="0" w:color="537DC8" w:themeColor="accent1" w:themeTint="EA"/>
          <w:right w:val="single" w:sz="4" w:space="0" w:color="537DC8" w:themeColor="accent1" w:themeTint="EA"/>
        </w:tcBorders>
        <w:shd w:val="clear" w:color="auto" w:fill="537DC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37DC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3F3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auto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uto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auto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</w:tcBorders>
        <w:shd w:val="clear" w:color="auto" w:fill="5B9BD5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auto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-51">
    <w:name w:val="Таблица-сетк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BFBFBF" w:themeFill="text1" w:themeFillTint="4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band1Vert">
      <w:tblPr/>
      <w:tcPr>
        <w:shd w:val="clear" w:color="auto" w:fill="8A8A8A" w:themeFill="text1" w:themeFillTint="75"/>
      </w:tcPr>
    </w:tblStylePr>
    <w:tblStylePr w:type="band1Horz">
      <w:tblPr/>
      <w:tcPr>
        <w:shd w:val="clear" w:color="auto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8E2F3" w:themeFill="accent1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4472C4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band1Vert">
      <w:tblPr/>
      <w:tcPr>
        <w:shd w:val="clear" w:color="auto" w:fill="A9BEE4" w:themeFill="accent1" w:themeFillTint="75"/>
      </w:tcPr>
    </w:tblStylePr>
    <w:tblStylePr w:type="band1Horz">
      <w:tblPr/>
      <w:tcPr>
        <w:shd w:val="clear" w:color="auto" w:fill="A9BEE4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BE5D6" w:themeFill="accent2" w:themeFillTint="32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band1Vert">
      <w:tblPr/>
      <w:tcPr>
        <w:shd w:val="clear" w:color="auto" w:fill="F6C3A0" w:themeFill="accent2" w:themeFillTint="75"/>
      </w:tcPr>
    </w:tblStylePr>
    <w:tblStylePr w:type="band1Horz">
      <w:tblPr/>
      <w:tcPr>
        <w:shd w:val="clear" w:color="auto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CECEC" w:themeFill="accent3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band1Vert">
      <w:tblPr/>
      <w:tcPr>
        <w:shd w:val="clear" w:color="auto" w:fill="D5D5D5" w:themeFill="accent3" w:themeFillTint="75"/>
      </w:tcPr>
    </w:tblStylePr>
    <w:tblStylePr w:type="band1Horz">
      <w:tblPr/>
      <w:tcPr>
        <w:shd w:val="clear" w:color="auto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FFF2CB" w:themeFill="accent4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band1Vert">
      <w:tblPr/>
      <w:tcPr>
        <w:shd w:val="clear" w:color="auto" w:fill="FFE28A" w:themeFill="accent4" w:themeFillTint="75"/>
      </w:tcPr>
    </w:tblStylePr>
    <w:tblStylePr w:type="band1Horz">
      <w:tblPr/>
      <w:tcPr>
        <w:shd w:val="clear" w:color="auto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DDEAF6" w:themeFill="accent5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5B9BD5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band1Vert">
      <w:tblPr/>
      <w:tcPr>
        <w:shd w:val="clear" w:color="auto" w:fill="B3D0EB" w:themeFill="accent5" w:themeFillTint="75"/>
      </w:tcPr>
    </w:tblStylePr>
    <w:tblStylePr w:type="band1Horz">
      <w:tblPr/>
      <w:tcPr>
        <w:shd w:val="clear" w:color="auto" w:fill="B3D0EB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auto" w:fill="E1EFD8" w:themeFill="accent6" w:themeFillTint="34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uto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band1Vert">
      <w:tblPr/>
      <w:tcPr>
        <w:shd w:val="clear" w:color="auto" w:fill="BCDBA8" w:themeFill="accent6" w:themeFillTint="75"/>
      </w:tcPr>
    </w:tblStylePr>
    <w:tblStylePr w:type="band1Horz">
      <w:tblPr/>
      <w:tcPr>
        <w:shd w:val="clear" w:color="auto" w:fill="BCDBA8" w:themeFill="accent6" w:themeFillTint="75"/>
      </w:tcPr>
    </w:tblStylePr>
  </w:style>
  <w:style w:type="table" w:customStyle="1" w:styleId="-61">
    <w:name w:val="Таблица-сетк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auto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0B7E1" w:themeColor="accent1" w:themeTint="80"/>
        <w:left w:val="single" w:sz="4" w:space="0" w:color="A0B7E1" w:themeColor="accent1" w:themeTint="80"/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0B7E1" w:themeColor="accent1" w:themeTint="80" w:themeShade="95"/>
      </w:rPr>
      <w:tblPr/>
      <w:tcPr>
        <w:tcBorders>
          <w:bottom w:val="single" w:sz="12" w:space="0" w:color="A0B7E1" w:themeColor="accent1" w:themeTint="80"/>
        </w:tcBorders>
      </w:tcPr>
    </w:tblStylePr>
    <w:tblStylePr w:type="lastRow">
      <w:rPr>
        <w:b/>
        <w:color w:val="A0B7E1" w:themeColor="accent1" w:themeTint="80" w:themeShade="95"/>
      </w:rPr>
    </w:tblStylePr>
    <w:tblStylePr w:type="firstCol">
      <w:rPr>
        <w:b/>
        <w:color w:val="A0B7E1" w:themeColor="accent1" w:themeTint="80" w:themeShade="95"/>
      </w:rPr>
    </w:tblStylePr>
    <w:tblStylePr w:type="lastCol">
      <w:rPr>
        <w:b/>
        <w:color w:val="A0B7E1" w:themeColor="accent1" w:themeTint="80" w:themeShade="95"/>
      </w:r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  <w:insideH w:val="single" w:sz="4" w:space="0" w:color="5B9BD5" w:themeColor="accent5"/>
        <w:insideV w:val="single" w:sz="4" w:space="0" w:color="5B9BD5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5B9BD5" w:themeColor="accent5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45A8D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45A8D" w:themeColor="accent5" w:themeShade="95"/>
      </w:rPr>
    </w:tblStylePr>
    <w:tblStylePr w:type="firstCol">
      <w:rPr>
        <w:b/>
        <w:color w:val="245A8D" w:themeColor="accent5" w:themeShade="95"/>
      </w:rPr>
    </w:tblStylePr>
    <w:tblStylePr w:type="lastCol">
      <w:rPr>
        <w:b/>
        <w:color w:val="245A8D" w:themeColor="accent5" w:themeShade="95"/>
      </w:r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-71">
    <w:name w:val="Таблица-сетк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F2F2F2" w:themeFill="text1" w:themeFillTint="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0B7E1" w:themeColor="accent1" w:themeTint="80"/>
        <w:right w:val="single" w:sz="4" w:space="0" w:color="A0B7E1" w:themeColor="accent1" w:themeTint="80"/>
        <w:insideH w:val="single" w:sz="4" w:space="0" w:color="A0B7E1" w:themeColor="accent1" w:themeTint="80"/>
        <w:insideV w:val="single" w:sz="4" w:space="0" w:color="A0B7E1" w:themeColor="accen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0B7E1" w:themeColor="accen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0B7E1" w:themeColor="accent1" w:themeTint="80" w:themeShade="95"/>
        <w:sz w:val="22"/>
      </w:rPr>
      <w:tblPr/>
      <w:tcPr>
        <w:tcBorders>
          <w:top w:val="single" w:sz="4" w:space="0" w:color="A0B7E1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0B7E1" w:themeColor="accen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A0B7E1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0B7E1" w:themeColor="accen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8E2F3" w:themeFill="accent1" w:themeFillTint="34"/>
      </w:tcPr>
    </w:tblStylePr>
    <w:tblStylePr w:type="band1Horz">
      <w:rPr>
        <w:rFonts w:ascii="Arial" w:hAnsi="Arial"/>
        <w:color w:val="A0B7E1" w:themeColor="accent1" w:themeTint="80" w:themeShade="95"/>
        <w:sz w:val="22"/>
      </w:rPr>
      <w:tblPr/>
      <w:tcPr>
        <w:shd w:val="clear" w:color="auto" w:fill="D8E2F3" w:themeFill="accent1" w:themeFillTint="34"/>
      </w:tcPr>
    </w:tblStylePr>
    <w:tblStylePr w:type="band2Horz">
      <w:rPr>
        <w:rFonts w:ascii="Arial" w:hAnsi="Arial"/>
        <w:color w:val="A0B7E1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auto" w:fill="FFFFFF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auto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  <w:insideV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245A8D" w:themeColor="accent5" w:themeShade="95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2C6E7" w:themeColor="accent5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245A8D" w:themeColor="accent5" w:themeShade="95"/>
        <w:sz w:val="22"/>
      </w:rPr>
      <w:tblPr/>
      <w:tcPr>
        <w:tcBorders>
          <w:top w:val="none" w:sz="4" w:space="0" w:color="000000"/>
          <w:left w:val="single" w:sz="4" w:space="0" w:color="A2C6E7" w:themeColor="accent5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245A8D" w:themeColor="accent5" w:themeShade="95"/>
        <w:sz w:val="22"/>
      </w:rPr>
      <w:tblPr/>
      <w:tcPr>
        <w:shd w:val="clear" w:color="auto" w:fill="DDEAF6" w:themeFill="accent5" w:themeFillTint="34"/>
      </w:tcPr>
    </w:tblStylePr>
    <w:tblStylePr w:type="band2Horz">
      <w:rPr>
        <w:rFonts w:ascii="Arial" w:hAnsi="Arial"/>
        <w:color w:val="245A8D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auto" w:fill="FFFFFF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auto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customStyle="1" w:styleId="-110">
    <w:name w:val="Список-таблица 1 светл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tblPr/>
      <w:tcPr>
        <w:shd w:val="clear" w:color="auto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tblPr/>
      <w:tcPr>
        <w:shd w:val="clear" w:color="auto" w:fill="CFDBF0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tblPr/>
      <w:tcPr>
        <w:shd w:val="clear" w:color="auto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tblPr/>
      <w:tcPr>
        <w:shd w:val="clear" w:color="auto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tblPr/>
      <w:tcPr>
        <w:shd w:val="clear" w:color="auto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tblPr/>
      <w:tcPr>
        <w:shd w:val="clear" w:color="auto" w:fill="D5E5F4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tblPr/>
      <w:tcPr>
        <w:shd w:val="clear" w:color="auto" w:fill="DAEBCF" w:themeFill="accent6" w:themeFillTint="40"/>
      </w:tcPr>
    </w:tblStylePr>
  </w:style>
  <w:style w:type="table" w:customStyle="1" w:styleId="-210">
    <w:name w:val="Список-таблица 2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bottom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1" w:themeTint="90"/>
          <w:left w:val="none" w:sz="4" w:space="0" w:color="000000"/>
          <w:bottom w:val="single" w:sz="4" w:space="0" w:color="95AFDD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bottom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5" w:themeTint="90"/>
          <w:left w:val="none" w:sz="4" w:space="0" w:color="000000"/>
          <w:bottom w:val="single" w:sz="4" w:space="0" w:color="A2C6E7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310">
    <w:name w:val="Список-таблица 3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472C4" w:themeColor="accent1"/>
          <w:bottom w:val="single" w:sz="4" w:space="0" w:color="4472C4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left w:val="single" w:sz="4" w:space="0" w:color="9BC2E5" w:themeColor="accent5" w:themeTint="9A"/>
        <w:bottom w:val="single" w:sz="4" w:space="0" w:color="9BC2E5" w:themeColor="accent5" w:themeTint="9A"/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9BC2E5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BC2E5" w:themeColor="accent5" w:themeTint="9A"/>
          <w:right w:val="single" w:sz="4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BC2E5" w:themeColor="accent5" w:themeTint="9A"/>
          <w:bottom w:val="single" w:sz="4" w:space="0" w:color="9BC2E5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customStyle="1" w:styleId="-410">
    <w:name w:val="Список-таблица 4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5AFDD" w:themeColor="accent1" w:themeTint="90"/>
        <w:left w:val="single" w:sz="4" w:space="0" w:color="95AFDD" w:themeColor="accent1" w:themeTint="90"/>
        <w:bottom w:val="single" w:sz="4" w:space="0" w:color="95AFDD" w:themeColor="accent1" w:themeTint="90"/>
        <w:right w:val="single" w:sz="4" w:space="0" w:color="95AFDD" w:themeColor="accent1" w:themeTint="90"/>
        <w:insideH w:val="single" w:sz="4" w:space="0" w:color="95AFDD" w:themeColor="accent1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4472C4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CFDBF0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2C6E7" w:themeColor="accent5" w:themeTint="90"/>
        <w:left w:val="single" w:sz="4" w:space="0" w:color="A2C6E7" w:themeColor="accent5" w:themeTint="90"/>
        <w:bottom w:val="single" w:sz="4" w:space="0" w:color="A2C6E7" w:themeColor="accent5" w:themeTint="90"/>
        <w:right w:val="single" w:sz="4" w:space="0" w:color="A2C6E7" w:themeColor="accent5" w:themeTint="90"/>
        <w:insideH w:val="single" w:sz="4" w:space="0" w:color="A2C6E7" w:themeColor="accent5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5B9BD5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5E5F4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uto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auto" w:fill="DAEBCF" w:themeFill="accent6" w:themeFillTint="40"/>
      </w:tcPr>
    </w:tblStylePr>
  </w:style>
  <w:style w:type="table" w:customStyle="1" w:styleId="-510">
    <w:name w:val="Список-таблица 5 тем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auto" w:fill="7F7F7F" w:themeFill="text1" w:themeFillTint="80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auto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4472C4" w:themeColor="accent1"/>
        <w:left w:val="single" w:sz="32" w:space="0" w:color="4472C4" w:themeColor="accent1"/>
        <w:bottom w:val="single" w:sz="32" w:space="0" w:color="4472C4" w:themeColor="accent1"/>
        <w:right w:val="single" w:sz="32" w:space="0" w:color="4472C4" w:themeColor="accent1"/>
      </w:tblBorders>
      <w:shd w:val="clear" w:color="auto" w:fill="4472C4" w:themeFill="accent1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472C4" w:themeColor="accent1"/>
          <w:bottom w:val="single" w:sz="12" w:space="0" w:color="FFFFFF" w:themeColor="light1"/>
        </w:tcBorders>
        <w:shd w:val="clear" w:color="auto" w:fill="4472C4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472C4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472C4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4472C4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4472C4" w:themeFill="accent1"/>
      </w:tcPr>
    </w:tblStylePr>
  </w:style>
  <w:style w:type="table" w:customStyle="1" w:styleId="ListTable5Dark-Accent2">
    <w:name w:val="List Table 5 Dark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auto" w:fill="F4B184" w:themeFill="accent2" w:themeFillTint="97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auto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auto" w:fill="C9C9C9" w:themeFill="accent3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auto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auto" w:fill="FFD865" w:themeFill="accent4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auto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9BC2E5" w:themeColor="accent5" w:themeTint="9A"/>
        <w:left w:val="single" w:sz="32" w:space="0" w:color="9BC2E5" w:themeColor="accent5" w:themeTint="9A"/>
        <w:bottom w:val="single" w:sz="32" w:space="0" w:color="9BC2E5" w:themeColor="accent5" w:themeTint="9A"/>
        <w:right w:val="single" w:sz="32" w:space="0" w:color="9BC2E5" w:themeColor="accent5" w:themeTint="9A"/>
      </w:tblBorders>
      <w:shd w:val="clear" w:color="auto" w:fill="9BC2E5" w:themeFill="accent5" w:themeFillTint="9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BC2E5" w:themeColor="accent5" w:themeTint="9A"/>
          <w:bottom w:val="single" w:sz="12" w:space="0" w:color="FFFFFF" w:themeColor="light1"/>
        </w:tcBorders>
        <w:shd w:val="clear" w:color="auto" w:fill="9BC2E5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BC2E5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BC2E5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9BC2E5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9BC2E5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uto" w:fill="A9D08E" w:themeFill="accent6" w:themeFillTint="98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uto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uto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uto" w:fill="A9D08E" w:themeFill="accent6" w:themeFillTint="98"/>
      </w:tcPr>
    </w:tblStylePr>
  </w:style>
  <w:style w:type="table" w:customStyle="1" w:styleId="-610">
    <w:name w:val="Список-таблица 6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4472C4" w:themeColor="accent1"/>
        <w:bottom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254175" w:themeColor="accent1" w:themeShade="95"/>
      </w:rPr>
      <w:tblPr/>
      <w:tcPr>
        <w:tcBorders>
          <w:bottom w:val="single" w:sz="4" w:space="0" w:color="4472C4" w:themeColor="accent1"/>
        </w:tcBorders>
      </w:tcPr>
    </w:tblStylePr>
    <w:tblStylePr w:type="lastRow">
      <w:rPr>
        <w:b/>
        <w:color w:val="254175" w:themeColor="accent1" w:themeShade="95"/>
      </w:rPr>
      <w:tblPr/>
      <w:tcPr>
        <w:tcBorders>
          <w:top w:val="single" w:sz="4" w:space="0" w:color="4472C4" w:themeColor="accent1"/>
        </w:tcBorders>
      </w:tcPr>
    </w:tblStylePr>
    <w:tblStylePr w:type="firstCol">
      <w:rPr>
        <w:b/>
        <w:color w:val="254175" w:themeColor="accent1" w:themeShade="95"/>
      </w:rPr>
    </w:tblStylePr>
    <w:tblStylePr w:type="lastCol">
      <w:rPr>
        <w:b/>
        <w:color w:val="254175" w:themeColor="accent1" w:themeShade="95"/>
      </w:r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184" w:themeColor="accent2" w:themeTint="97"/>
        <w:bottom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9C9C9" w:themeColor="accent3" w:themeTint="98"/>
        <w:bottom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D865" w:themeColor="accent4" w:themeTint="9A"/>
        <w:bottom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BC2E5" w:themeColor="accent5" w:themeTint="9A"/>
        <w:bottom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9BC2E5" w:themeColor="accent5" w:themeTint="9A" w:themeShade="95"/>
      </w:rPr>
      <w:tblPr/>
      <w:tcPr>
        <w:tcBorders>
          <w:bottom w:val="single" w:sz="4" w:space="0" w:color="9BC2E5" w:themeColor="accent5" w:themeTint="9A"/>
        </w:tcBorders>
      </w:tcPr>
    </w:tblStylePr>
    <w:tblStylePr w:type="lastRow">
      <w:rPr>
        <w:b/>
        <w:color w:val="9BC2E5" w:themeColor="accent5" w:themeTint="9A" w:themeShade="95"/>
      </w:rPr>
      <w:tblPr/>
      <w:tcPr>
        <w:tcBorders>
          <w:top w:val="single" w:sz="4" w:space="0" w:color="9BC2E5" w:themeColor="accent5" w:themeTint="9A"/>
        </w:tcBorders>
      </w:tcPr>
    </w:tblStylePr>
    <w:tblStylePr w:type="firstCol">
      <w:rPr>
        <w:b/>
        <w:color w:val="9BC2E5" w:themeColor="accent5" w:themeTint="9A" w:themeShade="95"/>
      </w:rPr>
    </w:tblStylePr>
    <w:tblStylePr w:type="lastCol">
      <w:rPr>
        <w:b/>
        <w:color w:val="9BC2E5" w:themeColor="accent5" w:themeTint="9A" w:themeShade="95"/>
      </w:r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A9D08E" w:themeColor="accent6" w:themeTint="98"/>
        <w:bottom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-710">
    <w:name w:val="Список-таблица 7 цветная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auto" w:fill="FFFFFF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auto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4472C4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1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254175" w:themeColor="accent1" w:themeShade="95"/>
        <w:sz w:val="22"/>
      </w:rPr>
      <w:tblPr/>
      <w:tcPr>
        <w:tcBorders>
          <w:top w:val="single" w:sz="4" w:space="0" w:color="4472C4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472C4" w:themeColor="accent1"/>
        </w:tcBorders>
        <w:shd w:val="clear" w:color="auto" w:fill="FFFFFF"/>
      </w:tcPr>
    </w:tblStylePr>
    <w:tblStylePr w:type="lastCol">
      <w:rPr>
        <w:rFonts w:ascii="Arial" w:hAnsi="Arial"/>
        <w:i/>
        <w:color w:val="254175" w:themeColor="accent1" w:themeShade="95"/>
        <w:sz w:val="22"/>
      </w:rPr>
      <w:tblPr/>
      <w:tcPr>
        <w:tcBorders>
          <w:top w:val="none" w:sz="4" w:space="0" w:color="000000"/>
          <w:left w:val="single" w:sz="4" w:space="0" w:color="4472C4" w:themeColor="accent1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CFDBF0" w:themeFill="accent1" w:themeFillTint="40"/>
      </w:tcPr>
    </w:tblStylePr>
    <w:tblStylePr w:type="band1Horz">
      <w:rPr>
        <w:rFonts w:ascii="Arial" w:hAnsi="Arial"/>
        <w:color w:val="254175" w:themeColor="accent1" w:themeShade="95"/>
        <w:sz w:val="22"/>
      </w:rPr>
      <w:tblPr/>
      <w:tcPr>
        <w:shd w:val="clear" w:color="auto" w:fill="CFDBF0" w:themeFill="accent1" w:themeFillTint="40"/>
      </w:tcPr>
    </w:tblStylePr>
    <w:tblStylePr w:type="band2Horz">
      <w:rPr>
        <w:rFonts w:ascii="Arial" w:hAnsi="Arial"/>
        <w:color w:val="254175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4B184" w:themeColor="accent2" w:themeTint="9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auto" w:fill="FFFFFF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auto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C9C9C9" w:themeColor="accent3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auto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FFD865" w:themeColor="accent4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auto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9BC2E5" w:themeColor="accent5" w:themeTint="9A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C2E5" w:themeColor="accent5" w:themeTint="9A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single" w:sz="4" w:space="0" w:color="9BC2E5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BC2E5" w:themeColor="accent5" w:themeTint="9A"/>
        </w:tcBorders>
        <w:shd w:val="clear" w:color="auto" w:fill="FFFFFF"/>
      </w:tcPr>
    </w:tblStylePr>
    <w:tblStylePr w:type="lastCol">
      <w:rPr>
        <w:rFonts w:ascii="Arial" w:hAnsi="Arial"/>
        <w:i/>
        <w:color w:val="9BC2E5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9BC2E5" w:themeColor="accent5" w:themeTint="9A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5E5F4" w:themeFill="accent5" w:themeFillTint="40"/>
      </w:tcPr>
    </w:tblStylePr>
    <w:tblStylePr w:type="band1Horz">
      <w:rPr>
        <w:rFonts w:ascii="Arial" w:hAnsi="Arial"/>
        <w:color w:val="9BC2E5" w:themeColor="accent5" w:themeTint="9A" w:themeShade="95"/>
        <w:sz w:val="22"/>
      </w:rPr>
      <w:tblPr/>
      <w:tcPr>
        <w:shd w:val="clear" w:color="auto" w:fill="D5E5F4" w:themeFill="accent5" w:themeFillTint="40"/>
      </w:tcPr>
    </w:tblStylePr>
    <w:tblStylePr w:type="band2Horz">
      <w:rPr>
        <w:rFonts w:ascii="Arial" w:hAnsi="Arial"/>
        <w:color w:val="9BC2E5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sz="4" w:space="0" w:color="A9D08E" w:themeColor="accent6" w:themeTint="98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auto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auto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auto" w:fill="FFFFFF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auto" w:fill="FFFFFF"/>
      </w:tcPr>
    </w:tblStylePr>
    <w:tblStylePr w:type="band1Vert">
      <w:tblPr/>
      <w:tcPr>
        <w:shd w:val="clear" w:color="auto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auto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Lined-Accent1">
    <w:name w:val="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Lined-Accent2">
    <w:name w:val="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Lined-Accent6">
    <w:name w:val="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2F2F2" w:themeFill="text1" w:themeFillTint="D"/>
      </w:tcPr>
    </w:tblStylePr>
  </w:style>
  <w:style w:type="table" w:customStyle="1" w:styleId="BorderedLined-Accent1">
    <w:name w:val="Bordered &amp; Lined - Accent 1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54175" w:themeColor="accent1" w:themeShade="95"/>
        <w:left w:val="single" w:sz="4" w:space="0" w:color="254175" w:themeColor="accent1" w:themeShade="95"/>
        <w:bottom w:val="single" w:sz="4" w:space="0" w:color="254175" w:themeColor="accent1" w:themeShade="95"/>
        <w:right w:val="single" w:sz="4" w:space="0" w:color="254175" w:themeColor="accent1" w:themeShade="95"/>
        <w:insideH w:val="single" w:sz="4" w:space="0" w:color="254175" w:themeColor="accent1" w:themeShade="95"/>
        <w:insideV w:val="single" w:sz="4" w:space="0" w:color="254175" w:themeColor="accent1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37DC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C4D2EC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245A8D" w:themeColor="accent5" w:themeShade="95"/>
        <w:left w:val="single" w:sz="4" w:space="0" w:color="245A8D" w:themeColor="accent5" w:themeShade="95"/>
        <w:bottom w:val="single" w:sz="4" w:space="0" w:color="245A8D" w:themeColor="accent5" w:themeShade="95"/>
        <w:right w:val="single" w:sz="4" w:space="0" w:color="245A8D" w:themeColor="accent5" w:themeShade="95"/>
        <w:insideH w:val="single" w:sz="4" w:space="0" w:color="245A8D" w:themeColor="accent5" w:themeShade="95"/>
        <w:insideV w:val="single" w:sz="4" w:space="0" w:color="245A8D" w:themeColor="accent5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5B9BD5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DDEAF6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rsid w:val="00425E68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Ind w:w="0" w:type="dxa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uto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auto" w:fill="E1EFD8" w:themeFill="accent6" w:themeFillTint="34"/>
      </w:tcPr>
    </w:tblStylePr>
  </w:style>
  <w:style w:type="table" w:customStyle="1" w:styleId="Bordered">
    <w:name w:val="Bordered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3C5E7" w:themeColor="accent1" w:themeTint="67"/>
        <w:left w:val="single" w:sz="4" w:space="0" w:color="B3C5E7" w:themeColor="accent1" w:themeTint="67"/>
        <w:bottom w:val="single" w:sz="4" w:space="0" w:color="B3C5E7" w:themeColor="accent1" w:themeTint="67"/>
        <w:right w:val="single" w:sz="4" w:space="0" w:color="B3C5E7" w:themeColor="accent1" w:themeTint="67"/>
        <w:insideH w:val="single" w:sz="4" w:space="0" w:color="B3C5E7" w:themeColor="accent1" w:themeTint="67"/>
        <w:insideV w:val="single" w:sz="4" w:space="0" w:color="B3C5E7" w:themeColor="accent1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472C4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472C4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472C4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1" w:themeTint="67"/>
          <w:left w:val="single" w:sz="4" w:space="0" w:color="B3C5E7" w:themeColor="accent1" w:themeTint="67"/>
          <w:bottom w:val="single" w:sz="4" w:space="0" w:color="B3C5E7" w:themeColor="accent1" w:themeTint="67"/>
          <w:right w:val="single" w:sz="4" w:space="0" w:color="B3C5E7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CD6EE" w:themeColor="accent5" w:themeTint="67"/>
        <w:left w:val="single" w:sz="4" w:space="0" w:color="BCD6EE" w:themeColor="accent5" w:themeTint="67"/>
        <w:bottom w:val="single" w:sz="4" w:space="0" w:color="BCD6EE" w:themeColor="accent5" w:themeTint="67"/>
        <w:right w:val="single" w:sz="4" w:space="0" w:color="BCD6EE" w:themeColor="accent5" w:themeTint="67"/>
        <w:insideH w:val="single" w:sz="4" w:space="0" w:color="BCD6EE" w:themeColor="accent5" w:themeTint="67"/>
        <w:insideV w:val="single" w:sz="4" w:space="0" w:color="BCD6EE" w:themeColor="accent5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BC2E5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BC2E5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BC2E5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5" w:themeTint="67"/>
          <w:left w:val="single" w:sz="4" w:space="0" w:color="BCD6EE" w:themeColor="accent5" w:themeTint="67"/>
          <w:bottom w:val="single" w:sz="4" w:space="0" w:color="BCD6EE" w:themeColor="accent5" w:themeTint="67"/>
          <w:right w:val="single" w:sz="4" w:space="0" w:color="BCD6EE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rsid w:val="00425E6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paragraph" w:styleId="af0">
    <w:name w:val="footnote text"/>
    <w:basedOn w:val="a"/>
    <w:link w:val="af1"/>
    <w:uiPriority w:val="99"/>
    <w:semiHidden/>
    <w:unhideWhenUsed/>
    <w:rsid w:val="00425E68"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sid w:val="00425E68"/>
    <w:rPr>
      <w:sz w:val="18"/>
    </w:rPr>
  </w:style>
  <w:style w:type="character" w:styleId="af2">
    <w:name w:val="footnote reference"/>
    <w:basedOn w:val="a0"/>
    <w:uiPriority w:val="99"/>
    <w:unhideWhenUsed/>
    <w:rsid w:val="00425E68"/>
    <w:rPr>
      <w:vertAlign w:val="superscript"/>
    </w:rPr>
  </w:style>
  <w:style w:type="paragraph" w:styleId="12">
    <w:name w:val="toc 1"/>
    <w:basedOn w:val="a"/>
    <w:next w:val="a"/>
    <w:uiPriority w:val="39"/>
    <w:unhideWhenUsed/>
    <w:rsid w:val="00425E68"/>
    <w:pPr>
      <w:spacing w:after="57"/>
    </w:pPr>
  </w:style>
  <w:style w:type="paragraph" w:styleId="23">
    <w:name w:val="toc 2"/>
    <w:basedOn w:val="a"/>
    <w:next w:val="a"/>
    <w:uiPriority w:val="39"/>
    <w:unhideWhenUsed/>
    <w:rsid w:val="00425E68"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rsid w:val="00425E68"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rsid w:val="00425E68"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rsid w:val="00425E68"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rsid w:val="00425E68"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rsid w:val="00425E68"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rsid w:val="00425E68"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rsid w:val="00425E68"/>
    <w:pPr>
      <w:spacing w:after="57"/>
      <w:ind w:left="2268"/>
    </w:pPr>
  </w:style>
  <w:style w:type="paragraph" w:styleId="af3">
    <w:name w:val="TOC Heading"/>
    <w:uiPriority w:val="39"/>
    <w:unhideWhenUsed/>
    <w:rsid w:val="00425E68"/>
  </w:style>
  <w:style w:type="paragraph" w:customStyle="1" w:styleId="paragraph">
    <w:name w:val="paragraph"/>
    <w:basedOn w:val="a"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normaltextrun">
    <w:name w:val="normaltextrun"/>
    <w:basedOn w:val="a0"/>
    <w:rsid w:val="00425E68"/>
  </w:style>
  <w:style w:type="character" w:customStyle="1" w:styleId="eop">
    <w:name w:val="eop"/>
    <w:basedOn w:val="a0"/>
    <w:rsid w:val="00425E68"/>
  </w:style>
  <w:style w:type="paragraph" w:styleId="af4">
    <w:name w:val="List Paragraph"/>
    <w:basedOn w:val="a"/>
    <w:uiPriority w:val="34"/>
    <w:qFormat/>
    <w:rsid w:val="00425E68"/>
    <w:pPr>
      <w:ind w:left="720"/>
      <w:contextualSpacing/>
    </w:pPr>
  </w:style>
  <w:style w:type="paragraph" w:styleId="af5">
    <w:name w:val="Normal (Web)"/>
    <w:basedOn w:val="a"/>
    <w:uiPriority w:val="99"/>
    <w:unhideWhenUsed/>
    <w:rsid w:val="00425E6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6">
    <w:name w:val="Strong"/>
    <w:basedOn w:val="a0"/>
    <w:uiPriority w:val="22"/>
    <w:qFormat/>
    <w:rsid w:val="00425E68"/>
    <w:rPr>
      <w:b/>
      <w:bCs/>
    </w:rPr>
  </w:style>
  <w:style w:type="character" w:customStyle="1" w:styleId="nobr">
    <w:name w:val="nobr"/>
    <w:basedOn w:val="a0"/>
    <w:rsid w:val="00425E68"/>
  </w:style>
  <w:style w:type="character" w:styleId="af7">
    <w:name w:val="Hyperlink"/>
    <w:basedOn w:val="a0"/>
    <w:uiPriority w:val="99"/>
    <w:unhideWhenUsed/>
    <w:rsid w:val="00425E68"/>
    <w:rPr>
      <w:color w:val="0000FF"/>
      <w:u w:val="single"/>
    </w:rPr>
  </w:style>
  <w:style w:type="paragraph" w:styleId="af8">
    <w:name w:val="Balloon Text"/>
    <w:basedOn w:val="a"/>
    <w:link w:val="af9"/>
    <w:uiPriority w:val="99"/>
    <w:semiHidden/>
    <w:unhideWhenUsed/>
    <w:rsid w:val="00425E6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9">
    <w:name w:val="Текст выноски Знак"/>
    <w:basedOn w:val="a0"/>
    <w:link w:val="af8"/>
    <w:uiPriority w:val="99"/>
    <w:semiHidden/>
    <w:rsid w:val="00425E68"/>
    <w:rPr>
      <w:rFonts w:ascii="Segoe UI" w:hAnsi="Segoe UI" w:cs="Segoe UI"/>
      <w:sz w:val="18"/>
      <w:szCs w:val="18"/>
    </w:rPr>
  </w:style>
  <w:style w:type="character" w:styleId="afa">
    <w:name w:val="annotation reference"/>
    <w:basedOn w:val="a0"/>
    <w:uiPriority w:val="99"/>
    <w:semiHidden/>
    <w:unhideWhenUsed/>
    <w:rsid w:val="000F2571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0F2571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0F2571"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0F2571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0F2571"/>
    <w:rPr>
      <w:b/>
      <w:bCs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41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35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9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16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nsultant.ru/document/cons_doc_LAW_408191/b529d69cefb10b01f89e6869c586c597d5aa7886/" TargetMode="External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consultant.ru/document/cons_doc_LAW_434682/bd9ca2083dd1c43d58c7a1d951d6b56bc932de28/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consultant.ru/document/cons_doc_LAW_435882/2dcf803c785fb62b59e90b2290a3912225baea82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://www.consultant.ru/document/cons_doc_LAW_435882/8764f1ea3b4838d75bea542a4b17522b6649f35d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consultant.ru/document/cons_doc_LAW_39331/05ccb2acde4b3196880ca82e2d7f4c1dfd5ea0b5/" TargetMode="External"/><Relationship Id="rId14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Develop\AltTechCode\templates\&#1054;&#1090;&#1095;&#1105;&#1090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4D797B-9FD5-4D3E-928D-32AAD19AC7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Отчёт ЭПЭ</Template>
  <TotalTime>4142</TotalTime>
  <Pages>5</Pages>
  <Words>1648</Words>
  <Characters>9397</Characters>
  <Application>Microsoft Office Word</Application>
  <DocSecurity>0</DocSecurity>
  <Lines>78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11023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Andrey</cp:lastModifiedBy>
  <cp:revision>54</cp:revision>
  <cp:lastPrinted>2023-01-18T06:11:00Z</cp:lastPrinted>
  <dcterms:created xsi:type="dcterms:W3CDTF">2023-02-10T09:02:00Z</dcterms:created>
  <dcterms:modified xsi:type="dcterms:W3CDTF">2023-03-28T06:23:00Z</dcterms:modified>
</cp:coreProperties>
</file>