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7353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2023-06-02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2023-06-13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Кудряшов Александр Иванович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623/2007-0002122 от 2020-02-12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752870.09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12866.08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56511533 от 2020-09-15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15003.07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0558409991 от 2021-02-02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164910.62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651072608525 от 2021-07-23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31578.56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PILVASCMH72110280841 от 2021-10-28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86856.58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"""Азиатско-Тихоокеанский Банк"" (АО)"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124231851089 от 2022-01-31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"""Азиатско-Тихоокеанский Банк"" (АО)"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104460.66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2022-08-01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2022-10-31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83932.13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«ТВОИ ПЛЮС»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«ТВОИ ПЛЮС»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30025.16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«Страна Экспресс»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«Страна Экспресс»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97300.00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11734.81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1903590421 от 2023-01-17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32710.85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 Онлайн»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 Онлайн»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48230.80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44114.00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«ЦФП» (АО)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«ЦФП» (АО)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19681.86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16133.00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24199.60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19550.90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48673.05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34315.30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«Кредиска МКК»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«Кредиска МКК»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32302.78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«Всегда в плюсе»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«Всегда в плюсе»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19502.68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34025.00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10713.83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ООО «Бустра»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ООО «Бустра»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30450.00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«ТВОЙ.КРЕДИТ»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«ТВОЙ.КРЕДИТ»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19738.80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39664.00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«Мани Мен»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«Мани Мен»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134219.94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7064.21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27520.50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«Забирай»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«Забирай»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16650.00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«ФИНТЕРРА»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«ФИНТЕРРА»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49428.24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2023-03-08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44616.42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«Небус»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«Небус»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17805.55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«Джой Мани»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«Джой Мани»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43680.00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«Платиза.ру»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«Платиза.ру»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23230.72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«Срочноденьги»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«Срочноденьги»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17360.00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«Кредиттер»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«Кредиттер»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18339.00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9173.78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Юнона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«Веритас»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«Веритас»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22666.60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23607.00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18115.50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16236.00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8287.68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«Бериберу МКК»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«Бериберу МКК»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19680.00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«Макро»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«Макро»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22896.30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15543.00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СКОРФИН»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СКОРФИН»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39300.00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«ЭкспрессДеньги»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«ЭкспрессДеньги»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6355.00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«Центрофинанс Групп»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«Центрофинанс Групп»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8884.20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34227.00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2550850.56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35930.29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доля 1/3 Кемерово, Инициатаивная, 16б-26, 44 кв.м. 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иное имущество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Гараж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Форд Фокус 2007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Лада самара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50000 руб., размер денежных средств, направленных на погашение требований кредиторов составляет:
50000 руб.(доход) -15669 руб. (ПМ)-13944(ПМ на ребенка)=20387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Имущество может быть включено в конкурсную массу и реализовано. Вероятность оспаривания сделок с автомобилями низкая с учетом отсутствия просроченных обязательств на момент продажи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8500.00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(восемь тысяч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