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7336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2023-05-26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Красноярск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2023-06-15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Махалова Анастасия Анатольевна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0270481310 от 2017-10-13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193806.83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2640758332 от 2019-12-25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32978.54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"СберБанк"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0441-P-17719952370 от 2021-02-12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"СберБанк"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38346.64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3711476030 от 2021-03-23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8597.73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2153.00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""АЛЬФА-БАНК"""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F0ODRC20S21111533147 от 2021-11-16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""АЛЬФА-БАНК"""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97491.92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3750.00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«КЭШДРАЙВ»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21/0000/MFO1/013353 от 2021-11-20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НАО "ПЕРВОЕ КЛИЕНТСКОЕ БЮРО"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79621.71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«МигКредит»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1135741970 от 2021-12-23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«МигКредит»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128204.51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7960.00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«КапиталЪ-НТ»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3321102 от 2022-06-27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ЦДУ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18641.11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"Академическая"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78272638 от 2022-07-03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"ПРАВО ОНЛАЙН"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12750.00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2022-07-07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Вэббанкир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2022-07-10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"ФАБУЛА"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11200.00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«Кватро»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2436913 от 2022-07-12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ССПВ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«Мани Мен»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18366129 от 2022-08-06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"АВРОРА КОНСАЛТ"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Налоговая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2022-08-22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Налоговая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1465.68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«МКК КАНГАРИЯ»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KA-907/2715053 от 2022-08-22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"АЙДИ КОЛЛЕКТ"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1250.00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686854.67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24363.00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зарплата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20000.00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женат/замужем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15956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17392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13722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16642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0 руб., размер денежных средств, направленных на погашение требований кредиторов составляет:
0 руб.(доход) -17392 руб. (ПМ)=0 * 36 мес. (план реструктуризации долгов) руб. =0 руб.
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Согласовано, при условии внесения как минимум 3-х платежей по МФО, по которым платежи не вносились, при условии закрытия ИП в ближайшее время.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3500.00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(три тысячи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