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2023-06-20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Павлийчук Дмитрий Александрович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F0ODRC20S20072426451 от 2020-07-26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13341.26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2022-01-22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14926.89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1813.00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0693630154 от 2022-03-04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92951.03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SV000173928/108/22 от 2022-08-14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21812.08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«ЛДС»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«ЛДС»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46598.29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14662.75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32364.10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22033.21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«ТВОИ ПЛЮС»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12987.00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28098.00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30109.17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10677.00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8117.22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12870.00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427818.00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10113.00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 2107 1997 года выпуска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-15768 руб. (ПМ)-15306(ПМ на ребенка)-15306(ПМ на ребенка)-15306(ПМ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авто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Взять расписку о риске оспаривания сделки, снять с учета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4500.00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(четыре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