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7349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2023-06-01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Кемерово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2023-06-19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Тарасова Юлия Владимировна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03 от 2017-08-03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119085.85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651059408733 от 2020-07-20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30231.24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625/0040-1228033 от 2020-07-20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552204.12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14362.80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2021-02-09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888623.50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31745.00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625/0040-1487476 от 2021-07-14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913536.43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18752.00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5027973816 от 2022-10-18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от 2023-02-16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27554.41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9920.00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14695.00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7557.00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2573430.55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88236.80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подработка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5000.00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93000.00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23000.00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 (г Березовский, ул Волкова, 8-90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1/4 доля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продана квартира по адресу г Березовский ул волкова 8-84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1550000.00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долевая ( ее доля 5/18)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 Джили GC6,2014г.в.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куплена была 22.08.2020Деньги от продажи пошли на гашение кредитов и обучение дочери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250000.00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Сделка по отчуждению имущества может быть признана недействительной и имущество может быть включено в конкурсную массу и реализовано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 разводе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14375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15669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12363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13944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98000 руб., размер денежных средств, направленных на погашение требований кредиторов составляет:
98000 руб.(доход) -15669 руб. (ПМ)-13944(ПМ на ребенка)-13944(ПМ на ребенка)=54443 * 36 мес. (план реструктуризации долгов) руб. =1959948 руб.
Из расчёта следует, что есть риск утверждения плана реструктуризации, так как с текущим уровнем дохода может быть погашено более 50% задолженности.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наличием высокого официального дохода есть риск в процедуре реструктуризации утверждения плана реструктуризации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наличием высокого официального дохода есть риск в процедуре реструктуризации утверждения плана реструктуризации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Сделка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Банкротство рекомендовано с учетом принятия вышеуказанных рисков.  По кредитам, где не внесены платежи - рекомендуется внесение не менее трех платежей. Доля в в квартире может быть продана собственникам по рыночной цене с направлением денежных средств, на гашение требований кредиторов. 
Риски оспаривания сделок (авто, квартира) считается допустимым с учетом отсутствия просрочек на момент сделок и дальнейшего исполнения обязательств в рамках графиков платежей.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2500.00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(два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