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7359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Барнаул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22.06.2023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Блинов Сергей Владимирович, паспорт: серия</w:t>
      </w:r>
      <w:r w:rsidR="001C5957">
        <w:rPr>
          <w:rFonts w:ascii="Times New Roman" w:hAnsi="Times New Roman"/>
        </w:rPr>
        <w:t xml:space="preserve"> 0121 номер</w:t>
      </w:r>
      <w:r w:rsidR="001C5957">
        <w:rPr>
          <w:rFonts w:ascii="Times New Roman" w:hAnsi="Times New Roman"/>
        </w:rPr>
        <w:t xml:space="preserve"> 838687, выданный</w:t>
      </w:r>
      <w:r w:rsidR="001C5957">
        <w:rPr>
          <w:rFonts w:ascii="Times New Roman" w:hAnsi="Times New Roman"/>
        </w:rPr>
        <w:t xml:space="preserve"> ГУ МВД России по Алтайскому краю</w:t>
      </w:r>
      <w:r w:rsidR="001C5957">
        <w:rPr>
          <w:rFonts w:ascii="Times New Roman" w:hAnsi="Times New Roman"/>
        </w:rPr>
        <w:t xml:space="preserve"> 22.10.2021,</w:t>
      </w:r>
      <w:r w:rsidR="001C5957">
        <w:rPr>
          <w:rFonts w:ascii="Times New Roman" w:hAnsi="Times New Roman"/>
        </w:rPr>
        <w:t xml:space="preserve"> 17.10.1976 года рождения, зарегистрированный по адресу:</w:t>
      </w:r>
      <w:r w:rsidR="001C5957">
        <w:rPr>
          <w:rFonts w:ascii="Times New Roman" w:hAnsi="Times New Roman"/>
        </w:rPr>
        <w:t xml:space="preserve"> , Алтайский край, , г. Барнаул, ул.ул. Гущина д.д. 90 кв.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Луневой Тамары Алиевны,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176</w:t>
      </w:r>
      <w:r w:rsidR="009803E4">
        <w:rPr>
          <w:rFonts w:ascii="Times New Roman" w:hAnsi="Times New Roman"/>
        </w:rPr>
        <w:t xml:space="preserve"> от 17.05.2022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150000.00</w:t>
      </w:r>
      <w:r w:rsidR="001C5957">
        <w:rPr>
          <w:rFonts w:ascii="Times New Roman" w:hAnsi="Times New Roman"/>
        </w:rPr>
        <w:t xml:space="preserve"> сто пятьдесят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25000.00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22.11.2023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 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25000 руб. от стоимости услуг Исполнителя, указанной в п. 4.1 настоящего Договора, в этом случае стоимость услуг Исполнителя с учётом скидки составит 125000.00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Блинов Сергей Владимирович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Барнаул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, Алтайский край, , г. Барнаул, ул.ул. Гущина д.д. 90 кв.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, Алтайский край, , г. Барнаул, ул.ул. Гущина д.д. 90 кв.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656056, г.Барнаул, ул. Гоголя, 47, офис 308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0121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838687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222545001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Алтайскому краю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22.10.2021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17.10.1976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79029989734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Лунева Тамара Алиевна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№7359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""Тинькофф Банк""", Банк ВТБ (ПАО), Банк ГПБ (АО)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""Тинькофф Банк""", Банк ВТБ (ПАО), Банк ГПБ (АО)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Блинов Сергей Владимирович, паспорт: серия</w:t>
      </w:r>
      <w:r w:rsidR="001C5957">
        <w:t xml:space="preserve"> 0121 номер</w:t>
      </w:r>
      <w:r w:rsidR="001C5957">
        <w:t xml:space="preserve"> 838687, выданный</w:t>
      </w:r>
      <w:r w:rsidR="001C5957">
        <w:t xml:space="preserve"> ГУ МВД России по Алтайскому краю</w:t>
      </w:r>
      <w:r w:rsidR="001C5957">
        <w:t xml:space="preserve"> 22.10.2021,</w:t>
      </w:r>
      <w:r w:rsidR="001C5957">
        <w:t xml:space="preserve"> 17.10.1976 года рождения, зарегистрированный по адресу:</w:t>
      </w:r>
      <w:r w:rsidR="001C5957">
        <w:t xml:space="preserve"> , Алтайский край, , г. Барнаул, ул.ул. Гущина д.д. 90 кв.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Лунева Тамара Алиевна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№7359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Блинов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Сергей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Владимирович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0121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838687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Алтайскому краю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22.10.2021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222109648722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129-848-628 16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17.10.1976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Барнаул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, Алтайский край, , г. Барнаул, ул.ул. Гущина д.д. 90 кв.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, Алтайский край, , г. Барнаул, ул.ул. Гущина д.д. 90 кв.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"Нортек"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656023, Алтайский край, г Барнаул, пр-кт Космонавтов, д. 12/9, кабинет 301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Рабочий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8 лет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Блинова Инга Сергеевна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"Нортек"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Рабочий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8 лет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656023, Алтайский край, г Барнаул, пр-кт Космонавтов, д. 12/9, кабинет 301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Лунева Тамара Алиевна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№7359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Блинов Сергей Владимирович,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Блинов Сергей Владимирович,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№7359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№7359 от</w:t>
      </w:r>
      <w:r w:rsidR="001C5957">
        <w:rPr>
          <w:rFonts w:ascii="Times New Roman" w:hAnsi="Times New Roman"/>
          <w:b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Блинов Сергей Владимирович,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Лунева Тамара Алиевна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