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№7377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Красноярск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14.06.2023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Силюков Сергей Анатольевич, паспорт: серия 7912 номер 638783, выданный Отделение ОФМС России по республике Адыгея в Майкопском районе 27.12.2012, 27.12.2012 года рождения, зарегистрированный по адресу: 385746, респ. Адыгея, Майкопский район, пос.Подгорный, ул.Научная д.4 кв.6 именуемый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Павлова Ильи Леонидовича, действующий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186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Силюков Сергей Анатольевич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Красноярск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385746, респ. Адыгея, Майкопский район, пос.Подгорный, ул.Научная д.4 кв.6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660132, Красноярский Край, , Красноярск, ул.Соколовская д.76а кв.392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660017, г.Красноярск, проспект Мира, 94, оф.413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7912</w:t>
            </w:r>
            <w:r w:rsidRPr="005A6CF1">
              <w:t xml:space="preserve"> номер </w:t>
            </w:r>
            <w:r>
              <w:t>638783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-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Отделение ОФМС России по республике Адыгея в Майкопском районе</w:t>
            </w:r>
            <w:r w:rsidRPr="005A6CF1">
              <w:t xml:space="preserve"> </w:t>
            </w:r>
            <w:r>
              <w:rPr>
                <w:lang w:val="en-US"/>
              </w:rPr>
              <w:t>27.12.2012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27.12.2012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Павлов Илья Леонидович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