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rPr>
      </w:pPr>
      <w:r>
        <w:rPr>
          <w:rFonts w:ascii="Times New Roman" w:hAnsi="Times New Roman"/>
          <w:b/>
        </w:rPr>
        <w:t>ДОГОВОР ПОРУЧЕНИЯ</w:t>
      </w:r>
    </w:p>
    <w:p>
      <w:pPr>
        <w:pStyle w:val="Normal"/>
        <w:spacing w:lineRule="auto" w:line="240" w:before="0" w:after="0"/>
        <w:jc w:val="center"/>
        <w:rPr>
          <w:rFonts w:ascii="Times New Roman" w:hAnsi="Times New Roman"/>
          <w:b/>
          <w:b/>
        </w:rPr>
      </w:pPr>
      <w:r>
        <w:rPr>
          <w:rFonts w:ascii="Times New Roman" w:hAnsi="Times New Roman"/>
          <w:b/>
        </w:rPr>
        <w:t>№</w:t>
      </w:r>
      <w:r>
        <w:rPr>
          <w:rFonts w:ascii="Times New Roman" w:hAnsi="Times New Roman"/>
          <w:b/>
        </w:rPr>
        <w:t>${</w:t>
      </w:r>
      <w:r>
        <w:rPr>
          <w:rFonts w:ascii="Times New Roman" w:hAnsi="Times New Roman"/>
          <w:b/>
          <w:lang w:val="en-US"/>
        </w:rPr>
        <w:t>ID</w:t>
      </w:r>
      <w:r>
        <w:rPr>
          <w:rFonts w:ascii="Times New Roman" w:hAnsi="Times New Roman"/>
          <w:b/>
        </w:rPr>
        <w:t>}</w:t>
      </w:r>
    </w:p>
    <w:p>
      <w:pPr>
        <w:pStyle w:val="Normal"/>
        <w:spacing w:lineRule="auto" w:line="240" w:before="0" w:after="0"/>
        <w:ind w:firstLine="708"/>
        <w:jc w:val="both"/>
        <w:rPr>
          <w:rFonts w:ascii="Times New Roman" w:hAnsi="Times New Roman"/>
          <w:b/>
          <w:b/>
        </w:rPr>
      </w:pPr>
      <w:r>
        <w:rPr>
          <w:rFonts w:ascii="Times New Roman" w:hAnsi="Times New Roman"/>
        </w:rPr>
        <w:t xml:space="preserve">г. </w:t>
      </w:r>
      <w:r>
        <w:rPr>
          <w:rFonts w:ascii="Times New Roman" w:hAnsi="Times New Roman"/>
          <w:b/>
        </w:rPr>
        <w:t>${</w:t>
      </w:r>
      <w:r>
        <w:rPr>
          <w:rFonts w:ascii="Times New Roman" w:hAnsi="Times New Roman"/>
          <w:b/>
          <w:lang w:val="en-US"/>
        </w:rPr>
        <w:t>CITY</w:t>
      </w:r>
      <w:r>
        <w:rPr>
          <w:rFonts w:ascii="Times New Roman" w:hAnsi="Times New Roman"/>
          <w:b/>
        </w:rPr>
        <w:t>}</w:t>
      </w:r>
      <w:r>
        <w:rPr>
          <w:rFonts w:ascii="Times New Roman" w:hAnsi="Times New Roman"/>
        </w:rPr>
        <w:t xml:space="preserve">                                                                                                     </w:t>
      </w:r>
      <w:r>
        <w:rPr>
          <w:rFonts w:ascii="Times New Roman" w:hAnsi="Times New Roman"/>
          <w:b/>
        </w:rPr>
        <w:t>${</w:t>
      </w:r>
      <w:r>
        <w:rPr>
          <w:rFonts w:ascii="Times New Roman" w:hAnsi="Times New Roman"/>
          <w:b/>
          <w:lang w:val="en-US"/>
        </w:rPr>
        <w:t>DATE</w:t>
      </w:r>
      <w:r>
        <w:rPr>
          <w:rFonts w:ascii="Times New Roman" w:hAnsi="Times New Roman"/>
          <w:b/>
        </w:rPr>
        <w:t>} г.</w:t>
      </w:r>
    </w:p>
    <w:p>
      <w:pPr>
        <w:pStyle w:val="Normal"/>
        <w:spacing w:lineRule="auto" w:line="240" w:before="0" w:after="0"/>
        <w:ind w:firstLine="709"/>
        <w:jc w:val="both"/>
        <w:rPr>
          <w:rFonts w:ascii="Times New Roman" w:hAnsi="Times New Roman"/>
        </w:rPr>
      </w:pPr>
      <w:r>
        <w:rPr>
          <w:rFonts w:ascii="Times New Roman" w:hAnsi="Times New Roman"/>
        </w:rPr>
      </w:r>
    </w:p>
    <w:p>
      <w:pPr>
        <w:pStyle w:val="Normal"/>
        <w:spacing w:lineRule="auto" w:line="240" w:before="0" w:after="0"/>
        <w:ind w:firstLine="709"/>
        <w:jc w:val="both"/>
        <w:rPr>
          <w:rFonts w:ascii="Times New Roman" w:hAnsi="Times New Roman"/>
        </w:rPr>
      </w:pPr>
      <w:r>
        <w:rPr>
          <w:rFonts w:ascii="Times New Roman" w:hAnsi="Times New Roman"/>
        </w:rPr>
        <w:t>Гражданин ${</w:t>
      </w:r>
      <w:r>
        <w:rPr>
          <w:rFonts w:ascii="Times New Roman" w:hAnsi="Times New Roman"/>
          <w:lang w:val="en-US"/>
        </w:rPr>
        <w:t>CLNAME</w:t>
      </w:r>
      <w:r>
        <w:rPr>
          <w:rFonts w:ascii="Times New Roman" w:hAnsi="Times New Roman"/>
        </w:rPr>
        <w:t>}, паспорт: серия ${</w:t>
      </w:r>
      <w:r>
        <w:rPr>
          <w:rFonts w:ascii="Times New Roman" w:hAnsi="Times New Roman"/>
          <w:lang w:val="en-US"/>
        </w:rPr>
        <w:t>CLPASS</w:t>
      </w:r>
      <w:r>
        <w:rPr>
          <w:rFonts w:ascii="Times New Roman" w:hAnsi="Times New Roman"/>
        </w:rPr>
        <w:t>} номер ${</w:t>
      </w:r>
      <w:r>
        <w:rPr>
          <w:rFonts w:ascii="Times New Roman" w:hAnsi="Times New Roman"/>
          <w:lang w:val="en-US"/>
        </w:rPr>
        <w:t>CLPASN</w:t>
      </w:r>
      <w:r>
        <w:rPr>
          <w:rFonts w:ascii="Times New Roman" w:hAnsi="Times New Roman"/>
        </w:rPr>
        <w:t>}, выданный ${</w:t>
      </w:r>
      <w:r>
        <w:rPr>
          <w:rFonts w:ascii="Times New Roman" w:hAnsi="Times New Roman"/>
          <w:lang w:val="en-US"/>
        </w:rPr>
        <w:t>CLPASORG</w:t>
      </w:r>
      <w:r>
        <w:rPr>
          <w:rFonts w:ascii="Times New Roman" w:hAnsi="Times New Roman"/>
        </w:rPr>
        <w:t>} ${</w:t>
      </w:r>
      <w:r>
        <w:rPr>
          <w:rFonts w:ascii="Times New Roman" w:hAnsi="Times New Roman"/>
          <w:lang w:val="en-US"/>
        </w:rPr>
        <w:t>PASDATE</w:t>
      </w:r>
      <w:r>
        <w:rPr>
          <w:rFonts w:ascii="Times New Roman" w:hAnsi="Times New Roman"/>
        </w:rPr>
        <w:t>}, ${</w:t>
      </w:r>
      <w:r>
        <w:rPr>
          <w:rFonts w:ascii="Times New Roman" w:hAnsi="Times New Roman"/>
          <w:lang w:val="en-US"/>
        </w:rPr>
        <w:t>CLBIRTHDATE</w:t>
      </w:r>
      <w:r>
        <w:rPr>
          <w:rFonts w:ascii="Times New Roman" w:hAnsi="Times New Roman"/>
        </w:rPr>
        <w:t>} года рождения, зарегистрированный по адресу: ${</w:t>
      </w:r>
      <w:r>
        <w:rPr>
          <w:rFonts w:ascii="Times New Roman" w:hAnsi="Times New Roman"/>
          <w:lang w:val="en-US"/>
        </w:rPr>
        <w:t>CLADRREG</w:t>
      </w:r>
      <w:r>
        <w:rPr>
          <w:rFonts w:ascii="Times New Roman" w:hAnsi="Times New Roman"/>
        </w:rPr>
        <w:t>} ${</w:t>
      </w:r>
      <w:r>
        <w:rPr>
          <w:rFonts w:ascii="Times New Roman" w:hAnsi="Times New Roman"/>
          <w:lang w:val="en-US"/>
        </w:rPr>
        <w:t>CLSEX</w:t>
      </w:r>
      <w:r>
        <w:rPr>
          <w:rFonts w:ascii="Times New Roman" w:hAnsi="Times New Roman"/>
        </w:rPr>
        <w:t xml:space="preserve">1} в дальнейшем Доверитель, с одной стороны, и  </w:t>
      </w:r>
    </w:p>
    <w:p>
      <w:pPr>
        <w:pStyle w:val="Normal"/>
        <w:spacing w:lineRule="auto" w:line="240" w:before="0" w:after="0"/>
        <w:ind w:firstLine="709"/>
        <w:jc w:val="both"/>
        <w:rPr>
          <w:rFonts w:ascii="Times New Roman" w:hAnsi="Times New Roman"/>
          <w:sz w:val="20"/>
          <w:szCs w:val="20"/>
        </w:rPr>
      </w:pPr>
      <w:r>
        <w:rPr>
          <w:rFonts w:ascii="Times New Roman" w:hAnsi="Times New Roman"/>
        </w:rPr>
        <w:t>${</w:t>
      </w:r>
      <w:r>
        <w:rPr>
          <w:rFonts w:ascii="Times New Roman" w:hAnsi="Times New Roman"/>
          <w:lang w:val="en-US"/>
        </w:rPr>
        <w:t>COMPNAME</w:t>
      </w:r>
      <w:r>
        <w:rPr>
          <w:rFonts w:ascii="Times New Roman" w:hAnsi="Times New Roman"/>
        </w:rPr>
        <w:t>}, именуемое в дальнейшем Поверенный, в лице ${</w:t>
      </w:r>
      <w:r>
        <w:rPr>
          <w:rFonts w:ascii="Times New Roman" w:hAnsi="Times New Roman"/>
          <w:lang w:val="en-US"/>
        </w:rPr>
        <w:t>EMPNAME</w:t>
      </w:r>
      <w:r>
        <w:rPr>
          <w:rFonts w:ascii="Times New Roman" w:hAnsi="Times New Roman"/>
        </w:rPr>
        <w:t>}, ${</w:t>
      </w:r>
      <w:r>
        <w:rPr>
          <w:rFonts w:ascii="Times New Roman" w:hAnsi="Times New Roman"/>
          <w:lang w:val="en-US"/>
        </w:rPr>
        <w:t>EMPSEX</w:t>
      </w:r>
      <w:r>
        <w:rPr>
          <w:rFonts w:ascii="Times New Roman" w:hAnsi="Times New Roman"/>
        </w:rPr>
        <w:t>} на основании ${</w:t>
      </w:r>
      <w:r>
        <w:rPr>
          <w:rFonts w:ascii="Times New Roman" w:hAnsi="Times New Roman"/>
          <w:lang w:val="en-US"/>
        </w:rPr>
        <w:t>EMPDOV</w:t>
      </w:r>
      <w:r>
        <w:rPr>
          <w:rFonts w:ascii="Times New Roman" w:hAnsi="Times New Roman"/>
        </w:rPr>
        <w:t>},</w:t>
      </w:r>
      <w:r>
        <w:rPr>
          <w:rFonts w:ascii="Times New Roman" w:hAnsi="Times New Roman"/>
          <w:sz w:val="20"/>
          <w:szCs w:val="20"/>
        </w:rPr>
        <w:t xml:space="preserve">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1. ПРЕДМЕТ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1.1. Доверитель поручает, а Поверенный принимает на себя обязательство за </w:t>
      </w:r>
      <w:r>
        <w:rPr>
          <w:rFonts w:ascii="Times New Roman" w:hAnsi="Times New Roman"/>
        </w:rPr>
        <w:t xml:space="preserve">абонентское </w:t>
      </w:r>
      <w:r>
        <w:rPr>
          <w:rFonts w:ascii="Times New Roman" w:hAnsi="Times New Roman"/>
          <w:sz w:val="20"/>
          <w:szCs w:val="20"/>
        </w:rPr>
        <w:t>вознаграждение совершить от имени и за счет Доверителя юридические действия путем дистанционного представления интересов и подачи документов посредством направления почтовым отправлением или через электронные сервисы, а именно: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1.1.1. Составить и подать/направить в соответствующий Арбитражный суд:</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заявление о признании несостоятельным (банкротом)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список кредиторов и должников Доверителя с указанием их наименования или фамилии, имени, отчества, суммы кредиторской и дебиторской задолженности, места нахождения или места жительства кредиторов и должников;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опись имущества Доверителя 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изготовить копии документов, являющихся приложением к заявлению о признании несостоятельным (банкротом)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направить почтовым отправлением копию заявления о признании несостоятельным (банкротом) Доверителя всем кредиторам;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1.1.2. Быть представителем интересов Доверителя посредством участия в онлайн заседаниях в соответствующем Арбитражном суде при рассмотрении дела о банкротстве. Необходимость участия в судебном заседании, а также необходимость направления заявлений, возражений, отзывов и иных документов в рамках рассмотрения заявления о признании несостоятельным (банкротом) определяются Поверенным самостоятельно.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1.2. Права и обязанности по сделке, совершенной Поверенным, возникают непосредственно у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1.3. Поверенный вправе самостоятельно определять объем оказания услуг по Договору, обоснование правовой позиции, форму и варианты защиты прав и законных интересов Доверителя, варианты изложения материалов в суде, с учетом мнения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1.4.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 процедуры несостоятельности (банкротства) физического лица,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Поверенного, оказание дополнительных услуг оплачивается Доверителем в размере, согласованном Сторонами, путем заключения дополнительного соглашения к настоящему Договору.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1.5. Данный договор является договором абонентского обслуживания по правилам ст. 429.2. Гражданского Кодекса Российской Федерации.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1.5.1. В целях настоящего Договора под абонентским вознаграждением понимается оплата услуг по настоящему договору Заказчику единовременным/ежемесячными платежами. Абонентское обслуживание предоставляется с исполнением по требованию согласно ст. 429.4 ГК РФ</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1.5.2. Под абонентским месяцем стороны договорились понимать период с даты оплаты услуг по настоящему договору по аналогичную дату следующего месяца. В случае если окончание срока приходится на дату, которая отсутствует в месяце, окончанием срока считается последний календарный день месяца.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1.5.3. Доверитель принимает условия настоящего Договора путем совершения конклюдентных действий, а именно внесение абонентского платежа, предусмотренного договором.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1.5.4. Размер и способы оплаты установлены разделом 4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 Стороны определяют порядок электронного документооборота при обмене информацией в рамках настоящего Договора.</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2. ПРАВА И ОБЯЗАННОСТИ СТОРОН</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2.1. Поверенный обязан: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2.1.1. Исполнить Поручение по требованию Доверителя и в соответствии с его указаниями.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2.1.2. Сообщать Доверителю по его требованию все сведения о ходе исполнения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2.1.4. Передать Услуги Доверителю согласно разделу 3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2.1.5. Не передавать и не показывать третьим лицам, находящуюся у Поверенного документацию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2.1.6. Известить Доверителя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2.1.7. Передавать Доверителю без промедления все полученное при исполнении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2.1.8. По исполнении поручения или при прекращении настоящего Договора до его исполнения возвратить Доверителю по его требованию доверенность, срок действия которой не истек.</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2.1.9. По письменному запросу Доверителя предоставить Отчет об исполнении поручения. Отчет об исполнении поручения предоставляется письменно, не чаще одного раза в месяц абонентского обслуживания.</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2.2. Доверитель обязан: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 Выдать Поверенному доверенность (доверенности) на совершение юридических действий, предусмотренных договором поручения, соответствующую предоставленному Доверителем образцу.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2.2.2. Самостоятельно собрать все необходимые для оказания Услуг Поверенным документы, согласно Списку необходимых документов (Приложение № 1 к Договору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Своевременно передавать Поверенному всю необходимую для оказания Услуг полную достоверную информацию, в том числе личную, указанную в Анкете клиента (Приложение № 2 к Договору поручения).  А также передавать Поверенному всю необходимую для оказания Услуг полную достоверную документацию, в том числе полученные судебные повестки, извещения, уведомления, письма, определения, постановления, решения суда, апелляционные и кассационные определения, судебные приказы, информацию о полученных телефонограммах, звонках, СМС-сообщениях. Срок представления указанных сведений должен обеспечивать возможность своевременного исполнения обязательств Поверенным, в противном случае Поверенный за результат ответственности не несет.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2.2.3. Не передавать полученную от Поверенного информацию, связанную с оказанием Услуг по Договору, третьим лицам и не использовать ее иным образом, способным привести к нанесению ущерба интересам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2.2.4. Получить в банках и передать Поверенному согласно Списку необходимых документов (Приложение № 1 к Договору поручения)  документы, а именно: кредитные договоры, графики платежей, справки  о размере задолженности, справки о наличии у Доверителя счетов, вкладов (депозитов) в банке и (или) об остатках денежных средств на счетах, во вкладах (депозитах), выписки по операциям на счетах, по вкладам (депозитам), в том числе в качестве индивидуального предпринимателя, справки об остатках электронных денежных средств и о переводах электронных денежных средств (при наличии).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Также получить в уполномоченных органах и передать Поверенному согласно Списку необходимых документов (Приложение № 1 к Договору поручения) документы, а именно: договоры займа, графики платежей, копию паспорта, СНИЛС, ИНН, копию трудовой книжки, справки по форме 2НДФЛ, справки о размере начисленных пособий, выплат, пенсий, медицинскую документацию (по запросу Поверенного), документы и данные по супругу (при наличии, по запросу Поверенного).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2.2.5. Не предпринимать в течение срока действия Договора каких-либо действий (лично или через посредников), связанных с оказанием Услуг, без согласования с Поверенным.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2.2.6. Незамедлительно сообщать Поверенному об изменении обстоятельств, имеющих отношение к предмету настоящего Договора.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2.2.7. Обеспечить внесение на депозит соответствующего Арбитражного суда денежных средств в установленном законом размере до даты подачи заявления о признании банкротом.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2.2.8. В случае перехода из процедуры реструктуризации в процедуру реализации, обеспечить внесение на депозит соответствующего Арбитражного суда денежных средств в установленном законом размере, в срок за 7 (семь) дней до даты судебного заседания.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2.2.9. Доверитель обязан без промедления принять от Поверенного все исполненное им в соответствии с Договором.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2.2.10. Ознакомиться с Отчетом Поверенного и утвердить его либо сообщить Поверенному о своих возражениях по Отчету в течение 2 (двух) дней со дня его получения. При отсутствии возражений со стороны Доверителя в указанный срок Отчет Поверенного считается принятым.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2.2.11. Уплатить Поверенному агентское вознаграждение в соответствии с разделом 4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2.2.12. В отдельных случаях по согласованию Сторон оплачивать иные расходы (государственная пошлина, налог, проезд, проживание и т.п.), необходимые для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2.2.13. Возмещать Поверенному понесенные им расходы при осуществлении платежей (государственная пошлина, налог и т.п.) в интересах Доверителя с использованием денежных средств Поверенного в течение 5 (пяти) календарных дней с момента предъявления Поверенным подтверждающих документов (квитанция, кассовый чек, билет, платежное поручение и т.п.).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2.2.14. Сообщить Поверенному актуальные способы связи (номера телефонов, e-mail) не позднее одного дня с момента их изменения.</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2.3. Поверенный вправе: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Доверителя.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2.3.2. Оплачивать иные расходы (государственная пошлина, налог, проезд, проживание и т.п.), необходимые для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2.3.3. </w:t>
      </w:r>
      <w:r>
        <w:rPr>
          <w:rFonts w:ascii="Times New Roman" w:hAnsi="Times New Roman"/>
          <w:bCs/>
          <w:sz w:val="20"/>
          <w:szCs w:val="20"/>
        </w:rPr>
        <w:t>Требовать</w:t>
      </w:r>
      <w:r>
        <w:rPr>
          <w:rFonts w:ascii="Times New Roman" w:hAnsi="Times New Roman"/>
          <w:sz w:val="20"/>
          <w:szCs w:val="20"/>
        </w:rPr>
        <w:t xml:space="preserve"> от Доверителя любую информацию и документацию, необходимую для выполнения своих обязательств по Договору. В случае непредставления либо представления Доверителем неполной или недостоверной информации, Поверенный имеет право приостановить исполнение своих обязательств по Договору, до представления необходимой информации, уведомив Доверителя по телефону либо посредством СМС-сообщения. В случае непоступления информации от Доверителя в течение 30 суток после направления сообщения,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считается расторгнутым по истечении 5 (пяти) рабочих дней с момента направления уведомления об отказе от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2.3.4. Приостановить оказание услуг по договору в случае недоступности Доверителя по указанным контактным телефонам до момента выхода доверителя на связь.</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2.4. Доверитель вправе: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2.4.2. Получать от Поверенного устные или письменные объяснения, связанные с оказанием Услуг, не позднее 3 (трех) рабочих дней с даты предъявления письменного требования.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Поверенному вознаграждения.</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3. ПОРЯДОК СДАЧИ-ПРИЕМА УСЛУГ</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3.1. Сдача-приемка оказанных услуг производится по письменному запросу Доверителя, путем направления Отчета об исполнении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3.2. В течение 5 (пяти) рабочих дней со дня поступления письменного запроса Доверителя Поверенный обязан представить ему Отчет об исполнении поручения в 2 (двух) экземплярах заказным почтовым отправлением либо путем направления по электронном почте.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3.3. В течение 2 (двух) рабочих дней со дня получения Отчета об исполнении поручения Доверитель обязан либо принять услуги, указанные в нем, подписав его, либо направить Поверенному письменные мотивированные возражения к данному Отчету.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3.4. Стороны пришли к соглашению, что если в течение 2 (двух) рабочих дней со дня получения Отчета об исполнении поручения Доверитель не представил Поверенному заказным почтовым отправлением либо посредством направления по электронной почте, по выбору Поверенного письменные мотивированные возражения, то Отчет об исполнении поручения считается подписанным Доверителем, а Услуги, указанные в Отчете – принятыми Доверителем.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3.5. Срок устранения Поверенным недостатков, при их наличии или подготовки ответа на письменное мотивированное возражение Доверителя составляет 5 (пять) рабочих дней со дня его получения.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3.6. Услуги считаются оказанными Поверенным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Поверенного.</w:t>
      </w:r>
    </w:p>
    <w:p>
      <w:pPr>
        <w:pStyle w:val="Normal"/>
        <w:spacing w:before="0" w:after="0"/>
        <w:jc w:val="center"/>
        <w:rPr>
          <w:rFonts w:ascii="Times New Roman" w:hAnsi="Times New Roman"/>
          <w:b/>
          <w:b/>
          <w:sz w:val="20"/>
          <w:szCs w:val="20"/>
        </w:rPr>
      </w:pPr>
      <w:r>
        <w:rPr>
          <w:rFonts w:ascii="Times New Roman" w:hAnsi="Times New Roman"/>
          <w:b/>
          <w:sz w:val="20"/>
          <w:szCs w:val="20"/>
        </w:rPr>
        <w:t>4. ВОЗНАГРАЖДЕНИЕ ПОВЕРЕННОГО И ПОРЯДОК РАСЧЕТОВ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4.1. Агентское вознаграждение Поверенного за исполнение поручений, предусмотренных подп. 1.1.1.- 1.1.2.  настоящего Договора, составляет </w:t>
      </w:r>
      <w:r>
        <w:rPr>
          <w:rFonts w:ascii="Times New Roman" w:hAnsi="Times New Roman"/>
          <w:lang w:val="en-US"/>
        </w:rPr>
        <w:t>${CONTSUM}</w:t>
      </w:r>
      <w:r>
        <w:rPr>
          <w:rFonts w:ascii="Times New Roman" w:hAnsi="Times New Roman"/>
        </w:rPr>
        <w:t xml:space="preserve"> </w:t>
      </w:r>
      <w:r>
        <w:rPr>
          <w:rFonts w:ascii="Times New Roman" w:hAnsi="Times New Roman"/>
          <w:lang w:val="en-US"/>
        </w:rPr>
        <w:t>${CONTSUMSTR}</w:t>
      </w:r>
      <w:r>
        <w:rPr>
          <w:rFonts w:ascii="Times New Roman" w:hAnsi="Times New Roman"/>
          <w:sz w:val="20"/>
          <w:szCs w:val="20"/>
        </w:rPr>
        <w:t xml:space="preserve">.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4.1.1. Указанное в п. 4.1. агентское вознаграждение оплачивается Доверителем ежемесячными платежами в виде абонентской платы в соответствии с приведенным графиком:</w:t>
      </w:r>
    </w:p>
    <w:p>
      <w:pPr>
        <w:pStyle w:val="Normal"/>
        <w:spacing w:lineRule="auto" w:line="240" w:before="0" w:after="0"/>
        <w:ind w:firstLine="709"/>
        <w:jc w:val="both"/>
        <w:rPr>
          <w:rFonts w:ascii="Times New Roman" w:hAnsi="Times New Roman"/>
          <w:sz w:val="20"/>
          <w:szCs w:val="20"/>
        </w:rPr>
      </w:pPr>
      <w:bookmarkStart w:id="0" w:name="ПлатёжГрафик"/>
      <w:bookmarkEnd w:id="0"/>
      <w:r>
        <w:rPr>
          <w:rFonts w:ascii="Times New Roman" w:hAnsi="Times New Roman"/>
          <w:sz w:val="20"/>
          <w:szCs w:val="20"/>
          <w:lang w:val="en-US"/>
        </w:rPr>
        <w:t>${PAYCALEND}</w:t>
      </w:r>
    </w:p>
    <w:tbl>
      <w:tblPr>
        <w:tblW w:w="5000" w:type="dxa"/>
        <w:jc w:val="left"/>
        <w:tblInd w:w="0" w:type="dxa"/>
        <w:tblBorders/>
        <w:tblCellMar>
          <w:top w:w="0" w:type="dxa"/>
          <w:left w:w="108" w:type="dxa"/>
          <w:bottom w:w="0" w:type="dxa"/>
          <w:right w:w="108" w:type="dxa"/>
        </w:tblCellMar>
        <w:tblLook w:val="04a0"/>
      </w:tblPr>
      <w:tblGrid>
        <w:gridCol w:w="1000"/>
        <w:gridCol w:w="3999"/>
      </w:tblGrid>
      <w:tr>
        <w:trPr>
          <w:trHeight w:val="23" w:hRule="exact"/>
        </w:trPr>
        <w:tc>
          <w:tcPr>
            <w:tcW w:w="1000" w:type="dxa"/>
            <w:tcBorders/>
            <w:shd w:fill="auto" w:val="clear"/>
          </w:tcPr>
          <w:p>
            <w:pPr>
              <w:pStyle w:val="Normal"/>
              <w:spacing w:lineRule="auto" w:line="240" w:before="0" w:after="0"/>
              <w:jc w:val="both"/>
              <w:rPr>
                <w:rFonts w:ascii="Times New Roman" w:hAnsi="Times New Roman"/>
                <w:sz w:val="20"/>
              </w:rPr>
            </w:pPr>
            <w:r>
              <w:rPr>
                <w:rFonts w:ascii="Times New Roman" w:hAnsi="Times New Roman"/>
                <w:sz w:val="20"/>
              </w:rPr>
            </w:r>
          </w:p>
        </w:tc>
        <w:tc>
          <w:tcPr>
            <w:tcW w:w="3999" w:type="dxa"/>
            <w:tcBorders/>
            <w:shd w:fill="auto" w:val="clear"/>
          </w:tcPr>
          <w:p>
            <w:pPr>
              <w:pStyle w:val="Normal"/>
              <w:spacing w:lineRule="auto" w:line="240" w:before="0" w:after="0"/>
              <w:jc w:val="both"/>
              <w:rPr>
                <w:rFonts w:ascii="Times New Roman" w:hAnsi="Times New Roman"/>
                <w:sz w:val="20"/>
              </w:rPr>
            </w:pPr>
            <w:r>
              <w:rPr>
                <w:rFonts w:ascii="Times New Roman" w:hAnsi="Times New Roman"/>
                <w:sz w:val="20"/>
              </w:rPr>
            </w:r>
          </w:p>
        </w:tc>
      </w:tr>
      <w:tr>
        <w:trPr>
          <w:trHeight w:val="23" w:hRule="exact"/>
        </w:trPr>
        <w:tc>
          <w:tcPr>
            <w:tcW w:w="1000" w:type="dxa"/>
            <w:tcBorders/>
            <w:shd w:fill="auto" w:val="clear"/>
          </w:tcPr>
          <w:p>
            <w:pPr>
              <w:pStyle w:val="Normal"/>
              <w:spacing w:lineRule="auto" w:line="240" w:before="0" w:after="0"/>
              <w:jc w:val="both"/>
              <w:rPr>
                <w:rFonts w:ascii="Times New Roman" w:hAnsi="Times New Roman"/>
                <w:sz w:val="20"/>
              </w:rPr>
            </w:pPr>
            <w:r>
              <w:rPr>
                <w:rFonts w:ascii="Times New Roman" w:hAnsi="Times New Roman"/>
                <w:sz w:val="20"/>
              </w:rPr>
            </w:r>
          </w:p>
        </w:tc>
        <w:tc>
          <w:tcPr>
            <w:tcW w:w="3999" w:type="dxa"/>
            <w:tcBorders/>
            <w:shd w:fill="auto" w:val="clear"/>
          </w:tcPr>
          <w:p>
            <w:pPr>
              <w:pStyle w:val="Normal"/>
              <w:spacing w:lineRule="auto" w:line="240" w:before="0" w:after="0"/>
              <w:jc w:val="both"/>
              <w:rPr>
                <w:rFonts w:ascii="Times New Roman" w:hAnsi="Times New Roman"/>
                <w:sz w:val="20"/>
              </w:rPr>
            </w:pPr>
            <w:r>
              <w:rPr>
                <w:rFonts w:ascii="Times New Roman" w:hAnsi="Times New Roman"/>
                <w:sz w:val="20"/>
              </w:rPr>
            </w:r>
          </w:p>
        </w:tc>
      </w:tr>
      <w:tr>
        <w:trPr>
          <w:trHeight w:val="23" w:hRule="exact"/>
        </w:trPr>
        <w:tc>
          <w:tcPr>
            <w:tcW w:w="1000" w:type="dxa"/>
            <w:tcBorders/>
            <w:shd w:fill="auto" w:val="clear"/>
          </w:tcPr>
          <w:p>
            <w:pPr>
              <w:pStyle w:val="Normal"/>
              <w:spacing w:lineRule="auto" w:line="240" w:before="0" w:after="0"/>
              <w:jc w:val="both"/>
              <w:rPr>
                <w:rFonts w:ascii="Times New Roman" w:hAnsi="Times New Roman"/>
                <w:sz w:val="20"/>
              </w:rPr>
            </w:pPr>
            <w:r>
              <w:rPr>
                <w:rFonts w:ascii="Times New Roman" w:hAnsi="Times New Roman"/>
                <w:sz w:val="20"/>
              </w:rPr>
            </w:r>
          </w:p>
        </w:tc>
        <w:tc>
          <w:tcPr>
            <w:tcW w:w="3999" w:type="dxa"/>
            <w:tcBorders/>
            <w:shd w:fill="auto" w:val="clear"/>
          </w:tcPr>
          <w:p>
            <w:pPr>
              <w:pStyle w:val="Normal"/>
              <w:spacing w:lineRule="auto" w:line="240" w:before="0" w:after="0"/>
              <w:jc w:val="both"/>
              <w:rPr>
                <w:rFonts w:ascii="Times New Roman" w:hAnsi="Times New Roman"/>
                <w:sz w:val="20"/>
              </w:rPr>
            </w:pPr>
            <w:r>
              <w:rPr>
                <w:rFonts w:ascii="Times New Roman" w:hAnsi="Times New Roman"/>
                <w:sz w:val="20"/>
              </w:rPr>
            </w:r>
          </w:p>
        </w:tc>
      </w:tr>
      <w:tr>
        <w:trPr>
          <w:trHeight w:val="23" w:hRule="exact"/>
        </w:trPr>
        <w:tc>
          <w:tcPr>
            <w:tcW w:w="1000" w:type="dxa"/>
            <w:tcBorders/>
            <w:shd w:fill="auto" w:val="clear"/>
          </w:tcPr>
          <w:p>
            <w:pPr>
              <w:pStyle w:val="Normal"/>
              <w:spacing w:lineRule="auto" w:line="240" w:before="0" w:after="0"/>
              <w:jc w:val="both"/>
              <w:rPr>
                <w:rFonts w:ascii="Times New Roman" w:hAnsi="Times New Roman"/>
                <w:sz w:val="20"/>
              </w:rPr>
            </w:pPr>
            <w:r>
              <w:rPr>
                <w:rFonts w:ascii="Times New Roman" w:hAnsi="Times New Roman"/>
                <w:sz w:val="20"/>
              </w:rPr>
            </w:r>
          </w:p>
        </w:tc>
        <w:tc>
          <w:tcPr>
            <w:tcW w:w="3999" w:type="dxa"/>
            <w:tcBorders/>
            <w:shd w:fill="auto" w:val="clear"/>
          </w:tcPr>
          <w:p>
            <w:pPr>
              <w:pStyle w:val="Normal"/>
              <w:spacing w:lineRule="auto" w:line="240" w:before="0" w:after="0"/>
              <w:jc w:val="both"/>
              <w:rPr>
                <w:rFonts w:ascii="Times New Roman" w:hAnsi="Times New Roman"/>
                <w:sz w:val="20"/>
              </w:rPr>
            </w:pPr>
            <w:r>
              <w:rPr>
                <w:rFonts w:ascii="Times New Roman" w:hAnsi="Times New Roman"/>
                <w:sz w:val="20"/>
              </w:rPr>
            </w:r>
          </w:p>
        </w:tc>
      </w:tr>
      <w:tr>
        <w:trPr>
          <w:trHeight w:val="23" w:hRule="exact"/>
        </w:trPr>
        <w:tc>
          <w:tcPr>
            <w:tcW w:w="1000" w:type="dxa"/>
            <w:tcBorders/>
            <w:shd w:fill="auto" w:val="clear"/>
          </w:tcPr>
          <w:p>
            <w:pPr>
              <w:pStyle w:val="Normal"/>
              <w:spacing w:lineRule="auto" w:line="240" w:before="0" w:after="0"/>
              <w:jc w:val="both"/>
              <w:rPr>
                <w:rFonts w:ascii="Times New Roman" w:hAnsi="Times New Roman"/>
                <w:sz w:val="20"/>
              </w:rPr>
            </w:pPr>
            <w:r>
              <w:rPr>
                <w:rFonts w:ascii="Times New Roman" w:hAnsi="Times New Roman"/>
                <w:sz w:val="20"/>
              </w:rPr>
            </w:r>
          </w:p>
        </w:tc>
        <w:tc>
          <w:tcPr>
            <w:tcW w:w="3999" w:type="dxa"/>
            <w:tcBorders/>
            <w:shd w:fill="auto" w:val="clear"/>
          </w:tcPr>
          <w:p>
            <w:pPr>
              <w:pStyle w:val="Normal"/>
              <w:spacing w:lineRule="auto" w:line="240" w:before="0" w:after="0"/>
              <w:jc w:val="both"/>
              <w:rPr>
                <w:rFonts w:ascii="Times New Roman" w:hAnsi="Times New Roman"/>
                <w:sz w:val="20"/>
              </w:rPr>
            </w:pPr>
            <w:r>
              <w:rPr>
                <w:rFonts w:ascii="Times New Roman" w:hAnsi="Times New Roman"/>
                <w:sz w:val="20"/>
              </w:rPr>
            </w:r>
          </w:p>
        </w:tc>
      </w:tr>
      <w:tr>
        <w:trPr>
          <w:trHeight w:val="23" w:hRule="exact"/>
        </w:trPr>
        <w:tc>
          <w:tcPr>
            <w:tcW w:w="1000" w:type="dxa"/>
            <w:tcBorders/>
            <w:shd w:fill="auto" w:val="clear"/>
          </w:tcPr>
          <w:p>
            <w:pPr>
              <w:pStyle w:val="Normal"/>
              <w:spacing w:lineRule="auto" w:line="240" w:before="0" w:after="0"/>
              <w:jc w:val="both"/>
              <w:rPr>
                <w:rFonts w:ascii="Times New Roman" w:hAnsi="Times New Roman"/>
                <w:sz w:val="20"/>
              </w:rPr>
            </w:pPr>
            <w:r>
              <w:rPr>
                <w:rFonts w:ascii="Times New Roman" w:hAnsi="Times New Roman"/>
                <w:sz w:val="20"/>
              </w:rPr>
            </w:r>
          </w:p>
        </w:tc>
        <w:tc>
          <w:tcPr>
            <w:tcW w:w="3999" w:type="dxa"/>
            <w:tcBorders/>
            <w:shd w:fill="auto" w:val="clear"/>
          </w:tcPr>
          <w:p>
            <w:pPr>
              <w:pStyle w:val="Normal"/>
              <w:spacing w:lineRule="auto" w:line="240" w:before="0" w:after="0"/>
              <w:jc w:val="both"/>
              <w:rPr>
                <w:rFonts w:ascii="Times New Roman" w:hAnsi="Times New Roman"/>
                <w:sz w:val="20"/>
              </w:rPr>
            </w:pPr>
            <w:r>
              <w:rPr>
                <w:rFonts w:ascii="Times New Roman" w:hAnsi="Times New Roman"/>
                <w:sz w:val="20"/>
              </w:rPr>
            </w:r>
          </w:p>
        </w:tc>
      </w:tr>
    </w:tbl>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Размер вознаграждения Поверенного остается неизменным вне зависимости от объема выполненной Поверенным работы, услуги выполняются Поверенным по требованию согласно ст. 429.4 ГК РФ.</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4.2. Доверитель проинформирован, что все расходы, связанные с оплатой государственной пошлины в размере 300 (триста) рублей, вознаграждения арбитражного управляющего в размере 25 000 (двадцать пять тысяч) рублей и обязательных публикаций, проводимых арбитражным управляющим, в размере от 15 000 (от пятнадцати тысяч) рублей, оплачиваются отдельно по срокам и тарифам, установленным установленными Федеральным Законом «О несостоятельности (банкротстве)» на момент подачи заявления в соответствующий Арбитражный суд.</w:t>
      </w:r>
    </w:p>
    <w:p>
      <w:pPr>
        <w:pStyle w:val="Normal"/>
        <w:spacing w:before="0" w:after="0"/>
        <w:ind w:firstLine="708"/>
        <w:jc w:val="both"/>
        <w:rPr>
          <w:rFonts w:ascii="Times New Roman" w:hAnsi="Times New Roman"/>
          <w:sz w:val="20"/>
          <w:szCs w:val="20"/>
        </w:rPr>
      </w:pPr>
      <w:r>
        <w:rPr>
          <w:rFonts w:ascii="Times New Roman" w:hAnsi="Times New Roman"/>
          <w:sz w:val="20"/>
          <w:szCs w:val="20"/>
        </w:rPr>
        <w:t>4.3. Сумма вознаграждения уплачивается путем передачи Доверителем наличных денежных средств Поверенному либо на расчетный счет Поверенного, указанный в разделе 11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4.4. Доверитель вправе досрочно исполнить обязательства по оплате.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При досрочной оплате вознаграждения Поверенного, предусмотренного п. 4.1. настоящего Договора, внесенные денежные средства принимаются Поверенным на хранение до даты соответствующего платежа. Сторонами согласована оплата услуг Поверенного по организации хранения, полученных от Доверителя денежных средств в размере 5 000 (пяти тысяч) рублей ежемесячно.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4.5. При внесении оплаты за текущий месяц Доверитель выражает согласие на получение услуг по договору в текущем месяце, а так же подтверждает отсутствие претензий по объему и качеству оказанных ему услуг в прошедшем месяце.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4.6. Стоимость услуг, оказанных в периоды  предшествующие периоду, в котором Стороны расторгли договор, возврату или перерасчету не подлежит.</w:t>
      </w:r>
    </w:p>
    <w:p>
      <w:pPr>
        <w:pStyle w:val="Normal"/>
        <w:spacing w:lineRule="auto" w:line="240" w:before="0" w:after="0"/>
        <w:ind w:firstLine="709"/>
        <w:jc w:val="center"/>
        <w:rPr>
          <w:rFonts w:ascii="Times New Roman" w:hAnsi="Times New Roman"/>
          <w:b/>
          <w:b/>
          <w:sz w:val="20"/>
          <w:szCs w:val="20"/>
        </w:rPr>
      </w:pPr>
      <w:r>
        <w:rPr>
          <w:rFonts w:ascii="Times New Roman" w:hAnsi="Times New Roman"/>
          <w:b/>
          <w:sz w:val="20"/>
          <w:szCs w:val="20"/>
        </w:rPr>
        <w:t>5. ОТВЕТСТВЕННОСТЬ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5.2. В случае неисполнения (ненадлежащего исполнения) Доверителем обязанностей, предусмотренных п. 2.2.1., 2.2.2. и 2.2.4.Договора,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5.3. Доверителю разъяснен порядок проведения процедуры признания его несостоятельным (банкротом), а также положение ч. 4 ст. 213.28 Федерального закона № 127-ФЗ от 26.10.2002 г. «О несостоятельности (банкротстве)», согласно которому освобождение гражданина от обязательств не допускается в случае, если гражданин не предоставил необходимые сведения или предоставил заведомо недостоверные сведения финансовому управляющему или арбитражному суду, рассматривающему дело о банкротстве гражданина, и это обстоятельство установлено соответствующим судебным актом, принятым при рассмотрении дела о банкротстве гражданина, о чем отобрана Расписка об ознакомлении с процедурой признания несостоятельным (банкротом) (Приложение № 3 к Договору поручения). При этом Поверенный ответственности за последствия невыполнения Доверителем обязательств, предусмотренных п. 2.2.2., 2.2.4. и 4.2. Договора, не несет.</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В случае выявления в процедуре банкротства факта предоставления Доверителем недостоверных сведений/непредставления сведений Поверенному, влекущие за собой признание в судебном порядке сделок по отчуждению движимого и недвижимого имущества Доверителя недействительным/несписания долга полностью или в части, ответственность за возникшие последствия возлагается лично на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5.4. Поверенный несет ответственность за сохранность полученных от Доверителя оригиналов документов и в случае утраты обязуется восстановить их за свой счёт.</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5.5. Доверитель несет риск всех неблагоприятных последствий, в случае предоставления Поверенному информации или документов, нарушающих права третьих лиц и полученные Доверителем с нарушением требований действующего законодательства РФ.</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5.6. За нарушение сроков оплаты, предусмотренных п. 4.1. Договора, Поверенный вправе требовать с Доверителя уплаты неустойки (пени) в размере 0,5 процентов от неуплаченной суммы за каждый день просрочки.</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5.7. Сторона, не исполнившая или ненадлежащим образом исполнившая обязательства по Договору, обязана возместить другой Стороне </w:t>
      </w:r>
      <w:r>
        <w:rPr>
          <w:rFonts w:eastAsia="Times New Roman" w:ascii="Times New Roman" w:hAnsi="Times New Roman"/>
          <w:bCs/>
          <w:sz w:val="20"/>
          <w:szCs w:val="20"/>
        </w:rPr>
        <w:t>убытки в полной сумме сверх предусмотренных Договором неустоек</w:t>
      </w:r>
      <w:r>
        <w:rPr>
          <w:rFonts w:eastAsia="Times New Roman" w:ascii="Times New Roman" w:hAnsi="Times New Roman"/>
          <w:sz w:val="20"/>
          <w:szCs w:val="20"/>
        </w:rPr>
        <w:t>.</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5.8. Во всех других случаях неисполнения обязательств по Договору Стороны несут ответственность в соответствии с действующим законодательством РФ.</w:t>
      </w:r>
    </w:p>
    <w:p>
      <w:pPr>
        <w:pStyle w:val="Normal"/>
        <w:keepNext/>
        <w:spacing w:lineRule="auto" w:line="240" w:before="0" w:after="0"/>
        <w:jc w:val="center"/>
        <w:rPr>
          <w:rFonts w:ascii="Times New Roman" w:hAnsi="Times New Roman"/>
          <w:b/>
          <w:b/>
          <w:sz w:val="20"/>
          <w:szCs w:val="20"/>
        </w:rPr>
      </w:pPr>
      <w:r>
        <w:rPr>
          <w:rFonts w:ascii="Times New Roman" w:hAnsi="Times New Roman"/>
          <w:b/>
          <w:sz w:val="20"/>
          <w:szCs w:val="20"/>
        </w:rPr>
        <w:t>6. КОНФИДЕНЦИАЛЬНОСТЬ</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6.1. Поверенный возлагает на себя обязанность обеспечивать конфиденциальность информации, предоставляемой ему Доверителем, либо ставшей известной Поверенному в процессе осуществления его деятельности по настоящему Договору.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6.2. Поверенный имеет право использовать информацию, полученную им в процессе исполнения Договора по своему усмотрению, когда такое использование не причиняет какой-либо вред имуществу или личности Доверителя.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6.3. Доверитель возлагает на себя обязанность обеспечивать конфиденциальность информации, в том числе информации юридического характера, предоставляемой ему Поверенным.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6.4. Обязательства по конфиденциальности не распространяются на общедоступную информацию.</w:t>
      </w:r>
    </w:p>
    <w:p>
      <w:pPr>
        <w:pStyle w:val="Normal"/>
        <w:keepNext/>
        <w:spacing w:before="0" w:after="0"/>
        <w:jc w:val="center"/>
        <w:rPr>
          <w:rFonts w:ascii="Times New Roman" w:hAnsi="Times New Roman"/>
          <w:b/>
          <w:b/>
          <w:sz w:val="20"/>
          <w:szCs w:val="20"/>
        </w:rPr>
      </w:pPr>
      <w:r>
        <w:rPr>
          <w:rFonts w:ascii="Times New Roman" w:hAnsi="Times New Roman"/>
          <w:b/>
          <w:sz w:val="20"/>
          <w:szCs w:val="20"/>
        </w:rPr>
        <w:t>7. ДЕЙСТВИЕ ДОГОВОРА И ПОРЯДОК РАЗРЕШЕНИЯ РАЗНОГЛАСИЙ</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 Договор вступает в силу с момента подписания его Сторонами, либо с момента совершения Доверителем конклюдентных действий, а именно внесения первого абонентского платежа, предусмотренного Договором. С момента оплаты первого платежа по Договору на Доверителя распространяются условия настоящего Договора, Стороны несут ответственность за ненадлежащее исполнение условий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7.1.1. Стороны договорились,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 160 Гражданского Кодекса РФ.</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7.1.2. Настоящий договор, составленный в форме электронного документа, на котором имеется изображение собственноручной подписи и печати организации (графический аналог подписи и печати) имеет силу договора, заключенного в письменной форме.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7.1.3. Внесение первого абонентского платежа Доверителем является подтверждением волеизъявления стороны на заключение договора на указанных в настоящем Договоре условиях, равно как и иные действия, которые могут служить подтверждением волеизъявления на заключение договора (предоставление документов, доверенности и пр.).</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7.1.4. Настоящий договор может быть изготовлен в печатном варианте по запросу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7.2. Изменение условий настоящего Договора и его досрочное расторжение допускается только по соглашению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7.3. Все приложения и дополнения к настоящему Договору, подписанные обеими Сторонами (в т.ч с использованием факсимильной подписи с помощью средств механического или иного копирования либо иного аналога собственноручной подписи) являются его неотъемлемой частью.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7.4. Допускается достижение соглашений путем обмена Сторонами электронными письмами. Направление электронного сообщения с адресов, указанных Сторонами при заключении настоящего Договора, приравнивается к письменному заявлению (уведомлению), подписанному Стороной собственноручно.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7.5.  В случае непоступления платежа, предусмотренного п. 2.2.7, 2.2.8., 4.2. настоящего Договора, в срок, определенный вышеуказанными пунктами, обязанности Поверенного по настоящему Договору приостанавливаются на срок до момента поступления платежа. Поверенный ответственности за последствия невыполнения Доверителем обязательств, предусмотренных п. 2.2.7., 2.2.8., 4.2. Договора, не несет.</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 В случае непоступления платежей, предусмотренных п. 4.1. настоящего Договора, в сроки определенные Договором, обязанности Поверенного по настоящему Договору приостанавливаются на срок до момента поступления платежа.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    Договор может быть расторгнут в следующих случаях:</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7.7.1. По инициативе Доверителя в следующем порядке: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Доверитель обязан написать заявление о досрочном расторжении договора с указанием причины расторжения;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Договор расторгается в течение 10 (десяти) календарных дней с даты получения Поверенным заявления;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Расторжение договора оформляется путём подписания дополнительного соглашения к договору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Оплаченные Доверителем по настоящему договору поручения денежные средства не возвращаются.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7.7.2.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в случае неисполнения (ненадлежащего исполнения) Доверителем обязанностей, предусмотренных п. 2.2.1., 2.2.2., 2.2.4. и 4.2.  Договора.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 Договор считается расторгнутым по истечении 5 (пяти) рабочих дней с момента направления уведомления об отказе от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7.7.3. Нарушения пунктов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7.7.4. Ликвидации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7.7.5. Полного погашения Доверителем задолженности перед кредиторами;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7.7.6. Утверждения судом плана реструктуризации долгов Доверителя, предусмотренного Федеральным законом № 127-ФЗ от 26.10.2002 г. «О несостоятельности (банкротстве)»;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7.7.7. Принятия судом решения об освобождении Доверителя от исполнения требований кредиторов в соответствии с Федеральным законом № 127-ФЗ от 26.10.2002 г. «О несостоятельности (банкротстве)»;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7.7.8. Непоступления платежа, предусмотренного пп. 4.1. настоящего Договора, в течение 1 (одного) месяца и отсутствия в этот период заявления о расторжении Договора от Доверителя, Договор считается расторгнутым автоматически, стороны друг к другу претензий не имеют.</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7.8. В случае нарушения Доверителем условий оплаты вознаграждения Поверенного, денежные средства, оплаченные им в рамках настоящего Договора, возврату не подлежат.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7.9.При выполнении условий Договора Стороны руководствуются действующим законодательством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7.10. По исполнении поручения или при прекращении настоящего Договора до его исполнения Поверенный возвращает Доверителю по его требованию доверенность, срок действия которой не истек. Доверенность возвращается путем направления заказным почтовым отправлением по адресу, указанному в разделе 11 настоящего Договора. По истечение 6 (шести) месяцев после расторжения Договора, по любому основанию, Поверенный вправе уничтожить копии представленных Доверителем документов путем удаления с любых информационных носителей либо измельчения до размеров, исключающих прочтение текста. </w:t>
      </w:r>
    </w:p>
    <w:p>
      <w:pPr>
        <w:pStyle w:val="Normal"/>
        <w:spacing w:lineRule="auto" w:line="240" w:before="0" w:after="0"/>
        <w:ind w:firstLine="709"/>
        <w:jc w:val="center"/>
        <w:rPr>
          <w:rFonts w:ascii="Times New Roman" w:hAnsi="Times New Roman"/>
          <w:b/>
          <w:b/>
          <w:sz w:val="20"/>
          <w:szCs w:val="20"/>
        </w:rPr>
      </w:pPr>
      <w:r>
        <w:rPr>
          <w:rFonts w:ascii="Times New Roman" w:hAnsi="Times New Roman"/>
          <w:b/>
          <w:sz w:val="20"/>
          <w:szCs w:val="20"/>
        </w:rPr>
        <w:t>8. СРОК ДЕЙСТВИЯ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8.1. Договор вступает в силу с момента подписания его Сторонами или совершения ими действий, предусмотренных подп. 7.1.2., 7.1.3. и действует до полного исполнения Сторонами своих обязательств по нему.</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9. РАЗРЕШЕНИЕ СПОРОВ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9.1.Претензионный порядок досудебного урегулирования споров из Договора является для Сторон обязательным.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9.2. Претензионные письма направляются Сторонами нарочным либо заказным почтовым отправлением с уведомлением о вручении адресату по адресам местонахождения Сторон, указанным в разделе 11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9.3.Срок рассмотрения претензионного письма составляет 5(пять) рабочих дней со дня получения последнего адресатом.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9.4. Споры из Договора разрешаются в судебном порядке в соответствии с действующим законодательством Российской Федерации.</w:t>
      </w:r>
    </w:p>
    <w:p>
      <w:pPr>
        <w:pStyle w:val="Normal"/>
        <w:spacing w:lineRule="auto" w:line="240" w:before="0" w:after="0"/>
        <w:ind w:firstLine="709"/>
        <w:jc w:val="center"/>
        <w:rPr>
          <w:rFonts w:ascii="Times New Roman" w:hAnsi="Times New Roman"/>
          <w:b/>
          <w:b/>
          <w:sz w:val="20"/>
          <w:szCs w:val="20"/>
        </w:rPr>
      </w:pPr>
      <w:r>
        <w:rPr>
          <w:rFonts w:ascii="Times New Roman" w:hAnsi="Times New Roman"/>
          <w:b/>
          <w:sz w:val="20"/>
          <w:szCs w:val="20"/>
        </w:rPr>
        <w:t>10. ПРОЧИЕ УСЛОВИЯ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10.1.Стороны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10.2.Стороны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10.3. Доверитель гарантирует, что предоставленные Поверенному сведения получены с соблюдением требований законодательства и не нарушает права третьих лиц.</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10.4.Доверитель подтверждает, что ознакомлен в полном объеме, ему понятны, он соглашается полностью и принимает условия настоящего Договора  и Тарифы компании.</w:t>
      </w:r>
    </w:p>
    <w:p>
      <w:pPr>
        <w:pStyle w:val="Normal"/>
        <w:keepNext/>
        <w:spacing w:lineRule="auto" w:line="240" w:before="0" w:after="0"/>
        <w:ind w:firstLine="709"/>
        <w:jc w:val="center"/>
        <w:rPr>
          <w:rFonts w:ascii="Times New Roman" w:hAnsi="Times New Roman"/>
          <w:b/>
          <w:b/>
          <w:sz w:val="20"/>
          <w:szCs w:val="20"/>
        </w:rPr>
      </w:pPr>
      <w:r>
        <w:rPr>
          <w:rFonts w:ascii="Times New Roman" w:hAnsi="Times New Roman"/>
          <w:b/>
          <w:sz w:val="20"/>
          <w:szCs w:val="20"/>
        </w:rPr>
        <w:t>11. РЕКВИЗИТЫ И ПОДПИСИ СТОРОН</w:t>
      </w:r>
    </w:p>
    <w:tbl>
      <w:tblPr>
        <w:tblW w:w="934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4672"/>
        <w:gridCol w:w="4671"/>
      </w:tblGrid>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rPr>
            </w:pPr>
            <w:r>
              <w:rPr>
                <w:rFonts w:ascii="Times New Roman" w:hAnsi="Times New Roman"/>
                <w:b/>
              </w:rPr>
              <w:t>Доверитель:</w:t>
            </w:r>
          </w:p>
          <w:p>
            <w:pPr>
              <w:pStyle w:val="Normal"/>
              <w:spacing w:lineRule="auto" w:line="240" w:before="0" w:after="0"/>
              <w:jc w:val="both"/>
              <w:rPr>
                <w:rFonts w:ascii="Times New Roman" w:hAnsi="Times New Roman"/>
              </w:rPr>
            </w:pPr>
            <w:r>
              <w:rPr>
                <w:rFonts w:ascii="Times New Roman" w:hAnsi="Times New Roman"/>
                <w:lang w:val="en-US"/>
              </w:rPr>
              <w:t>${CLNAME}</w:t>
            </w:r>
            <w:r>
              <w:rPr>
                <w:rFonts w:ascii="Times New Roman" w:hAnsi="Times New Roman"/>
              </w:rPr>
              <w:t xml:space="preserve"> </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rPr>
            </w:pPr>
            <w:r>
              <w:rPr>
                <w:rFonts w:ascii="Times New Roman" w:hAnsi="Times New Roman"/>
                <w:b/>
              </w:rPr>
              <w:t xml:space="preserve">Поверенный: </w:t>
            </w:r>
          </w:p>
          <w:p>
            <w:pPr>
              <w:pStyle w:val="Normal"/>
              <w:spacing w:lineRule="auto" w:line="240" w:before="0" w:after="0"/>
              <w:jc w:val="both"/>
              <w:rPr>
                <w:rFonts w:ascii="Times New Roman" w:hAnsi="Times New Roman"/>
                <w:lang w:val="en-US"/>
              </w:rPr>
            </w:pPr>
            <w:r>
              <w:rPr>
                <w:rFonts w:ascii="Times New Roman" w:hAnsi="Times New Roman"/>
                <w:lang w:val="en-US"/>
              </w:rPr>
              <w:t>${COMPNAME}</w:t>
            </w:r>
          </w:p>
          <w:p>
            <w:pPr>
              <w:pStyle w:val="Normal"/>
              <w:spacing w:lineRule="auto" w:line="240" w:before="0" w:after="0"/>
              <w:jc w:val="both"/>
              <w:rPr>
                <w:rFonts w:ascii="Times New Roman" w:hAnsi="Times New Roman"/>
                <w:lang w:val="en-US"/>
              </w:rPr>
            </w:pPr>
            <w:r>
              <w:rPr>
                <w:rFonts w:ascii="Times New Roman" w:hAnsi="Times New Roman"/>
                <w:lang w:val="en-US"/>
              </w:rPr>
              <w:t>${BRNAME}</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Адрес регистрации: </w:t>
            </w:r>
            <w:r>
              <w:rPr>
                <w:rFonts w:ascii="Times New Roman" w:hAnsi="Times New Roman"/>
                <w:lang w:val="en-US"/>
              </w:rPr>
              <w:t>${CLADRREG}</w:t>
            </w:r>
          </w:p>
          <w:p>
            <w:pPr>
              <w:pStyle w:val="Normal"/>
              <w:spacing w:lineRule="auto" w:line="240" w:before="0" w:after="0"/>
              <w:jc w:val="both"/>
              <w:rPr>
                <w:rFonts w:ascii="Times New Roman" w:hAnsi="Times New Roman"/>
              </w:rPr>
            </w:pPr>
            <w:r>
              <w:rPr>
                <w:rFonts w:ascii="Times New Roman" w:hAnsi="Times New Roman"/>
              </w:rPr>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 xml:space="preserve">Юридический адрес: </w:t>
            </w:r>
          </w:p>
          <w:p>
            <w:pPr>
              <w:pStyle w:val="Normal"/>
              <w:spacing w:lineRule="auto" w:line="240" w:before="0" w:after="0"/>
              <w:jc w:val="both"/>
              <w:rPr>
                <w:rFonts w:ascii="Times New Roman" w:hAnsi="Times New Roman"/>
                <w:lang w:val="en-US"/>
              </w:rPr>
            </w:pPr>
            <w:r>
              <w:rPr>
                <w:rFonts w:ascii="Times New Roman" w:hAnsi="Times New Roman"/>
                <w:lang w:val="en-US"/>
              </w:rPr>
              <w:t>${COMPADR}</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Адрес проживания: </w:t>
            </w:r>
            <w:r>
              <w:rPr>
                <w:rFonts w:ascii="Times New Roman" w:hAnsi="Times New Roman"/>
                <w:lang w:val="en-US"/>
              </w:rPr>
              <w:t>${CLADRFACT}</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Почтовый адрес:</w:t>
            </w:r>
          </w:p>
          <w:p>
            <w:pPr>
              <w:pStyle w:val="Normal"/>
              <w:spacing w:lineRule="auto" w:line="240" w:before="0" w:after="0"/>
              <w:jc w:val="both"/>
              <w:rPr>
                <w:rFonts w:ascii="Times New Roman" w:hAnsi="Times New Roman"/>
                <w:lang w:val="en-US"/>
              </w:rPr>
            </w:pPr>
            <w:r>
              <w:rPr>
                <w:rFonts w:ascii="Times New Roman" w:hAnsi="Times New Roman"/>
                <w:lang w:val="en-US"/>
              </w:rPr>
              <w:t>${BRADR}</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Паспорт: серия ${</w:t>
            </w:r>
            <w:r>
              <w:rPr>
                <w:rFonts w:ascii="Times New Roman" w:hAnsi="Times New Roman"/>
                <w:lang w:val="en-US"/>
              </w:rPr>
              <w:t>CLPASS</w:t>
            </w:r>
            <w:r>
              <w:rPr>
                <w:rFonts w:ascii="Times New Roman" w:hAnsi="Times New Roman"/>
              </w:rPr>
              <w:t>} номер ${</w:t>
            </w:r>
            <w:r>
              <w:rPr>
                <w:rFonts w:ascii="Times New Roman" w:hAnsi="Times New Roman"/>
                <w:lang w:val="en-US"/>
              </w:rPr>
              <w:t>CLPASN</w:t>
            </w:r>
            <w:r>
              <w:rPr>
                <w:rFonts w:ascii="Times New Roman" w:hAnsi="Times New Roman"/>
              </w:rPr>
              <w:t>}</w:t>
            </w:r>
          </w:p>
          <w:p>
            <w:pPr>
              <w:pStyle w:val="Normal"/>
              <w:spacing w:lineRule="auto" w:line="240" w:before="0" w:after="0"/>
              <w:jc w:val="both"/>
              <w:rPr>
                <w:rFonts w:ascii="Times New Roman" w:hAnsi="Times New Roman"/>
              </w:rPr>
            </w:pPr>
            <w:r>
              <w:rPr>
                <w:rFonts w:ascii="Times New Roman" w:hAnsi="Times New Roman"/>
              </w:rPr>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ИНН/КПП</w:t>
            </w:r>
          </w:p>
          <w:p>
            <w:pPr>
              <w:pStyle w:val="Normal"/>
              <w:spacing w:lineRule="auto" w:line="240" w:before="0" w:after="0"/>
              <w:jc w:val="both"/>
              <w:rPr>
                <w:rFonts w:ascii="Times New Roman" w:hAnsi="Times New Roman"/>
                <w:lang w:val="en-US"/>
              </w:rPr>
            </w:pPr>
            <w:r>
              <w:rPr>
                <w:rFonts w:ascii="Times New Roman" w:hAnsi="Times New Roman"/>
                <w:lang w:val="en-US"/>
              </w:rPr>
              <w:t>${INN} / ${KPP}</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Выдан </w:t>
            </w:r>
            <w:r>
              <w:rPr>
                <w:rFonts w:ascii="Times New Roman" w:hAnsi="Times New Roman"/>
                <w:lang w:val="en-US"/>
              </w:rPr>
              <w:t>${CLPASORG}</w:t>
            </w:r>
            <w:r>
              <w:rPr>
                <w:rFonts w:ascii="Times New Roman" w:hAnsi="Times New Roman"/>
              </w:rPr>
              <w:t xml:space="preserve"> </w:t>
            </w:r>
            <w:r>
              <w:rPr>
                <w:rFonts w:ascii="Times New Roman" w:hAnsi="Times New Roman"/>
                <w:lang w:val="en-US"/>
              </w:rPr>
              <w:t>${CLPASDATE}</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ОГРН </w:t>
            </w:r>
            <w:r>
              <w:rPr>
                <w:rFonts w:ascii="Times New Roman" w:hAnsi="Times New Roman"/>
                <w:lang w:val="en-US"/>
              </w:rPr>
              <w:t>${OGRN}</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lang w:val="en-US"/>
              </w:rPr>
              <w:t xml:space="preserve">${CLBIRTHDATE} </w:t>
            </w:r>
            <w:r>
              <w:rPr>
                <w:rFonts w:ascii="Times New Roman" w:hAnsi="Times New Roman"/>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Банк</w:t>
            </w:r>
          </w:p>
          <w:p>
            <w:pPr>
              <w:pStyle w:val="Normal"/>
              <w:spacing w:lineRule="auto" w:line="240" w:before="0" w:after="0"/>
              <w:jc w:val="both"/>
              <w:rPr>
                <w:rFonts w:ascii="Times New Roman" w:hAnsi="Times New Roman"/>
                <w:lang w:val="en-US"/>
              </w:rPr>
            </w:pPr>
            <w:r>
              <w:rPr>
                <w:rFonts w:ascii="Times New Roman" w:hAnsi="Times New Roman"/>
                <w:lang w:val="en-US"/>
              </w:rPr>
              <w:t>${COMPBANK}</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4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sz w:val="20"/>
                <w:szCs w:val="20"/>
              </w:rPr>
            </w:pPr>
            <w:r>
              <w:rPr>
                <w:rFonts w:ascii="Times New Roman" w:hAnsi="Times New Roman"/>
              </w:rPr>
              <w:t xml:space="preserve">Контакты для связи: </w:t>
            </w:r>
            <w:r>
              <w:rPr>
                <w:rFonts w:ascii="Times New Roman" w:hAnsi="Times New Roman"/>
                <w:lang w:val="en-US"/>
              </w:rPr>
              <w:t>${CLCONTACTS}</w:t>
            </w:r>
          </w:p>
        </w:tc>
        <w:tc>
          <w:tcPr>
            <w:tcW w:w="4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lang w:val="en-US"/>
              </w:rPr>
            </w:pPr>
            <w:r>
              <w:rPr>
                <w:rFonts w:ascii="Times New Roman" w:hAnsi="Times New Roman"/>
              </w:rPr>
              <w:t xml:space="preserve">Адрес электронной почты: </w:t>
            </w:r>
            <w:r>
              <w:rPr>
                <w:rFonts w:ascii="Times New Roman" w:hAnsi="Times New Roman"/>
                <w:lang w:val="en-US"/>
              </w:rPr>
              <w:t>${CLEMAIL}</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lang w:val="en-US"/>
              </w:rPr>
            </w:pPr>
            <w:r>
              <w:rPr>
                <w:rFonts w:ascii="Times New Roman" w:hAnsi="Times New Roman"/>
              </w:rPr>
              <w:t xml:space="preserve">Адрес электронной почты: </w:t>
            </w:r>
            <w:r>
              <w:rPr>
                <w:rFonts w:ascii="Times New Roman" w:hAnsi="Times New Roman"/>
                <w:lang w:val="en-US"/>
              </w:rPr>
              <w:t>${COMPEMAIL}</w:t>
            </w:r>
          </w:p>
        </w:tc>
      </w:tr>
    </w:tbl>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b/>
          <w:b/>
          <w:sz w:val="20"/>
          <w:szCs w:val="20"/>
        </w:rPr>
      </w:pPr>
      <w:r>
        <mc:AlternateContent>
          <mc:Choice Requires="wps">
            <w:drawing>
              <wp:anchor behindDoc="1" distT="0" distB="0" distL="114300" distR="114300" simplePos="0" locked="0" layoutInCell="1" allowOverlap="1" relativeHeight="2">
                <wp:simplePos x="0" y="0"/>
                <wp:positionH relativeFrom="column">
                  <wp:posOffset>2565400</wp:posOffset>
                </wp:positionH>
                <wp:positionV relativeFrom="paragraph">
                  <wp:posOffset>115570</wp:posOffset>
                </wp:positionV>
                <wp:extent cx="1908810" cy="1751330"/>
                <wp:effectExtent l="38100" t="0" r="15875" b="0"/>
                <wp:wrapNone/>
                <wp:docPr id="1" name="Рисунок 0" descr="подпись.jpg"/>
                <a:graphic xmlns:a="http://schemas.openxmlformats.org/drawingml/2006/main">
                  <a:graphicData uri="http://schemas.openxmlformats.org/drawingml/2006/picture">
                    <pic:pic xmlns:pic="http://schemas.openxmlformats.org/drawingml/2006/picture">
                      <pic:nvPicPr>
                        <pic:cNvPr id="0" name="Рисунок 0" descr="подпись.jpg"/>
                        <pic:cNvPicPr/>
                      </pic:nvPicPr>
                      <pic:blipFill>
                        <a:blip r:embed="rId2"/>
                        <a:stretch/>
                      </pic:blipFill>
                      <pic:spPr>
                        <a:xfrm>
                          <a:off x="0" y="0"/>
                          <a:ext cx="1908000" cy="1750680"/>
                        </a:xfrm>
                        <a:prstGeom prst="rect">
                          <a:avLst/>
                        </a:prstGeom>
                        <a:ln>
                          <a:noFill/>
                        </a:ln>
                        <a:effectLst>
                          <a:outerShdw algn="ctr" blurRad="50800" dir="5400000" dist="50800" rotWithShape="0">
                            <a:srgbClr val="000000">
                              <a:alpha val="0"/>
                            </a:srgbClr>
                          </a:outerShdw>
                        </a:effectLst>
                      </pic:spPr>
                    </pic:pic>
                  </a:graphicData>
                </a:graphic>
              </wp:anchor>
            </w:drawing>
          </mc:Choice>
          <mc:Fallback>
            <w:pict>
              <v:rect id="shape_0" ID="Рисунок 0" stroked="f" style="position:absolute;margin-left:202pt;margin-top:9.1pt;width:150.2pt;height:137.8pt">
                <v:imagedata r:id="rId2" o:detectmouseclick="t"/>
                <w10:wrap type="none"/>
                <v:stroke color="#3465a4" joinstyle="round" endcap="flat"/>
              </v:rect>
            </w:pict>
          </mc:Fallback>
        </mc:AlternateContent>
      </w:r>
      <w:r>
        <w:rPr>
          <w:rFonts w:ascii="Times New Roman" w:hAnsi="Times New Roman"/>
          <w:b/>
          <w:sz w:val="20"/>
          <w:szCs w:val="20"/>
        </w:rPr>
        <w:t>Доверитель:</w:t>
        <w:tab/>
        <w:tab/>
        <w:tab/>
        <w:tab/>
        <w:tab/>
        <w:tab/>
        <w:t>Поверенный:</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drawing>
          <wp:anchor behindDoc="1" distT="0" distB="0" distL="133350" distR="114300" simplePos="0" locked="0" layoutInCell="1" allowOverlap="1" relativeHeight="5">
            <wp:simplePos x="0" y="0"/>
            <wp:positionH relativeFrom="column">
              <wp:posOffset>4228465</wp:posOffset>
            </wp:positionH>
            <wp:positionV relativeFrom="paragraph">
              <wp:posOffset>167005</wp:posOffset>
            </wp:positionV>
            <wp:extent cx="1757680" cy="1750695"/>
            <wp:effectExtent l="0" t="0" r="0" b="0"/>
            <wp:wrapNone/>
            <wp:docPr id="2" name="Рисунок 2" descr="печа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печать.jpg"/>
                    <pic:cNvPicPr>
                      <a:picLocks noChangeAspect="1" noChangeArrowheads="1"/>
                    </pic:cNvPicPr>
                  </pic:nvPicPr>
                  <pic:blipFill>
                    <a:blip r:embed="rId3"/>
                    <a:stretch>
                      <a:fillRect/>
                    </a:stretch>
                  </pic:blipFill>
                  <pic:spPr bwMode="auto">
                    <a:xfrm>
                      <a:off x="0" y="0"/>
                      <a:ext cx="1757680" cy="1750695"/>
                    </a:xfrm>
                    <a:prstGeom prst="rect">
                      <a:avLst/>
                    </a:prstGeom>
                  </pic:spPr>
                </pic:pic>
              </a:graphicData>
            </a:graphic>
          </wp:anchor>
        </w:drawing>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lang w:val="en-US"/>
        </w:rPr>
      </w:pPr>
      <w:r>
        <w:rPr>
          <w:rFonts w:ascii="Times New Roman" w:hAnsi="Times New Roman"/>
          <w:sz w:val="20"/>
          <w:szCs w:val="20"/>
        </w:rPr>
        <w:t xml:space="preserve">_____________/____________________/            </w:t>
      </w:r>
      <w:r>
        <w:rPr>
          <w:rFonts w:ascii="Times New Roman" w:hAnsi="Times New Roman"/>
          <w:sz w:val="20"/>
          <w:szCs w:val="20"/>
          <w:lang w:val="en-US"/>
        </w:rPr>
        <w:tab/>
        <w:tab/>
      </w:r>
      <w:r>
        <w:rPr>
          <w:rFonts w:ascii="Times New Roman" w:hAnsi="Times New Roman"/>
          <w:sz w:val="20"/>
          <w:szCs w:val="20"/>
        </w:rPr>
        <w:t>_____________/</w:t>
      </w:r>
      <w:r>
        <w:rPr>
          <w:rFonts w:ascii="Times New Roman" w:hAnsi="Times New Roman"/>
          <w:sz w:val="20"/>
          <w:szCs w:val="20"/>
          <w:u w:val="single"/>
        </w:rPr>
        <w:t xml:space="preserve">  Канунников А.Ю.</w:t>
      </w:r>
    </w:p>
    <w:p>
      <w:pPr>
        <w:pStyle w:val="Normal"/>
        <w:numPr>
          <w:ilvl w:val="0"/>
          <w:numId w:val="0"/>
        </w:numPr>
        <w:jc w:val="both"/>
        <w:outlineLvl w:val="0"/>
        <w:rPr>
          <w:rFonts w:ascii="Times New Roman" w:hAnsi="Times New Roman"/>
          <w:sz w:val="18"/>
          <w:szCs w:val="18"/>
        </w:rPr>
      </w:pPr>
      <w:r>
        <w:rPr>
          <w:rFonts w:ascii="Times New Roman" w:hAnsi="Times New Roman"/>
          <w:sz w:val="18"/>
          <w:szCs w:val="18"/>
        </w:rPr>
        <w:t>подпись</w:t>
        <w:tab/>
        <w:tab/>
        <w:t xml:space="preserve">        ФИО </w:t>
        <w:tab/>
        <w:tab/>
        <w:tab/>
        <w:tab/>
        <w:t xml:space="preserve">         </w:t>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t>Приложение №1</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 xml:space="preserve">к Договору поручения </w:t>
      </w:r>
    </w:p>
    <w:p>
      <w:pPr>
        <w:pStyle w:val="Normal"/>
        <w:spacing w:lineRule="auto" w:line="240" w:before="0" w:after="0"/>
        <w:ind w:left="5670" w:hanging="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pPr>
        <w:pStyle w:val="NoSpacing"/>
        <w:ind w:firstLine="360"/>
        <w:jc w:val="center"/>
        <w:rPr>
          <w:b/>
          <w:b/>
        </w:rPr>
      </w:pPr>
      <w:r>
        <w:rPr>
          <w:b/>
        </w:rPr>
        <w:t xml:space="preserve">Список необходимых документов </w:t>
      </w:r>
    </w:p>
    <w:tbl>
      <w:tblPr>
        <w:tblW w:w="1068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675"/>
        <w:gridCol w:w="6804"/>
        <w:gridCol w:w="1842"/>
        <w:gridCol w:w="1361"/>
      </w:tblGrid>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 xml:space="preserve">№ </w:t>
            </w:r>
            <w:r>
              <w:rPr>
                <w:rFonts w:ascii="Times New Roman" w:hAnsi="Times New Roman"/>
                <w:b/>
                <w:sz w:val="20"/>
                <w:szCs w:val="20"/>
              </w:rPr>
              <w:t>п/п</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Наименование документа</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Отметка о получении Поверенным (подпись/ФИО)</w:t>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Дата получения</w:t>
            </w:r>
          </w:p>
        </w:tc>
      </w:tr>
      <w:tr>
        <w:trPr/>
        <w:tc>
          <w:tcPr>
            <w:tcW w:w="10682"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Документы по обязательствам</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Оригиналы всех кредитных договоров, договоров займа, дополнительных соглашений, графиков платежей по всем имеющимся кредиторам</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9._________________________________________________________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10.________________________________________________________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11.________________________________________________________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Оригиналы справок о размере задолженности из всех банков и микрокредитных организаций, где имеются действующие договоры (давность справки должна быть не старше 30 дней)</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9._________________________________________________________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10.________________________________________________________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11.________________________________________________________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о наличии счетов, вкладов (депозитов) из всех банков, где у клиента открыты счета, в том числе в качестве индивидуального предпринимателя. </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об остатках денежных средств на этих счетах, во вкладах (депозитах). </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выписки о движении денежных средств по ним за последние 3 года</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9._________________________________________________________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10.________________________________________________________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11.________________________________________________________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об остатках электронных денежных средств и о переводах электронных денежных средств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5.</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Почтовые квитанции с описью вложения о направлении копии заявления о признании должника несостоятельным (банкротом) </w:t>
            </w:r>
            <w:r>
              <w:rPr>
                <w:rFonts w:ascii="Times New Roman" w:hAnsi="Times New Roman"/>
                <w:b/>
                <w:i/>
                <w:sz w:val="20"/>
                <w:szCs w:val="20"/>
              </w:rPr>
              <w:t>всем кредиторам</w:t>
            </w:r>
            <w:r>
              <w:rPr>
                <w:rFonts w:ascii="Times New Roman" w:hAnsi="Times New Roman"/>
                <w:sz w:val="20"/>
                <w:szCs w:val="20"/>
              </w:rPr>
              <w:t xml:space="preserve"> по адресам указанным в заявлении.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10682"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Личные документы</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6.</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паспорта (все страницы без обложки)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7.</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заграничного паспорта (при наличии, все страницы без обложки)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8.</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СНИЛС</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9.</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ИНН</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10.</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свидетельства о заключении брака (при наличии)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11.</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свидетельства о расторжении брака либо копия решения суда о расторжении брака с синей печатью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12.</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свидетельств о рождении всех несовершеннолетних детей либо паспорт + справка о регистрации по месту жительства всех совершеннолетних детей, находящихся на Вашем иждивении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13.</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других документов подтверждающих наличие иждивенцев (при наличии, справка органов опеки и попечительства, справка об обучении на очной форме в ВУЗ + справку с места жительства и пр.)</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14.</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трудовой книжки (все страницы, заверенная в отделе кадров работодателя)</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15.</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по форме 2НДФЛ за последние 3 года (если работал в указанный период)</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16.</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17.</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18.</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пенсионного удостоверения (при наличии, все страницы)</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19.</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справки МСЭ об установлении инвалидности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20.</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21.</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о размере иных начисленных пособий, выплат и др.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22.</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23.</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из ГИБДД о наличии/отсутствии в собственности транспортных средств, а также о совершенных сделках за 3 года</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24.</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25.</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26.</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27.</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выписки из реестра акционеров (при наличии доли в АО)</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28.</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Выписка из ЕГРЮЛ/ЕГРИП, бухгалтерская отчетность за 3 года (при наличии статуса ИП или доли в ООО, в том числе если вышел из состава юридического лица в течении 3 лет до подписания настоящего Договора)</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29.</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Выписка из реестра акционеров (участников) юридического лица, акционером (участником) которого является гражданин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30.</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Сведения о состоянии индивидуального лицевого счета застрахованного лица (Выписка из ИЛС, получается в Пенсионном фонде, содержит сведения об отчислениях за период трудовой деятельности)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31.</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Цветные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10682"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b/>
                <w:b/>
                <w:bCs/>
                <w:sz w:val="20"/>
                <w:szCs w:val="20"/>
              </w:rPr>
            </w:pPr>
            <w:r>
              <w:rPr>
                <w:rFonts w:ascii="Times New Roman" w:hAnsi="Times New Roman"/>
                <w:b/>
                <w:bCs/>
                <w:sz w:val="20"/>
                <w:szCs w:val="20"/>
              </w:rPr>
              <w:t>Документы по супругу (в т.ч. если брак расторгнут в течении 3 лет)</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32.</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паспорта (все страницы без обложки)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33.</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СНИЛС</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34.</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ИНН</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35.</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трудовой книжки (все страницы, заверенная в отделе кадров работодателя)</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36.</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по форме 2НДФЛ за последние 3 года (если работал в указанный период)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37.</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38.</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пенсионного удостоверения (при наличии, все страницы)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39.</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справки МСЭ об установлении инвалидности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40.</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41.</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о размере иных начисленных пособий, выплат и др.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42.</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43.</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из ГИБДД о наличии/отсутствии в собственности транспортных средств, а также о совершенных сделках за 3 года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44.</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45.</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46.</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47.</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Выписка из ЕГРЮЛ/ЕГРИП, бухгалтерская отчетность за 3 года (при наличии статуса ИП или доли в ООО)</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48.</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соглашений или судебных актов о разделе имущества супругов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49.</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брачного договора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50.</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Иные документы</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bl>
    <w:p>
      <w:pPr>
        <w:pStyle w:val="NoSpacing"/>
        <w:ind w:firstLine="360"/>
        <w:jc w:val="both"/>
        <w:rPr/>
      </w:pPr>
      <w:r>
        <w:drawing>
          <wp:anchor behindDoc="1" distT="0" distB="0" distL="133350" distR="114300" simplePos="0" locked="0" layoutInCell="1" allowOverlap="1" relativeHeight="3">
            <wp:simplePos x="0" y="0"/>
            <wp:positionH relativeFrom="column">
              <wp:posOffset>4554855</wp:posOffset>
            </wp:positionH>
            <wp:positionV relativeFrom="paragraph">
              <wp:posOffset>295275</wp:posOffset>
            </wp:positionV>
            <wp:extent cx="1757680" cy="1751330"/>
            <wp:effectExtent l="0" t="0" r="0" b="0"/>
            <wp:wrapNone/>
            <wp:docPr id="3" name="Изображение1" descr="печа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печать.jpg"/>
                    <pic:cNvPicPr>
                      <a:picLocks noChangeAspect="1" noChangeArrowheads="1"/>
                    </pic:cNvPicPr>
                  </pic:nvPicPr>
                  <pic:blipFill>
                    <a:blip r:embed="rId4"/>
                    <a:stretch>
                      <a:fillRect/>
                    </a:stretch>
                  </pic:blipFill>
                  <pic:spPr bwMode="auto">
                    <a:xfrm>
                      <a:off x="0" y="0"/>
                      <a:ext cx="1757680" cy="1751330"/>
                    </a:xfrm>
                    <a:prstGeom prst="rect">
                      <a:avLst/>
                    </a:prstGeom>
                  </pic:spPr>
                </pic:pic>
              </a:graphicData>
            </a:graphic>
          </wp:anchor>
        </w:drawing>
      </w:r>
      <w:r>
        <w:rPr>
          <w:bCs/>
        </w:rPr>
        <w:t>Я</w:t>
      </w:r>
      <w:r>
        <w:rPr>
          <w:bCs/>
        </w:rPr>
        <w:t xml:space="preserve"> Я, </w:t>
      </w:r>
      <w:r>
        <w:rPr/>
        <w:t>${</w:t>
      </w:r>
      <w:r>
        <w:rPr>
          <w:lang w:val="en-US"/>
        </w:rPr>
        <w:t>CLNAME</w:t>
      </w:r>
      <w:r>
        <w:rPr/>
        <w:t>}, паспорт: серия ${</w:t>
      </w:r>
      <w:r>
        <w:rPr>
          <w:lang w:val="en-US"/>
        </w:rPr>
        <w:t>CLPASS</w:t>
      </w:r>
      <w:r>
        <w:rPr/>
        <w:t>} номер ${</w:t>
      </w:r>
      <w:r>
        <w:rPr>
          <w:lang w:val="en-US"/>
        </w:rPr>
        <w:t>CLPASN</w:t>
      </w:r>
      <w:r>
        <w:rPr/>
        <w:t>}, выданный ${</w:t>
      </w:r>
      <w:r>
        <w:rPr>
          <w:lang w:val="en-US"/>
        </w:rPr>
        <w:t>CLPASORG</w:t>
      </w:r>
      <w:r>
        <w:rPr/>
        <w:t>} ${</w:t>
      </w:r>
      <w:r>
        <w:rPr>
          <w:lang w:val="en-US"/>
        </w:rPr>
        <w:t>CLPASDATE</w:t>
      </w:r>
      <w:r>
        <w:rPr/>
        <w:t>}, ${</w:t>
      </w:r>
      <w:r>
        <w:rPr>
          <w:lang w:val="en-US"/>
        </w:rPr>
        <w:t>CLBIRTHDATE</w:t>
      </w:r>
      <w:r>
        <w:rPr/>
        <w:t>} года рождения, зарегистрированный по адресу: ${</w:t>
      </w:r>
      <w:r>
        <w:rPr>
          <w:lang w:val="en-US"/>
        </w:rPr>
        <w:t>CLADRREG</w:t>
      </w:r>
      <w:r>
        <w:rPr/>
        <w:t>} ${</w:t>
      </w:r>
      <w:r>
        <w:rPr>
          <w:lang w:val="en-US"/>
        </w:rPr>
        <w:t>CLSEX</w:t>
      </w:r>
      <w:r>
        <w:rPr/>
        <w:t xml:space="preserve">1}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нарушают права третьих лиц </w:t>
      </w:r>
    </w:p>
    <w:p>
      <w:pPr>
        <w:pStyle w:val="Normal"/>
        <w:jc w:val="both"/>
        <w:rPr>
          <w:rFonts w:ascii="Times New Roman" w:hAnsi="Times New Roman"/>
          <w:b/>
          <w:b/>
          <w:sz w:val="20"/>
          <w:szCs w:val="20"/>
        </w:rPr>
      </w:pPr>
      <w:r>
        <w:drawing>
          <wp:anchor behindDoc="1" distT="0" distB="0" distL="133350" distR="114300" simplePos="0" locked="0" layoutInCell="1" allowOverlap="1" relativeHeight="4">
            <wp:simplePos x="0" y="0"/>
            <wp:positionH relativeFrom="column">
              <wp:posOffset>2641600</wp:posOffset>
            </wp:positionH>
            <wp:positionV relativeFrom="paragraph">
              <wp:posOffset>107950</wp:posOffset>
            </wp:positionV>
            <wp:extent cx="1913255" cy="1216660"/>
            <wp:effectExtent l="0" t="0" r="0" b="0"/>
            <wp:wrapNone/>
            <wp:docPr id="4" name="Рисунок 8" descr="подпис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8" descr="подпись.jpg"/>
                    <pic:cNvPicPr>
                      <a:picLocks noChangeAspect="1" noChangeArrowheads="1"/>
                    </pic:cNvPicPr>
                  </pic:nvPicPr>
                  <pic:blipFill>
                    <a:blip r:embed="rId5"/>
                    <a:stretch>
                      <a:fillRect/>
                    </a:stretch>
                  </pic:blipFill>
                  <pic:spPr bwMode="auto">
                    <a:xfrm>
                      <a:off x="0" y="0"/>
                      <a:ext cx="1913255" cy="1216660"/>
                    </a:xfrm>
                    <a:prstGeom prst="rect">
                      <a:avLst/>
                    </a:prstGeom>
                  </pic:spPr>
                </pic:pic>
              </a:graphicData>
            </a:graphic>
          </wp:anchor>
        </w:drawing>
      </w:r>
      <w:r>
        <w:rPr>
          <w:rFonts w:ascii="Times New Roman" w:hAnsi="Times New Roman"/>
          <w:b/>
          <w:sz w:val="20"/>
          <w:szCs w:val="20"/>
        </w:rPr>
        <w:t>Д</w:t>
      </w:r>
      <w:r>
        <w:rPr>
          <w:rFonts w:ascii="Times New Roman" w:hAnsi="Times New Roman"/>
          <w:b/>
          <w:sz w:val="20"/>
          <w:szCs w:val="20"/>
        </w:rPr>
        <w:t>оверитель:</w:t>
        <w:tab/>
        <w:tab/>
        <w:tab/>
        <w:tab/>
        <w:tab/>
        <w:tab/>
        <w:t>Поверенный:</w:t>
      </w:r>
      <w:r>
        <w:rPr>
          <w:rFonts w:ascii="Times New Roman" w:hAnsi="Times New Roman"/>
          <w:sz w:val="20"/>
          <w:szCs w:val="20"/>
          <w:lang w:eastAsia="ru-RU"/>
        </w:rPr>
        <w:t xml:space="preserve"> </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t xml:space="preserve">_____________/____________________/            </w:t>
        <w:tab/>
        <w:tab/>
        <w:t>_____________/</w:t>
      </w:r>
      <w:r>
        <w:rPr>
          <w:rFonts w:ascii="Times New Roman" w:hAnsi="Times New Roman"/>
          <w:sz w:val="20"/>
          <w:szCs w:val="20"/>
          <w:u w:val="single"/>
        </w:rPr>
        <w:t xml:space="preserve">  Канунников А.Ю.</w:t>
      </w:r>
    </w:p>
    <w:p>
      <w:pPr>
        <w:pStyle w:val="Normal"/>
        <w:numPr>
          <w:ilvl w:val="0"/>
          <w:numId w:val="0"/>
        </w:numPr>
        <w:jc w:val="both"/>
        <w:outlineLvl w:val="0"/>
        <w:rPr>
          <w:rFonts w:ascii="Times New Roman" w:hAnsi="Times New Roman"/>
          <w:sz w:val="18"/>
          <w:szCs w:val="18"/>
        </w:rPr>
      </w:pPr>
      <w:r>
        <w:rPr>
          <w:rFonts w:ascii="Times New Roman" w:hAnsi="Times New Roman"/>
          <w:sz w:val="18"/>
          <w:szCs w:val="18"/>
        </w:rPr>
        <w:t>подпись</w:t>
        <w:tab/>
        <w:tab/>
        <w:t xml:space="preserve">        ФИО </w:t>
        <w:tab/>
        <w:tab/>
        <w:tab/>
        <w:tab/>
        <w:t xml:space="preserve">         </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tab/>
        <w:t xml:space="preserve">        </w:t>
        <w:tab/>
        <w:tab/>
      </w:r>
    </w:p>
    <w:p>
      <w:pPr>
        <w:pStyle w:val="Normal"/>
        <w:spacing w:lineRule="auto" w:line="240" w:before="0" w:after="0"/>
        <w:jc w:val="right"/>
        <w:rPr>
          <w:rFonts w:ascii="Times New Roman" w:hAnsi="Times New Roman"/>
          <w:sz w:val="20"/>
          <w:szCs w:val="20"/>
        </w:rPr>
      </w:pPr>
      <w:r>
        <w:rPr>
          <w:rFonts w:ascii="Times New Roman" w:hAnsi="Times New Roman"/>
          <w:sz w:val="20"/>
          <w:szCs w:val="20"/>
        </w:rPr>
        <w:t>Приложение №3</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 xml:space="preserve">к Договору поручения </w:t>
      </w:r>
    </w:p>
    <w:p>
      <w:pPr>
        <w:pStyle w:val="Normal"/>
        <w:spacing w:lineRule="auto" w:line="240" w:before="0" w:after="0"/>
        <w:ind w:left="5670" w:hanging="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pPr>
        <w:pStyle w:val="NoSpacing"/>
        <w:ind w:firstLine="360"/>
        <w:jc w:val="center"/>
        <w:rPr>
          <w:b/>
          <w:b/>
        </w:rPr>
      </w:pPr>
      <w:r>
        <w:rPr>
          <w:b/>
        </w:rPr>
        <w:t>Расписка об ознакомлении с процедурой признания несостоятельным (банкротом)</w:t>
      </w:r>
    </w:p>
    <w:p>
      <w:pPr>
        <w:pStyle w:val="NoSpacing"/>
        <w:ind w:firstLine="360"/>
        <w:jc w:val="center"/>
        <w:rPr>
          <w:b/>
          <w:b/>
        </w:rPr>
      </w:pPr>
      <w:r>
        <w:rPr>
          <w:b/>
        </w:rPr>
        <w:t>клиента</w:t>
      </w:r>
    </w:p>
    <w:p>
      <w:pPr>
        <w:pStyle w:val="NoSpacing"/>
        <w:ind w:firstLine="360"/>
        <w:jc w:val="both"/>
        <w:rPr/>
      </w:pPr>
      <w:r>
        <w:rPr/>
        <w:tab/>
        <w:t>Мне, ${</w:t>
      </w:r>
      <w:r>
        <w:rPr>
          <w:lang w:val="en-US"/>
        </w:rPr>
        <w:t>CLNAME</w:t>
      </w:r>
      <w:r>
        <w:rPr/>
        <w:t>}, разъяснено и понятно, что:</w:t>
      </w:r>
    </w:p>
    <w:p>
      <w:pPr>
        <w:pStyle w:val="ListParagraph"/>
        <w:numPr>
          <w:ilvl w:val="0"/>
          <w:numId w:val="1"/>
        </w:numPr>
        <w:tabs>
          <w:tab w:val="left" w:pos="1134" w:leader="none"/>
        </w:tabs>
        <w:spacing w:lineRule="auto" w:line="240" w:before="0" w:after="0"/>
        <w:ind w:left="567" w:hanging="0"/>
        <w:jc w:val="both"/>
        <w:rPr>
          <w:rFonts w:ascii="Times New Roman" w:hAnsi="Times New Roman"/>
          <w:sz w:val="20"/>
          <w:szCs w:val="20"/>
        </w:rPr>
      </w:pPr>
      <w:r>
        <w:rPr>
          <w:rFonts w:ascii="Times New Roman" w:hAnsi="Times New Roman"/>
          <w:sz w:val="20"/>
          <w:szCs w:val="20"/>
        </w:rPr>
        <w:t>В соответствии со ст. 213.28 Федерального закона № 127-ФЗ от 26.10.2002 г. «О несостоятельности (банкротстве)», освобождение гражданина от обязательств не допускается в случае, если:</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ab/>
        <w:t>1.1. вступившим в законную силу судебным актом гражданин привлечен к уголовной или административной ответственности.</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ab/>
        <w:t>1.2. гражданин не предоставил необходимые сведения или предоставил заведомо недостоверные сведения  финансовому управляющему или арбитражному суду.</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ab/>
        <w:t>1.3. доказано, что при возникновении или исполнении обязательств, гражданин действовал незаконно, в том числе совершил мошенничество, злостно уклонялся от погашения кредиторской задолженности,   предоставил кредитору заведомо ложные сведения при получении кредита (например, при оформлении кредита  указывались фиктивное место работы, предоставлялись подложные справки о доходе, либо в заявке указывалось, что кредитов нет, обращался к кредитным брокерам и не удостоверился в правильности и правдивости поданных ими данных на кредит), скрыл или умышленно уничтожил имущество.</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2. Если за последние 3 года гражданином совершались сделки с движимым и недвижимым имуществом (продажа, покупка, обмен, дарение), а вырученные денежные средства направлялись на иные нужды, а не на расчеты с кредиторами. Эти сделки могут быть признаны недействительными, а действия гражданина расценены судом, как действия, направленные на причинение вреда кредиторам, что приведет к несписанию долгов.</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3. В заявление о признании несостоятельным (банкротом) в обязательном порядке должны быть включены </w:t>
      </w:r>
      <w:r>
        <w:rPr>
          <w:rFonts w:ascii="Times New Roman" w:hAnsi="Times New Roman"/>
          <w:sz w:val="20"/>
          <w:szCs w:val="20"/>
          <w:u w:val="single"/>
        </w:rPr>
        <w:t>ВСЕ</w:t>
      </w:r>
      <w:r>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алиментным обязательствам, по иным решениям суда, информацию о которых Компания получает от гражданина.  В случае выявления судом незаявленных кредиторов при банкротстве, поведение гражданина может быть расценено как недобросовестное с целью сокрытия информации, что приводит к несписанию долгов полностью или в части.</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4. На момент подачи заявления о признании несостоятельным (банкротом) у гражданина должны быть просрочки по кредитным обязательствам.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5. Стоимость имущества, подлежащего реализации, не должна превышать сумму долга.</w:t>
      </w:r>
    </w:p>
    <w:p>
      <w:pPr>
        <w:pStyle w:val="Normal"/>
        <w:spacing w:lineRule="auto" w:line="240" w:before="0" w:after="0"/>
        <w:ind w:left="567" w:hanging="0"/>
        <w:jc w:val="both"/>
        <w:rPr>
          <w:rFonts w:ascii="Times New Roman" w:hAnsi="Times New Roman"/>
          <w:bCs/>
          <w:sz w:val="20"/>
          <w:szCs w:val="20"/>
        </w:rPr>
      </w:pPr>
      <w:r>
        <w:rPr>
          <w:rFonts w:ascii="Times New Roman" w:hAnsi="Times New Roman"/>
          <w:sz w:val="20"/>
          <w:szCs w:val="20"/>
        </w:rPr>
        <w:t xml:space="preserve">6. На момент подачи заявления о признании несостоятельным (банкротом) гражданина Доверителем ОТДЕЛЬНО оплачиваются судебные расходы в размере от 40 300 (от сорока тысяч трёхсот) рублей, которые состоят из </w:t>
      </w:r>
      <w:r>
        <w:rPr>
          <w:rFonts w:ascii="Times New Roman" w:hAnsi="Times New Roman"/>
          <w:bCs/>
          <w:sz w:val="20"/>
          <w:szCs w:val="20"/>
        </w:rPr>
        <w:t xml:space="preserve">расходов по оплате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от 15 000 (от пятнадцати тысяч) рублей. </w:t>
      </w:r>
    </w:p>
    <w:p>
      <w:pPr>
        <w:pStyle w:val="Normal"/>
        <w:spacing w:lineRule="auto" w:line="240" w:before="0" w:after="0"/>
        <w:ind w:left="567" w:hanging="0"/>
        <w:jc w:val="both"/>
        <w:rPr>
          <w:rFonts w:ascii="Times New Roman" w:hAnsi="Times New Roman"/>
          <w:bCs/>
          <w:sz w:val="20"/>
          <w:szCs w:val="20"/>
        </w:rPr>
      </w:pPr>
      <w:r>
        <w:rPr>
          <w:rFonts w:ascii="Times New Roman" w:hAnsi="Times New Roman"/>
          <w:bCs/>
          <w:sz w:val="20"/>
          <w:szCs w:val="20"/>
        </w:rPr>
        <w:t xml:space="preserve">Расчет расходов произведен за проведение одной процедуры. </w:t>
      </w:r>
    </w:p>
    <w:p>
      <w:pPr>
        <w:pStyle w:val="Normal"/>
        <w:spacing w:lineRule="auto" w:line="240" w:before="0" w:after="0"/>
        <w:ind w:left="567" w:hanging="0"/>
        <w:jc w:val="both"/>
        <w:rPr>
          <w:rFonts w:ascii="Times New Roman" w:hAnsi="Times New Roman"/>
          <w:sz w:val="20"/>
          <w:szCs w:val="20"/>
        </w:rPr>
      </w:pPr>
      <w:r>
        <w:rPr>
          <w:rFonts w:ascii="Times New Roman" w:hAnsi="Times New Roman"/>
          <w:bCs/>
          <w:sz w:val="20"/>
          <w:szCs w:val="20"/>
        </w:rPr>
        <w:t xml:space="preserve">В случае введения судом сначала процедуры реструктуризации, а затем процедуры реализации имущества, </w:t>
      </w:r>
      <w:r>
        <w:rPr>
          <w:rFonts w:ascii="Times New Roman" w:hAnsi="Times New Roman"/>
          <w:sz w:val="20"/>
          <w:szCs w:val="20"/>
        </w:rPr>
        <w:t xml:space="preserve">при переходе Доверителю за 7 дней до даты судебного заседания необходимо внести дополнительно на депозит арбитражного суда </w:t>
      </w:r>
      <w:r>
        <w:rPr>
          <w:rFonts w:ascii="Times New Roman" w:hAnsi="Times New Roman"/>
          <w:bCs/>
          <w:sz w:val="20"/>
          <w:szCs w:val="20"/>
        </w:rPr>
        <w:t>вознаграждение арбитражного управляющего за вторую процедуру в размере 25 000 (двадцать пять тысяч) рублей и обязательные расходы на публикации, производимые арбитражным управляющим во второй процедуре, в размере от 15 000 (от пятнадцати тысяч) рублей.</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При наличии официального источника доходов у Доверителя, достаточного для формирования конкурсной массы в ходе процедуры реализации имущества, обязательные расходы могут быть погашены за счет конкурсной массы. Решение этого вопроса отнесено к компетенции арбитражного управляющего с учетом сложившейся судебной практики в конкретном регионе.</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ВАЖНО!!! В случае невнесения денежных средств в указанном в настоящем пункте размере, процедура банкротства может быть прекращена арбитражным судом.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При наличии имущества, подлежащего реализации в ходе проведения процедуры, судебные расходы (публикации, почтовые расходы) могут быть увеличены и подлежат покрытию за счет Доверителя.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7. Судебные расходы необходимо перечислить банковским платежом на реквизиты, которые предоставляются сотрудниками ООО ФПК «Альтернатива».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8. В случае если доход гражданина превышает прожиточный минимум, то в отношении должника может быть введена процедура реструктуризации. Срок процедуры - не более 6 месяцев. Указанный срок может быть продлен арбитражным судом.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9. Если в течение действия процедуры реструктуризации, финансовым управляющим не получено ни одного проекта плана реструктуризации долгов гражданина, он представляет на рассмотрение собрания кредиторов предложение о признании гражданина банкротом и введении процедуры реализации имущества. Срок процедуры реализации имущества - не более 6 месяцев. Указанный срок может быть продлен арбитражным судом.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10.В соответствии с положениями ст. 213.6 Федерального закона № 127-ФЗ от 26.10.2002 г. «О несостоятельности (банкротстве)», по результатам рассмотрения обоснованности заявления о признании гражданина банкротом суд вводит процедуру реструктуризации, после которой вводится процедура реализации. Если гражданин не соответствует требованиям для утверждения плана реструктуризации долгов, </w:t>
      </w:r>
      <w:r>
        <w:rPr>
          <w:rFonts w:ascii="Times New Roman" w:hAnsi="Times New Roman"/>
          <w:b/>
          <w:bCs/>
          <w:i/>
          <w:iCs/>
          <w:sz w:val="20"/>
          <w:szCs w:val="20"/>
        </w:rPr>
        <w:t>арбитражный суд вправе</w:t>
      </w:r>
      <w:r>
        <w:rPr>
          <w:rFonts w:ascii="Times New Roman" w:hAnsi="Times New Roman"/>
          <w:sz w:val="20"/>
          <w:szCs w:val="20"/>
        </w:rPr>
        <w:t xml:space="preserve">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 ВАЖНО!!! Учитывая, что это право арбитражного суда, решение о необходимости введения одной или двух процедур относится ИСКЛЮЧИТЕЛЬНО к компетенции суда и не зависит от действий Поверенного.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11. При принятии решения о признании гражданина банкротом арбитражный суд утверждает финансового управляющего.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12. Финансовому управляющему в ходе процедуры банкротства от гражданина передаются ВСЕ банковские карты, кредитные карты, сберегательные книжки, открытые на его имя. Все поступления денежных средств, в том числе заработная плата, пенсия и иной доход в течение прохождения процедуры банкротства, удерживаются арбитражным управляющим. Гражданину на период процедуры банкротства из официального дохода </w:t>
      </w:r>
      <w:r>
        <w:rPr>
          <w:rFonts w:ascii="Times New Roman" w:hAnsi="Times New Roman"/>
          <w:b/>
          <w:sz w:val="20"/>
          <w:szCs w:val="20"/>
          <w:u w:val="single"/>
        </w:rPr>
        <w:t>выдается прожиточный минимум</w:t>
      </w:r>
      <w:r>
        <w:rPr>
          <w:rFonts w:ascii="Times New Roman" w:hAnsi="Times New Roman"/>
          <w:sz w:val="20"/>
          <w:szCs w:val="20"/>
        </w:rPr>
        <w:t xml:space="preserve">, установленный постановлением Губернатора. В процедуре реструктуризации гражданин имеет право без согласия финансового управляющего распоряжаться денежными средствами в размере не более 50 000 (пятидесяти тысяч) рублей в месяц.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Прожиточный минимум во время процедуры гражданин получает от финансового управляющего. В первый месяц срок получения денежных средств может составлять до 1 (одного) месяца после введения процедуры, поскольку финансовому управляющему требуются оригиналы документов из Арбитражного суда для разблокировки счета и снятия денежных средств. В последующие месяцы срок получения прожиточного минимума согласуется непосредственно с финансовым управляющим.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13. В случае если гражданин имеет по кредитным договорам поручителей, то долги поручителя не списываются.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14. Некоторые справки, необходимые для принятия судом заявления о признании несостоятельным (банкротом), которые необходимо клиенту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Доверителя.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15. Стоимость нотариальной доверенности от Доверителя на ООО ФПК «Альтернатива» составляет от 2000 до 3000 рублей, согласно тарифам, устанавливаемым нотариусом.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16. Настоящим я  подтверждаю и заверяю Поверенного, что предоставил всю информацию о себе в отношении имеющихся у меня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мое имя, а также на имя моего супруга, обо всех сделках совершенных мною и супругом в течение 3 лет.</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16. Мне разъяснена и понятна процедура признания меня несостоятельным (банкротом), в том числе, что Арбитражным судом в отношении меня будет введена процедура реализации моего имущества. Кроме единственного жилья (если оно не находится в ипотеке или в залоге), зарегистрированного на мое имя, другое принадлежащее мне на праве собственности имущество будет реализовано. В том числе, если будет выявлено имущество, приобретенное в период брака и оформленное на имя супруга.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Я осознаю и согласен, что в случае принятия Арбитражным судом решения о признании меня несостоятельным (банкротом) и введении процедуры реализации имущества, будет подлежать включению в конкурсную массу и последующей реализации, следующее мое имущество:</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мне на праве собственности транспортные средства, в том числе находящиеся в залоге у третьих лиц;</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мне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на праве собственности моему супругу транспортные средства, в том числе находящиеся в залоге у третьих лиц, при условии, что указанное имущество является совместно нажитым имуществом (приобретено в период брака);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на праве собственности моему супругу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мне и моему супругу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находящиеся в залоге у третьих лиц. В отношении супруга, положения данного пункта распространяются только на совместно нажитое имущество (приобретено в период брака).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17. Я подтверждаю, что за последние 3 года </w:t>
      </w:r>
      <w:r>
        <w:rPr>
          <w:rFonts w:ascii="Times New Roman" w:hAnsi="Times New Roman"/>
          <w:b/>
          <w:bCs/>
          <w:i/>
          <w:iCs/>
          <w:sz w:val="20"/>
          <w:szCs w:val="20"/>
        </w:rPr>
        <w:t xml:space="preserve">мною были совершены/не совершались (не нужное зачеркнуть) </w:t>
      </w:r>
      <w:r>
        <w:rPr>
          <w:rFonts w:ascii="Times New Roman" w:hAnsi="Times New Roman"/>
          <w:sz w:val="20"/>
          <w:szCs w:val="20"/>
        </w:rPr>
        <w:t xml:space="preserve">сделки по отчуждению мною и/или моим супругом имущества. В случае если сделки были совершены, Поверенным мне разъяснены последствия, предусмотренные законодательством Российской Федерации за «фиктивное банкротство», а именно заведомо ложное публичное объявление гражданином, в том числе индивидуальным предпринимателем, о своей несостоятельности, установленные ч. 1 ст. 14.12 Кодекса РФ об административных правонарушениях, ст.197 Уголовного кодекса Российской Федерации.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18. В течение срока действия настоящего Договора у меня возникают обязательства перед ООО ФПК «Альтернатива» по внесению ежемесячного/единовременного абонентского платежа за оказание юридических услуг в соответствии с разделом 4 настоящего Договора.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19. К дате первого судебного заседания в Арбитражном суде по заявлению о признании меня несостоятельным (банкротом) я обязуюсь закрыть все имеющиеся у меня банковские счета. В случае невыполнения данного требования я принимаю на себя все возможные негативные последствия, вызванные незакрытием данных банковских счетов.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20.Я обязан отвечать на входящие телефонные звонки и СМС-сообщения от ООО ФПК «Альтернатива». Мне разъяснено и понятно, что если сотрудники ООО ФПК «Альтернатива»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Доверителя.</w:t>
      </w:r>
    </w:p>
    <w:p>
      <w:pPr>
        <w:pStyle w:val="Normal"/>
        <w:spacing w:lineRule="auto" w:line="240" w:before="0" w:after="0"/>
        <w:ind w:left="567" w:hanging="0"/>
        <w:jc w:val="both"/>
        <w:rPr>
          <w:rFonts w:ascii="Times New Roman" w:hAnsi="Times New Roman"/>
          <w:b/>
          <w:b/>
          <w:bCs/>
          <w:i/>
          <w:i/>
          <w:iCs/>
          <w:sz w:val="20"/>
          <w:szCs w:val="20"/>
        </w:rPr>
      </w:pPr>
      <w:r>
        <w:rPr>
          <w:rFonts w:ascii="Times New Roman" w:hAnsi="Times New Roman"/>
          <w:sz w:val="20"/>
          <w:szCs w:val="20"/>
        </w:rPr>
        <w:t>21. Я уведомлен о необходимости предоставления Поверенному в 2-месячный срок с даты заключения настоящего Договора цветных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Я, ${CLNAME}, подтверждаю, что ознакомлен Поверенным со всей процедурой признания меня несостоятельным (банкротом), мне все понятно, с вышеуказанными положениями согласен.</w:t>
      </w:r>
    </w:p>
    <w:p>
      <w:pPr>
        <w:pStyle w:val="NoSpacing"/>
        <w:ind w:firstLine="360"/>
        <w:jc w:val="both"/>
        <w:rPr/>
      </w:pPr>
      <w:r>
        <w:rPr>
          <w:bCs/>
        </w:rPr>
        <w:t xml:space="preserve">_____________/__________________________________________________________________/____________________               </w:t>
      </w:r>
    </w:p>
    <w:p>
      <w:pPr>
        <w:pStyle w:val="NoSpacing"/>
        <w:ind w:firstLine="360"/>
        <w:jc w:val="both"/>
        <w:rPr>
          <w:bCs/>
          <w:sz w:val="18"/>
          <w:szCs w:val="18"/>
        </w:rPr>
      </w:pPr>
      <w:r>
        <w:rPr>
          <w:bCs/>
          <w:sz w:val="18"/>
          <w:szCs w:val="18"/>
        </w:rPr>
        <w:t xml:space="preserve">      </w:t>
      </w:r>
      <w:r>
        <w:rPr>
          <w:bCs/>
          <w:sz w:val="18"/>
          <w:szCs w:val="18"/>
        </w:rPr>
        <w:t>подпись</w:t>
        <w:tab/>
        <w:tab/>
        <w:t xml:space="preserve">                                                    ФИО (полностью)</w:t>
        <w:tab/>
        <w:tab/>
        <w:tab/>
        <w:t xml:space="preserve">                             дата</w:t>
      </w:r>
    </w:p>
    <w:p>
      <w:pPr>
        <w:pStyle w:val="NoSpacing"/>
        <w:ind w:firstLine="360"/>
        <w:jc w:val="both"/>
        <w:rPr/>
      </w:pPr>
      <w:r>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rPr/>
      </w:pPr>
      <w:r>
        <w:rPr/>
      </w:r>
    </w:p>
    <w:sectPr>
      <w:headerReference w:type="default" r:id="rId6"/>
      <w:footerReference w:type="default" r:id="rId7"/>
      <w:type w:val="nextPage"/>
      <w:pgSz w:w="11906" w:h="16838"/>
      <w:pgMar w:left="720" w:right="720" w:header="709" w:top="766" w:footer="709" w:bottom="76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Segoe UI">
    <w:charset w:val="cc"/>
    <w:family w:val="roman"/>
    <w:pitch w:val="variable"/>
  </w:font>
  <w:font w:name="Times New Roman">
    <w:charset w:val="cc"/>
    <w:family w:val="roman"/>
    <w:pitch w:val="variable"/>
  </w:font>
  <w:font w:name="Liberation Sans">
    <w:altName w:val="Arial"/>
    <w:charset w:val="cc"/>
    <w:family w:val="swiss"/>
    <w:pitch w:val="variable"/>
  </w:font>
  <w:font w:name="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rFonts w:ascii="Times New Roman" w:hAnsi="Times New Roman"/>
        <w:b/>
        <w:b/>
        <w:sz w:val="20"/>
        <w:szCs w:val="20"/>
      </w:rPr>
    </w:pPr>
    <w:r>
      <w:rPr>
        <w:rFonts w:ascii="Times New Roman" w:hAnsi="Times New Roman"/>
        <w:b/>
        <w:sz w:val="20"/>
        <w:szCs w:val="20"/>
      </w:rPr>
      <w:t>Доверитель: _____________</w:t>
      <w:tab/>
      <w:tab/>
      <w:t>Поверенный:______________</w:t>
    </w:r>
  </w:p>
  <w:p>
    <w:pPr>
      <w:pStyle w:val="Style26"/>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подпись</w:t>
      <w:tab/>
      <w:t xml:space="preserve">                                                                                                                                           подпись</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fldChar w:fldCharType="begin"/>
    </w:r>
    <w:r>
      <w:instrText> PAGE </w:instrText>
    </w:r>
    <w:r>
      <w:fldChar w:fldCharType="separate"/>
    </w:r>
    <w:r>
      <w:t>13</w:t>
    </w:r>
    <w:r>
      <w:fldChar w:fldCharType="end"/>
    </w:r>
  </w:p>
  <w:p>
    <w:pPr>
      <w:pStyle w:val="Style2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27" w:hanging="360"/>
      </w:pPr>
      <w:rPr>
        <w:sz w:val="20"/>
        <w:b w:val="false"/>
        <w:rFonts w:ascii="Times New Roman" w:hAnsi="Times New Roman"/>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666b"/>
    <w:pPr>
      <w:widowControl/>
      <w:bidi w:val="0"/>
      <w:spacing w:lineRule="auto" w:line="259" w:before="0" w:after="160"/>
      <w:jc w:val="left"/>
    </w:pPr>
    <w:rPr>
      <w:rFonts w:ascii="Calibri" w:hAnsi="Calibri" w:eastAsia="Calibri" w:cs="Times New Roman"/>
      <w:color w:val="auto"/>
      <w:sz w:val="22"/>
      <w:szCs w:val="22"/>
      <w:lang w:eastAsia="en-US" w:val="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4"/>
    <w:uiPriority w:val="99"/>
    <w:qFormat/>
    <w:rsid w:val="002327a6"/>
    <w:rPr/>
  </w:style>
  <w:style w:type="character" w:styleId="Style15" w:customStyle="1">
    <w:name w:val="Нижний колонтитул Знак"/>
    <w:basedOn w:val="DefaultParagraphFont"/>
    <w:link w:val="a6"/>
    <w:uiPriority w:val="99"/>
    <w:qFormat/>
    <w:rsid w:val="002327a6"/>
    <w:rPr/>
  </w:style>
  <w:style w:type="character" w:styleId="Style16" w:customStyle="1">
    <w:name w:val="Текст выноски Знак"/>
    <w:link w:val="a9"/>
    <w:uiPriority w:val="99"/>
    <w:semiHidden/>
    <w:qFormat/>
    <w:rsid w:val="00426715"/>
    <w:rPr>
      <w:rFonts w:ascii="Segoe UI" w:hAnsi="Segoe UI" w:cs="Segoe UI"/>
      <w:sz w:val="18"/>
      <w:szCs w:val="18"/>
    </w:rPr>
  </w:style>
  <w:style w:type="character" w:styleId="Style17" w:customStyle="1">
    <w:name w:val="Текст сноски Знак"/>
    <w:link w:val="ac"/>
    <w:qFormat/>
    <w:rsid w:val="00f4227b"/>
    <w:rPr>
      <w:rFonts w:ascii="Times New Roman" w:hAnsi="Times New Roman" w:eastAsia="Times New Roman"/>
    </w:rPr>
  </w:style>
  <w:style w:type="character" w:styleId="Annotationreference">
    <w:name w:val="annotation reference"/>
    <w:basedOn w:val="DefaultParagraphFont"/>
    <w:uiPriority w:val="99"/>
    <w:semiHidden/>
    <w:unhideWhenUsed/>
    <w:qFormat/>
    <w:rsid w:val="00821e20"/>
    <w:rPr>
      <w:sz w:val="16"/>
      <w:szCs w:val="16"/>
    </w:rPr>
  </w:style>
  <w:style w:type="character" w:styleId="Style18" w:customStyle="1">
    <w:name w:val="Текст примечания Знак"/>
    <w:basedOn w:val="DefaultParagraphFont"/>
    <w:link w:val="af"/>
    <w:uiPriority w:val="99"/>
    <w:semiHidden/>
    <w:qFormat/>
    <w:rsid w:val="00821e20"/>
    <w:rPr>
      <w:lang w:eastAsia="en-US"/>
    </w:rPr>
  </w:style>
  <w:style w:type="character" w:styleId="Style19" w:customStyle="1">
    <w:name w:val="Тема примечания Знак"/>
    <w:basedOn w:val="Style18"/>
    <w:link w:val="af1"/>
    <w:uiPriority w:val="99"/>
    <w:semiHidden/>
    <w:qFormat/>
    <w:rsid w:val="00821e20"/>
    <w:rPr>
      <w:b/>
      <w:bCs/>
    </w:rPr>
  </w:style>
  <w:style w:type="character" w:styleId="ListLabel1">
    <w:name w:val="ListLabel 1"/>
    <w:qFormat/>
    <w:rPr>
      <w:rFonts w:ascii="Times New Roman" w:hAnsi="Times New Roman"/>
      <w:b w:val="false"/>
      <w:sz w:val="20"/>
    </w:rPr>
  </w:style>
  <w:style w:type="paragraph" w:styleId="Style20">
    <w:name w:val="Заголовок"/>
    <w:basedOn w:val="Normal"/>
    <w:next w:val="Style21"/>
    <w:qFormat/>
    <w:pPr>
      <w:keepNext/>
      <w:spacing w:before="240" w:after="120"/>
    </w:pPr>
    <w:rPr>
      <w:rFonts w:ascii="Liberation Sans" w:hAnsi="Liberation Sans" w:eastAsia="Microsoft YaHei" w:cs="Mangal"/>
      <w:sz w:val="28"/>
      <w:szCs w:val="28"/>
    </w:rPr>
  </w:style>
  <w:style w:type="paragraph" w:styleId="Style21">
    <w:name w:val="Body Text"/>
    <w:basedOn w:val="Normal"/>
    <w:pPr>
      <w:spacing w:lineRule="auto" w:line="288" w:before="0" w:after="140"/>
    </w:pPr>
    <w:rPr/>
  </w:style>
  <w:style w:type="paragraph" w:styleId="Style22">
    <w:name w:val="List"/>
    <w:basedOn w:val="Style21"/>
    <w:pPr/>
    <w:rPr>
      <w:rFonts w:cs="Mangal"/>
    </w:rPr>
  </w:style>
  <w:style w:type="paragraph" w:styleId="Style23">
    <w:name w:val="Caption"/>
    <w:basedOn w:val="Normal"/>
    <w:qFormat/>
    <w:pPr>
      <w:suppressLineNumbers/>
      <w:spacing w:before="120" w:after="120"/>
    </w:pPr>
    <w:rPr>
      <w:rFonts w:cs="Mangal"/>
      <w:i/>
      <w:iCs/>
      <w:sz w:val="24"/>
      <w:szCs w:val="24"/>
    </w:rPr>
  </w:style>
  <w:style w:type="paragraph" w:styleId="Style24">
    <w:name w:val="Указатель"/>
    <w:basedOn w:val="Normal"/>
    <w:qFormat/>
    <w:pPr>
      <w:suppressLineNumbers/>
    </w:pPr>
    <w:rPr>
      <w:rFonts w:cs="Mangal"/>
    </w:rPr>
  </w:style>
  <w:style w:type="paragraph" w:styleId="Style25">
    <w:name w:val="Header"/>
    <w:basedOn w:val="Normal"/>
    <w:link w:val="a5"/>
    <w:uiPriority w:val="99"/>
    <w:unhideWhenUsed/>
    <w:rsid w:val="002327a6"/>
    <w:pPr>
      <w:tabs>
        <w:tab w:val="center" w:pos="4677" w:leader="none"/>
        <w:tab w:val="right" w:pos="9355" w:leader="none"/>
      </w:tabs>
      <w:spacing w:lineRule="auto" w:line="240" w:before="0" w:after="0"/>
    </w:pPr>
    <w:rPr/>
  </w:style>
  <w:style w:type="paragraph" w:styleId="Style26">
    <w:name w:val="Footer"/>
    <w:basedOn w:val="Normal"/>
    <w:link w:val="a7"/>
    <w:uiPriority w:val="99"/>
    <w:unhideWhenUsed/>
    <w:rsid w:val="002327a6"/>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2327a6"/>
    <w:pPr>
      <w:spacing w:before="0" w:after="160"/>
      <w:ind w:left="720" w:hanging="0"/>
      <w:contextualSpacing/>
    </w:pPr>
    <w:rPr/>
  </w:style>
  <w:style w:type="paragraph" w:styleId="BalloonText">
    <w:name w:val="Balloon Text"/>
    <w:basedOn w:val="Normal"/>
    <w:link w:val="aa"/>
    <w:uiPriority w:val="99"/>
    <w:semiHidden/>
    <w:unhideWhenUsed/>
    <w:qFormat/>
    <w:rsid w:val="00426715"/>
    <w:pPr>
      <w:spacing w:lineRule="auto" w:line="240" w:before="0" w:after="0"/>
    </w:pPr>
    <w:rPr>
      <w:rFonts w:ascii="Segoe UI" w:hAnsi="Segoe UI"/>
      <w:sz w:val="18"/>
      <w:szCs w:val="18"/>
    </w:rPr>
  </w:style>
  <w:style w:type="paragraph" w:styleId="NoSpacing">
    <w:name w:val="No Spacing"/>
    <w:uiPriority w:val="1"/>
    <w:qFormat/>
    <w:rsid w:val="0070769f"/>
    <w:pPr>
      <w:widowControl/>
      <w:bidi w:val="0"/>
      <w:jc w:val="left"/>
    </w:pPr>
    <w:rPr>
      <w:rFonts w:ascii="Times New Roman" w:hAnsi="Times New Roman" w:eastAsia="Times New Roman" w:cs="Times New Roman"/>
      <w:color w:val="auto"/>
      <w:sz w:val="22"/>
      <w:szCs w:val="20"/>
      <w:lang w:val="ru-RU" w:eastAsia="ru-RU" w:bidi="ar-SA"/>
    </w:rPr>
  </w:style>
  <w:style w:type="paragraph" w:styleId="Footnotetext">
    <w:name w:val="footnote text"/>
    <w:basedOn w:val="Normal"/>
    <w:link w:val="ad"/>
    <w:qFormat/>
    <w:rsid w:val="00f4227b"/>
    <w:pPr>
      <w:spacing w:lineRule="auto" w:line="240" w:before="0" w:after="0"/>
    </w:pPr>
    <w:rPr>
      <w:rFonts w:ascii="Times New Roman" w:hAnsi="Times New Roman" w:eastAsia="Times New Roman"/>
      <w:sz w:val="20"/>
      <w:szCs w:val="20"/>
    </w:rPr>
  </w:style>
  <w:style w:type="paragraph" w:styleId="P1" w:customStyle="1">
    <w:name w:val="p1"/>
    <w:basedOn w:val="Normal"/>
    <w:qFormat/>
    <w:rsid w:val="002443cf"/>
    <w:pPr>
      <w:shd w:val="clear" w:color="auto" w:fill="FFFFFF"/>
      <w:spacing w:lineRule="auto" w:line="240" w:before="0" w:after="0"/>
    </w:pPr>
    <w:rPr>
      <w:rFonts w:ascii="Arial" w:hAnsi="Arial" w:eastAsia="Times New Roman" w:cs="Arial"/>
      <w:color w:val="05244F"/>
      <w:sz w:val="21"/>
      <w:szCs w:val="21"/>
      <w:lang w:eastAsia="ru-RU"/>
    </w:rPr>
  </w:style>
  <w:style w:type="paragraph" w:styleId="Annotationtext">
    <w:name w:val="annotation text"/>
    <w:basedOn w:val="Normal"/>
    <w:link w:val="af0"/>
    <w:uiPriority w:val="99"/>
    <w:semiHidden/>
    <w:unhideWhenUsed/>
    <w:qFormat/>
    <w:rsid w:val="00821e20"/>
    <w:pPr/>
    <w:rPr>
      <w:sz w:val="20"/>
      <w:szCs w:val="20"/>
    </w:rPr>
  </w:style>
  <w:style w:type="paragraph" w:styleId="Annotationsubject">
    <w:name w:val="annotation subject"/>
    <w:basedOn w:val="Annotationtext"/>
    <w:link w:val="af2"/>
    <w:uiPriority w:val="99"/>
    <w:semiHidden/>
    <w:unhideWhenUsed/>
    <w:qFormat/>
    <w:rsid w:val="00821e20"/>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3">
    <w:name w:val="Table Grid"/>
    <w:basedOn w:val="a1"/>
    <w:uiPriority w:val="39"/>
    <w:rsid w:val="00c62c8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 БФЛ - ОПЛАТА СРАЗУ на 3 мес</Template>
  <TotalTime>19</TotalTime>
  <Application>LibreOffice/5.2.5.1$Windows_X86_64 LibreOffice_project/0312e1a284a7d50ca85a365c316c7abbf20a4d22</Application>
  <Pages>17</Pages>
  <Words>5639</Words>
  <Characters>41592</Characters>
  <CharactersWithSpaces>47419</CharactersWithSpaces>
  <Paragraphs>367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2021-04-01T04:14:00Z</dcterms:created>
  <dc:creator>Maria</dc:creator>
  <dc:description/>
  <dc:language>ru-RU</dc:language>
  <cp:lastModifiedBy>Andrey</cp:lastModifiedBy>
  <cp:lastPrinted>2021-02-11T09:56:00Z</cp:lastPrinted>
  <dcterms:modified xsi:type="dcterms:W3CDTF">2022-01-26T04:49:00Z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