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4A91DEE4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71689FDB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0D0AB016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667F5486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3FF1ACE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1CA2F230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550C4739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3808CFBC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522F40C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5B04E2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3A883CA0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070355EA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58781A0F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2693E4C6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5B8A1BC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2AD34A0C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0C32DD8D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3E550670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35BF27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5A6C344B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521BA70A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1ED34E58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3ACB1282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 xml:space="preserve">3. В случае </w:t>
      </w:r>
      <w:proofErr w:type="spellStart"/>
      <w:r w:rsidR="001A3F54" w:rsidRPr="00AD424E">
        <w:rPr>
          <w:rFonts w:ascii="Times New Roman" w:hAnsi="Times New Roman"/>
          <w:sz w:val="20"/>
          <w:szCs w:val="20"/>
        </w:rPr>
        <w:t>не</w:t>
      </w:r>
      <w:r w:rsidRPr="00AD424E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Pr="00AD424E">
        <w:rPr>
          <w:rFonts w:ascii="Times New Roman" w:hAnsi="Times New Roman"/>
          <w:sz w:val="20"/>
          <w:szCs w:val="20"/>
        </w:rPr>
        <w:t xml:space="preserve">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8E4C5E9" w:rsidR="009B32FC" w:rsidRDefault="00841991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24500972" wp14:editId="6EEE1955">
            <wp:simplePos x="0" y="0"/>
            <wp:positionH relativeFrom="column">
              <wp:posOffset>4305300</wp:posOffset>
            </wp:positionH>
            <wp:positionV relativeFrom="paragraph">
              <wp:posOffset>2106295</wp:posOffset>
            </wp:positionV>
            <wp:extent cx="1759508" cy="1748413"/>
            <wp:effectExtent l="19050" t="0" r="0" b="0"/>
            <wp:wrapNone/>
            <wp:docPr id="7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6C38886" w:rsidR="009B32FC" w:rsidRDefault="0093639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07A778" wp14:editId="7794F79C">
            <wp:simplePos x="0" y="0"/>
            <wp:positionH relativeFrom="column">
              <wp:posOffset>2628900</wp:posOffset>
            </wp:positionH>
            <wp:positionV relativeFrom="paragraph">
              <wp:posOffset>6985</wp:posOffset>
            </wp:positionV>
            <wp:extent cx="1905454" cy="1748413"/>
            <wp:effectExtent l="38100" t="0" r="18596" b="0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A17EB8" w14:textId="35FEC11D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60355402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13104D8E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936397">
        <w:rPr>
          <w:rFonts w:ascii="Times New Roman" w:hAnsi="Times New Roman"/>
          <w:sz w:val="20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40C379E0" w14:textId="77777777" w:rsidR="00AD1A54" w:rsidRDefault="00AD1A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22C027C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96EFEE3" w:rsidR="00B01615" w:rsidRDefault="00841991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357F4B61" wp14:editId="031D4B36">
            <wp:simplePos x="0" y="0"/>
            <wp:positionH relativeFrom="column">
              <wp:posOffset>4495800</wp:posOffset>
            </wp:positionH>
            <wp:positionV relativeFrom="paragraph">
              <wp:posOffset>2003425</wp:posOffset>
            </wp:positionV>
            <wp:extent cx="1758950" cy="1748155"/>
            <wp:effectExtent l="19050" t="0" r="0" b="0"/>
            <wp:wrapNone/>
            <wp:docPr id="6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61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2E7A90B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2A4157E7" w:rsidR="00B01615" w:rsidRDefault="00936397" w:rsidP="00B01615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1671A2" wp14:editId="6E729594">
            <wp:simplePos x="0" y="0"/>
            <wp:positionH relativeFrom="column">
              <wp:posOffset>2790825</wp:posOffset>
            </wp:positionH>
            <wp:positionV relativeFrom="paragraph">
              <wp:posOffset>81915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B0161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="00B01615">
        <w:rPr>
          <w:rFonts w:ascii="Times New Roman" w:hAnsi="Times New Roman"/>
          <w:b/>
          <w:sz w:val="20"/>
          <w:szCs w:val="20"/>
        </w:rPr>
        <w:t>:</w:t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4FA49EDA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5B145833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158AFD40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29DD1DFD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B85B0D" w14:textId="77777777" w:rsidR="00841991" w:rsidRDefault="0084199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07E84C6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7046C224" w:rsidR="009B32FC" w:rsidRPr="00E069C0" w:rsidRDefault="00841991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EAA060" wp14:editId="576B4A10">
            <wp:simplePos x="0" y="0"/>
            <wp:positionH relativeFrom="column">
              <wp:posOffset>4476750</wp:posOffset>
            </wp:positionH>
            <wp:positionV relativeFrom="paragraph">
              <wp:posOffset>237490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E069C0">
        <w:rPr>
          <w:bCs/>
          <w:sz w:val="20"/>
        </w:rPr>
        <w:t>Я, ${</w:t>
      </w:r>
      <w:r w:rsidR="00BF496E" w:rsidRPr="00E069C0">
        <w:rPr>
          <w:sz w:val="20"/>
          <w:lang w:val="en-US"/>
        </w:rPr>
        <w:t>CLNAME</w:t>
      </w:r>
      <w:r w:rsidR="00BF496E" w:rsidRPr="00E069C0">
        <w:rPr>
          <w:sz w:val="20"/>
        </w:rPr>
        <w:t>}, паспорт: серия ${</w:t>
      </w:r>
      <w:r w:rsidR="00BF496E" w:rsidRPr="00E069C0">
        <w:rPr>
          <w:sz w:val="20"/>
          <w:lang w:val="en-US"/>
        </w:rPr>
        <w:t>CLPASS</w:t>
      </w:r>
      <w:r w:rsidR="00BF496E" w:rsidRPr="00E069C0">
        <w:rPr>
          <w:sz w:val="20"/>
        </w:rPr>
        <w:t>} номер ${</w:t>
      </w:r>
      <w:r w:rsidR="00BF496E" w:rsidRPr="00E069C0">
        <w:rPr>
          <w:sz w:val="20"/>
          <w:lang w:val="en-US"/>
        </w:rPr>
        <w:t>CLPASN</w:t>
      </w:r>
      <w:r w:rsidR="00BF496E" w:rsidRPr="00E069C0">
        <w:rPr>
          <w:sz w:val="20"/>
        </w:rPr>
        <w:t>}, выданный ${</w:t>
      </w:r>
      <w:r w:rsidR="00BF496E" w:rsidRPr="00E069C0">
        <w:rPr>
          <w:sz w:val="20"/>
          <w:lang w:val="en-US"/>
        </w:rPr>
        <w:t>CLPASORG</w:t>
      </w:r>
      <w:r w:rsidR="00BF496E" w:rsidRPr="00E069C0">
        <w:rPr>
          <w:sz w:val="20"/>
        </w:rPr>
        <w:t>} ${</w:t>
      </w:r>
      <w:r w:rsidR="00BF496E" w:rsidRPr="00E069C0">
        <w:rPr>
          <w:sz w:val="20"/>
          <w:lang w:val="en-US"/>
        </w:rPr>
        <w:t>CLPASDATE</w:t>
      </w:r>
      <w:r w:rsidR="00BF496E" w:rsidRPr="00E069C0">
        <w:rPr>
          <w:sz w:val="20"/>
        </w:rPr>
        <w:t>}, ${</w:t>
      </w:r>
      <w:r w:rsidR="00BF496E" w:rsidRPr="00E069C0">
        <w:rPr>
          <w:sz w:val="20"/>
          <w:lang w:val="en-US"/>
        </w:rPr>
        <w:t>CLBIRTHDATE</w:t>
      </w:r>
      <w:r w:rsidR="00BF496E"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="00BF496E" w:rsidRPr="00E069C0">
        <w:rPr>
          <w:sz w:val="20"/>
        </w:rPr>
        <w:t>по</w:t>
      </w:r>
      <w:proofErr w:type="gramEnd"/>
      <w:r w:rsidR="00BF496E" w:rsidRPr="00E069C0">
        <w:rPr>
          <w:sz w:val="20"/>
        </w:rPr>
        <w:t xml:space="preserve"> адресу: ${</w:t>
      </w:r>
      <w:r w:rsidR="00BF496E" w:rsidRPr="00E069C0">
        <w:rPr>
          <w:sz w:val="20"/>
          <w:lang w:val="en-US"/>
        </w:rPr>
        <w:t>CLADRREG</w:t>
      </w:r>
      <w:r w:rsidR="00BF496E"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1B151BA1" w:rsidR="009B32FC" w:rsidRPr="00E069C0" w:rsidRDefault="00936397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9A663C8" wp14:editId="758D65B5">
            <wp:simplePos x="0" y="0"/>
            <wp:positionH relativeFrom="column">
              <wp:posOffset>2752725</wp:posOffset>
            </wp:positionH>
            <wp:positionV relativeFrom="paragraph">
              <wp:posOffset>72390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E069C0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24AF2AD1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3EA007A2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522BAADD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5F865D03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48A1B7B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4C70E5C3" w:rsidR="006C3A23" w:rsidRDefault="006C3A2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0C808F4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106F7C48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27E43DE3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222B4F25" w14:textId="6A275A78" w:rsidR="009B32FC" w:rsidRPr="006C3A23" w:rsidRDefault="006C3A23" w:rsidP="006C3A23">
      <w:pPr>
        <w:tabs>
          <w:tab w:val="left" w:pos="867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B32FC" w:rsidRPr="006C3A23" w:rsidSect="009B32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E46B9" w14:textId="77777777" w:rsidR="00004B8F" w:rsidRDefault="00004B8F" w:rsidP="009B32FC">
      <w:pPr>
        <w:spacing w:after="0" w:line="240" w:lineRule="auto"/>
      </w:pPr>
      <w:r>
        <w:separator/>
      </w:r>
    </w:p>
  </w:endnote>
  <w:endnote w:type="continuationSeparator" w:id="0">
    <w:p w14:paraId="7F177D9D" w14:textId="77777777" w:rsidR="00004B8F" w:rsidRDefault="00004B8F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31527" w14:textId="77777777" w:rsidR="006C3A23" w:rsidRDefault="006C3A23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5C8FA4CE" w:rsidR="006C3A23" w:rsidRDefault="006C3A23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287FBA28" wp14:editId="200A7107">
          <wp:simplePos x="0" y="0"/>
          <wp:positionH relativeFrom="margin">
            <wp:posOffset>5143500</wp:posOffset>
          </wp:positionH>
          <wp:positionV relativeFrom="paragraph">
            <wp:posOffset>-352425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</w:t>
    </w:r>
    <w:r w:rsidRPr="00936397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</w:t>
    </w:r>
  </w:p>
  <w:p w14:paraId="5D4244FE" w14:textId="134D49C0" w:rsidR="006C3A23" w:rsidRDefault="006C3A2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7CF6" w14:textId="77777777" w:rsidR="006C3A23" w:rsidRDefault="006C3A2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6ED7E" w14:textId="77777777" w:rsidR="00004B8F" w:rsidRDefault="00004B8F" w:rsidP="009B32FC">
      <w:pPr>
        <w:spacing w:after="0" w:line="240" w:lineRule="auto"/>
      </w:pPr>
      <w:r>
        <w:separator/>
      </w:r>
    </w:p>
  </w:footnote>
  <w:footnote w:type="continuationSeparator" w:id="0">
    <w:p w14:paraId="402F61FE" w14:textId="77777777" w:rsidR="00004B8F" w:rsidRDefault="00004B8F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DFBD6" w14:textId="77777777" w:rsidR="006C3A23" w:rsidRDefault="006C3A23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69F7919E" w:rsidR="006C3A23" w:rsidRDefault="006C3A23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AD1A54">
      <w:rPr>
        <w:noProof/>
      </w:rPr>
      <w:t>14</w:t>
    </w:r>
    <w:r>
      <w:fldChar w:fldCharType="end"/>
    </w:r>
  </w:p>
  <w:p w14:paraId="37EABD94" w14:textId="77777777" w:rsidR="006C3A23" w:rsidRDefault="006C3A23">
    <w:pPr>
      <w:pStyle w:val="1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50AA2" w14:textId="77777777" w:rsidR="006C3A23" w:rsidRDefault="006C3A23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04B8F"/>
    <w:rsid w:val="00071936"/>
    <w:rsid w:val="000A1E6A"/>
    <w:rsid w:val="000D49F9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C3A23"/>
    <w:rsid w:val="006F12F1"/>
    <w:rsid w:val="00740C01"/>
    <w:rsid w:val="007A4643"/>
    <w:rsid w:val="007E7477"/>
    <w:rsid w:val="007F1970"/>
    <w:rsid w:val="00841991"/>
    <w:rsid w:val="00860DA6"/>
    <w:rsid w:val="008E7B50"/>
    <w:rsid w:val="008F59F1"/>
    <w:rsid w:val="009278E5"/>
    <w:rsid w:val="00936397"/>
    <w:rsid w:val="00953518"/>
    <w:rsid w:val="00974C74"/>
    <w:rsid w:val="009B32FC"/>
    <w:rsid w:val="00A04E93"/>
    <w:rsid w:val="00A23BAA"/>
    <w:rsid w:val="00AD1A54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1C7A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44B4-86A5-406E-A391-684CC29E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6245</Words>
  <Characters>35602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41764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26</cp:revision>
  <cp:lastPrinted>2022-05-30T07:16:00Z</cp:lastPrinted>
  <dcterms:created xsi:type="dcterms:W3CDTF">2024-07-09T09:28:00Z</dcterms:created>
  <dcterms:modified xsi:type="dcterms:W3CDTF">2025-05-28T11:16:00Z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