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proofErr w:type="gramStart"/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 услуг</w:t>
      </w:r>
      <w:proofErr w:type="gramEnd"/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договору</w:t>
            </w:r>
            <w:proofErr w:type="spellEnd"/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4AAC9A77" w:rsidR="00B63685" w:rsidRPr="00704748" w:rsidRDefault="00704748" w:rsidP="007047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${RISK2_1}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bookmarkStart w:id="1" w:name="_GoBack"/>
      <w:bookmarkEnd w:id="1"/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4E106C92" w:rsidR="006C4211" w:rsidRPr="00316C7D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</w:t>
            </w: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  <w:r w:rsidRPr="00316C7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  <w:r w:rsidR="006C4211" w:rsidRPr="00316C7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776BFA54" w:rsidR="00371466" w:rsidRPr="00767673" w:rsidRDefault="00767673" w:rsidP="007358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</w:t>
            </w:r>
            <w:r w:rsidR="00735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 xml:space="preserve">исполнение обязательства </w:t>
      </w:r>
      <w:r w:rsidRPr="00371466">
        <w:rPr>
          <w:rFonts w:ascii="Times New Roman" w:eastAsia="Times New Roman" w:hAnsi="Times New Roman" w:cs="Times New Roman"/>
        </w:rPr>
        <w:lastRenderedPageBreak/>
        <w:t>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взыскание;</w:t>
      </w:r>
    </w:p>
    <w:p w14:paraId="5312C8E5" w14:textId="77777777" w:rsidR="008E0DFF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г)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C7054BB" w14:textId="5A10878A" w:rsidR="00DB5391" w:rsidRPr="005C5D86" w:rsidRDefault="00316C7D" w:rsidP="00316C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${RISK2_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0CC5162C" w14:textId="694A056B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2" w:name="_Hlk10206135"/>
    </w:p>
    <w:p w14:paraId="7FF046AF" w14:textId="57BEC47E" w:rsidR="00F05907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4C8501D2" w14:textId="77777777" w:rsidR="00316C7D" w:rsidRPr="00FE4281" w:rsidRDefault="00316C7D" w:rsidP="00F05907">
      <w:pPr>
        <w:spacing w:after="0" w:line="240" w:lineRule="auto"/>
        <w:rPr>
          <w:rFonts w:ascii="Times New Roman" w:hAnsi="Times New Roman" w:cs="Times New Roman"/>
          <w:b/>
        </w:rPr>
      </w:pP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2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7B7FFD3" w14:textId="77777777" w:rsidR="000F2571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1. Процедура </w:t>
      </w:r>
      <w:r w:rsidRPr="0050317B">
        <w:rPr>
          <w:rFonts w:ascii="Times New Roman" w:eastAsia="Times New Roman" w:hAnsi="Times New Roman" w:cs="Times New Roman"/>
          <w:b/>
          <w:bCs/>
          <w:lang w:eastAsia="ru-RU"/>
        </w:rPr>
        <w:t>банкротства гражданина во внесудебном порядке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рекомендована</w:t>
      </w:r>
    </w:p>
    <w:p w14:paraId="18DE31D3" w14:textId="77777777" w:rsidR="0050317B" w:rsidRDefault="0050317B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2. Процедура </w:t>
      </w:r>
      <w:r w:rsidRPr="0050317B">
        <w:rPr>
          <w:rFonts w:ascii="Times New Roman" w:eastAsia="Times New Roman" w:hAnsi="Times New Roman" w:cs="Times New Roman"/>
          <w:b/>
          <w:bCs/>
          <w:lang w:eastAsia="ru-RU"/>
        </w:rPr>
        <w:t>банкротства гражданина во внесудебном порядке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не рекомендована</w:t>
      </w:r>
    </w:p>
    <w:p w14:paraId="1F2A1BE9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3. Рекомендована процедура банкротства в судебном порядке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3843"/>
        <w:gridCol w:w="2922"/>
        <w:gridCol w:w="3294"/>
      </w:tblGrid>
      <w:tr w:rsidR="00565D1D" w:rsidRPr="005B29BA" w14:paraId="6F7851C3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2DA85B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22" w:type="dxa"/>
          </w:tcPr>
          <w:p w14:paraId="34A075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294" w:type="dxa"/>
          </w:tcPr>
          <w:p w14:paraId="0ACCD79D" w14:textId="77777777" w:rsidR="00565D1D" w:rsidRPr="005B29BA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65D1D" w:rsidRPr="005B29BA" w14:paraId="7A72A311" w14:textId="77777777" w:rsidTr="00565D1D"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E59ABA" w14:textId="77777777" w:rsidR="00565D1D" w:rsidRPr="005108FE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22" w:type="dxa"/>
            <w:tcBorders>
              <w:bottom w:val="single" w:sz="4" w:space="0" w:color="auto"/>
            </w:tcBorders>
            <w:shd w:val="clear" w:color="auto" w:fill="auto"/>
          </w:tcPr>
          <w:p w14:paraId="046DB933" w14:textId="77777777" w:rsidR="00565D1D" w:rsidRPr="00AF1287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294" w:type="dxa"/>
            <w:shd w:val="clear" w:color="auto" w:fill="auto"/>
          </w:tcPr>
          <w:p w14:paraId="00669519" w14:textId="77777777" w:rsidR="00565D1D" w:rsidRPr="003B0B20" w:rsidRDefault="00565D1D" w:rsidP="00FF4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E5345E6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77777777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61BDAC0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Предложения по дальнейшим действиям: </w:t>
      </w:r>
    </w:p>
    <w:p w14:paraId="75A3A6A7" w14:textId="77777777" w:rsidR="00565D1D" w:rsidRPr="00565D1D" w:rsidRDefault="00565D1D" w:rsidP="00565D1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565D1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0E23AE69" w14:textId="77777777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3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3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401893" w14:textId="77777777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BA015A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884FC" w14:textId="77777777" w:rsidR="00415157" w:rsidRDefault="00415157">
      <w:pPr>
        <w:spacing w:after="0" w:line="240" w:lineRule="auto"/>
      </w:pPr>
      <w:r>
        <w:separator/>
      </w:r>
    </w:p>
  </w:endnote>
  <w:endnote w:type="continuationSeparator" w:id="0">
    <w:p w14:paraId="00E0230E" w14:textId="77777777" w:rsidR="00415157" w:rsidRDefault="004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C6ACB4" w14:textId="77777777" w:rsidR="00415157" w:rsidRDefault="00415157">
      <w:pPr>
        <w:spacing w:after="0" w:line="240" w:lineRule="auto"/>
      </w:pPr>
      <w:r>
        <w:separator/>
      </w:r>
    </w:p>
  </w:footnote>
  <w:footnote w:type="continuationSeparator" w:id="0">
    <w:p w14:paraId="1A5CED2E" w14:textId="77777777" w:rsidR="00415157" w:rsidRDefault="004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A39F4"/>
    <w:rsid w:val="001C67C5"/>
    <w:rsid w:val="001D7F4E"/>
    <w:rsid w:val="001E30DF"/>
    <w:rsid w:val="001E3907"/>
    <w:rsid w:val="00201153"/>
    <w:rsid w:val="00203EDC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16C7D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157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65D1D"/>
    <w:rsid w:val="00593E84"/>
    <w:rsid w:val="00596B8B"/>
    <w:rsid w:val="005A36A3"/>
    <w:rsid w:val="005A4199"/>
    <w:rsid w:val="005B29BA"/>
    <w:rsid w:val="005C5D8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7001E3"/>
    <w:rsid w:val="00704748"/>
    <w:rsid w:val="00706A77"/>
    <w:rsid w:val="00733F17"/>
    <w:rsid w:val="007358EA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6455"/>
    <w:rsid w:val="008E0DFF"/>
    <w:rsid w:val="008E507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B007C"/>
    <w:rsid w:val="00AB1DE8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C449D"/>
    <w:rsid w:val="00BD54F8"/>
    <w:rsid w:val="00BE754D"/>
    <w:rsid w:val="00BF6E79"/>
    <w:rsid w:val="00BF7A30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D02BD7"/>
    <w:rsid w:val="00D07DEA"/>
    <w:rsid w:val="00D1350C"/>
    <w:rsid w:val="00D603E7"/>
    <w:rsid w:val="00D63064"/>
    <w:rsid w:val="00D74AB5"/>
    <w:rsid w:val="00D7794A"/>
    <w:rsid w:val="00D86363"/>
    <w:rsid w:val="00D962E9"/>
    <w:rsid w:val="00DB5391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customStyle="1" w:styleId="UnresolvedMention">
    <w:name w:val="Unresolved Mention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FFB1B-C81E-49E8-B474-529862FA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13</cp:revision>
  <cp:lastPrinted>2023-01-18T06:11:00Z</cp:lastPrinted>
  <dcterms:created xsi:type="dcterms:W3CDTF">2024-02-16T11:31:00Z</dcterms:created>
  <dcterms:modified xsi:type="dcterms:W3CDTF">2024-02-21T07:39:00Z</dcterms:modified>
</cp:coreProperties>
</file>