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13391D7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075EF709" w14:textId="77777777" w:rsidR="005A7803" w:rsidRPr="00AA1FD1" w:rsidRDefault="00307F67" w:rsidP="00AA1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</w:rPr>
        <w:t>Судьба недвижимого имущества,</w:t>
      </w:r>
      <w:r w:rsidRPr="00AA1FD1">
        <w:rPr>
          <w:rFonts w:ascii="Times New Roman" w:eastAsia="Times New Roman" w:hAnsi="Times New Roman" w:cs="Times New Roman"/>
          <w:iCs/>
        </w:rPr>
        <w:t xml:space="preserve"> заложенного по договору </w:t>
      </w:r>
      <w:proofErr w:type="spellStart"/>
      <w:r w:rsidRPr="00AA1FD1">
        <w:rPr>
          <w:rFonts w:ascii="Times New Roman" w:eastAsia="Times New Roman" w:hAnsi="Times New Roman" w:cs="Times New Roman"/>
          <w:iCs/>
        </w:rPr>
        <w:t>обипотеке</w:t>
      </w:r>
      <w:proofErr w:type="spellEnd"/>
      <w:r w:rsidR="005A7803" w:rsidRPr="00AA1FD1">
        <w:rPr>
          <w:rFonts w:ascii="Times New Roman" w:eastAsia="Times New Roman" w:hAnsi="Times New Roman" w:cs="Times New Roman"/>
          <w:iCs/>
        </w:rPr>
        <w:t>,</w:t>
      </w:r>
      <w:r w:rsidRPr="00AA1FD1">
        <w:rPr>
          <w:rFonts w:ascii="Times New Roman" w:eastAsia="Times New Roman" w:hAnsi="Times New Roman" w:cs="Times New Roman"/>
          <w:iCs/>
        </w:rPr>
        <w:t xml:space="preserve"> в настоящее время определяется в соответствии с Определением Верховного суда Российской Федерации № 305-ЭС22-9597 от 27.04.2023г.</w:t>
      </w:r>
      <w:r w:rsidR="005A7803" w:rsidRPr="00AA1FD1">
        <w:rPr>
          <w:rFonts w:ascii="Times New Roman" w:eastAsia="Times New Roman" w:hAnsi="Times New Roman" w:cs="Times New Roman"/>
          <w:iCs/>
        </w:rPr>
        <w:t>, где закреплен алгоритм действий при обращении взыскания на имущество, заложенное по договору об ипотеке с учетом баланса прав и законных интересов взыскателей и должников. Указанные выводы суда базируются на положениях ч. 3 ст. 17, ст. 35, 46 и ч. 3 ст. 55 Конституции Российской Федерации.</w:t>
      </w:r>
    </w:p>
    <w:p w14:paraId="6137C74B" w14:textId="77777777" w:rsidR="005A7803" w:rsidRPr="00AA1FD1" w:rsidRDefault="005A7803" w:rsidP="005A78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Вышестоящей инстанцией разъяснено, что суд имеет право разработать и утвердить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локальный план реструктуризации</w:t>
      </w:r>
      <w:r w:rsidRPr="00AA1FD1">
        <w:rPr>
          <w:rFonts w:ascii="Times New Roman" w:eastAsia="Times New Roman" w:hAnsi="Times New Roman" w:cs="Times New Roman"/>
          <w:iCs/>
        </w:rPr>
        <w:t xml:space="preserve"> в отношении ипотечного договора, по условиям которого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</w:t>
      </w:r>
      <w:r w:rsidRPr="00AA1FD1">
        <w:rPr>
          <w:rFonts w:ascii="Times New Roman" w:eastAsia="Times New Roman" w:hAnsi="Times New Roman" w:cs="Times New Roman"/>
          <w:iCs/>
        </w:rPr>
        <w:t>, при этом залогодатель не освобождается от исполнения обязательства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33E57CD6" w14:textId="77777777" w:rsidR="00201CC6" w:rsidRPr="00AA1FD1" w:rsidRDefault="00D35404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Указанный выше алгоритм нашел широкое применение в арбитражных судах различных субъектов Российской Федерации. </w:t>
      </w:r>
    </w:p>
    <w:p w14:paraId="05F2E980" w14:textId="77777777" w:rsidR="00381B6C" w:rsidRPr="00AA1FD1" w:rsidRDefault="00D35404" w:rsidP="00D354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Проанализировав правоприменительную практику, мы </w:t>
      </w:r>
      <w:proofErr w:type="spellStart"/>
      <w:r w:rsidRPr="00AA1FD1">
        <w:rPr>
          <w:rFonts w:ascii="Times New Roman" w:eastAsia="Times New Roman" w:hAnsi="Times New Roman" w:cs="Times New Roman"/>
          <w:iCs/>
        </w:rPr>
        <w:t>сформулировалиусловия</w:t>
      </w:r>
      <w:proofErr w:type="spellEnd"/>
      <w:r w:rsidRPr="00AA1FD1">
        <w:rPr>
          <w:rFonts w:ascii="Times New Roman" w:eastAsia="Times New Roman" w:hAnsi="Times New Roman" w:cs="Times New Roman"/>
          <w:iCs/>
        </w:rPr>
        <w:t xml:space="preserve"> необходимые для </w:t>
      </w:r>
      <w:r w:rsidR="00381B6C" w:rsidRPr="00AA1FD1">
        <w:rPr>
          <w:rFonts w:ascii="Times New Roman" w:eastAsia="Times New Roman" w:hAnsi="Times New Roman" w:cs="Times New Roman"/>
          <w:iCs/>
        </w:rPr>
        <w:t>утверждени</w:t>
      </w:r>
      <w:r w:rsidRPr="00AA1FD1">
        <w:rPr>
          <w:rFonts w:ascii="Times New Roman" w:eastAsia="Times New Roman" w:hAnsi="Times New Roman" w:cs="Times New Roman"/>
          <w:iCs/>
        </w:rPr>
        <w:t>я</w:t>
      </w:r>
      <w:r w:rsidR="00381B6C" w:rsidRPr="00AA1FD1">
        <w:rPr>
          <w:rFonts w:ascii="Times New Roman" w:eastAsia="Times New Roman" w:hAnsi="Times New Roman" w:cs="Times New Roman"/>
          <w:iCs/>
        </w:rPr>
        <w:t xml:space="preserve"> локального плана реструктуризации:</w:t>
      </w:r>
    </w:p>
    <w:p w14:paraId="52F4791D" w14:textId="77777777" w:rsidR="00BA5440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заемщик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должен </w:t>
      </w:r>
      <w:r w:rsidR="00201CC6" w:rsidRPr="00AA1FD1">
        <w:rPr>
          <w:rFonts w:ascii="Times New Roman" w:eastAsia="Times New Roman" w:hAnsi="Times New Roman" w:cs="Times New Roman"/>
          <w:iCs/>
        </w:rPr>
        <w:t>исправно платит</w:t>
      </w:r>
      <w:r w:rsidR="00D35404" w:rsidRPr="00AA1FD1">
        <w:rPr>
          <w:rFonts w:ascii="Times New Roman" w:eastAsia="Times New Roman" w:hAnsi="Times New Roman" w:cs="Times New Roman"/>
          <w:iCs/>
        </w:rPr>
        <w:t>ь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 по кредитному договору в предусмотренные договором сроки</w:t>
      </w:r>
    </w:p>
    <w:p w14:paraId="07D72E6C" w14:textId="77777777" w:rsidR="00381B6C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lastRenderedPageBreak/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обеспеченное залогом обязательство надлежащим образом исполняется третьим лицом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– гарантом </w:t>
      </w:r>
      <w:r w:rsidR="00201CC6" w:rsidRPr="00AA1FD1">
        <w:rPr>
          <w:rFonts w:ascii="Times New Roman" w:eastAsia="Times New Roman" w:hAnsi="Times New Roman" w:cs="Times New Roman"/>
          <w:iCs/>
        </w:rPr>
        <w:t>(или имеется лицо, готовое взять на себя обязанность по его исполнению)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 в период процедуры банкротства</w:t>
      </w:r>
    </w:p>
    <w:p w14:paraId="651C9363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</w:t>
      </w:r>
    </w:p>
    <w:p w14:paraId="144F38F9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регистрация по адресу места жительства в залоговом имуществе будет преимуществом</w:t>
      </w:r>
    </w:p>
    <w:p w14:paraId="3E497389" w14:textId="77777777" w:rsidR="00D35404" w:rsidRPr="00AA1FD1" w:rsidRDefault="00D35404" w:rsidP="00D354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22E228C3" w14:textId="77777777" w:rsidR="00201CC6" w:rsidRPr="00AA1FD1" w:rsidRDefault="00201CC6" w:rsidP="00D35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По условиям соглашения погашение обеспеченного обязательства не может осуществляться за счет иного имущества должника, на которое претендуют другие </w:t>
      </w:r>
      <w:proofErr w:type="spellStart"/>
      <w:proofErr w:type="gramStart"/>
      <w:r w:rsidRPr="00AA1FD1">
        <w:rPr>
          <w:rFonts w:ascii="Times New Roman" w:eastAsia="Times New Roman" w:hAnsi="Times New Roman" w:cs="Times New Roman"/>
          <w:iCs/>
        </w:rPr>
        <w:t>кредиторы.</w:t>
      </w:r>
      <w:r w:rsidR="00D35404" w:rsidRPr="00AA1FD1">
        <w:rPr>
          <w:rFonts w:ascii="Times New Roman" w:eastAsia="Times New Roman" w:hAnsi="Times New Roman" w:cs="Times New Roman"/>
          <w:iCs/>
        </w:rPr>
        <w:t>И</w:t>
      </w:r>
      <w:proofErr w:type="spellEnd"/>
      <w:proofErr w:type="gramEnd"/>
      <w:r w:rsidR="00D35404" w:rsidRPr="00AA1FD1">
        <w:rPr>
          <w:rFonts w:ascii="Times New Roman" w:eastAsia="Times New Roman" w:hAnsi="Times New Roman" w:cs="Times New Roman"/>
          <w:iCs/>
        </w:rPr>
        <w:t xml:space="preserve"> что очень важно с</w:t>
      </w:r>
      <w:r w:rsidRPr="00AA1FD1">
        <w:rPr>
          <w:rFonts w:ascii="Times New Roman" w:eastAsia="Times New Roman" w:hAnsi="Times New Roman" w:cs="Times New Roman"/>
          <w:iCs/>
        </w:rPr>
        <w:t>огласия иных кредиторов для утверждения судом такого плана реструктуризации не требуется</w:t>
      </w:r>
      <w:r w:rsidR="00D35404" w:rsidRPr="00AA1FD1">
        <w:rPr>
          <w:rFonts w:ascii="Times New Roman" w:eastAsia="Times New Roman" w:hAnsi="Times New Roman" w:cs="Times New Roman"/>
          <w:iCs/>
        </w:rPr>
        <w:t>!</w:t>
      </w:r>
    </w:p>
    <w:p w14:paraId="59427A15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6526F23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 xml:space="preserve">последние 3 </w:t>
      </w:r>
      <w:proofErr w:type="gramStart"/>
      <w:r w:rsidR="002B3100">
        <w:rPr>
          <w:rFonts w:ascii="Times New Roman" w:hAnsi="Times New Roman" w:cs="Times New Roman"/>
          <w:b/>
          <w:bCs/>
        </w:rPr>
        <w:t>года(</w:t>
      </w:r>
      <w:proofErr w:type="gramEnd"/>
      <w:r w:rsidR="002B3100">
        <w:rPr>
          <w:rFonts w:ascii="Times New Roman" w:hAnsi="Times New Roman" w:cs="Times New Roman"/>
          <w:b/>
          <w:bCs/>
        </w:rPr>
        <w:t>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lastRenderedPageBreak/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  <w:proofErr w:type="spellEnd"/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003A0F1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 совершении недобросовестных действий Арбитражный </w:t>
      </w:r>
      <w:proofErr w:type="spellStart"/>
      <w:proofErr w:type="gramStart"/>
      <w:r w:rsidRPr="00FE4281">
        <w:rPr>
          <w:rFonts w:ascii="Times New Roman" w:eastAsia="Times New Roman" w:hAnsi="Times New Roman" w:cs="Times New Roman"/>
        </w:rPr>
        <w:t>суд</w:t>
      </w:r>
      <w:r w:rsidR="00C54705" w:rsidRPr="00FE4281">
        <w:rPr>
          <w:rFonts w:ascii="Times New Roman" w:eastAsia="Times New Roman" w:hAnsi="Times New Roman" w:cs="Times New Roman"/>
        </w:rPr>
        <w:t>,руководствуясь</w:t>
      </w:r>
      <w:proofErr w:type="spellEnd"/>
      <w:proofErr w:type="gramEnd"/>
      <w:r w:rsidR="00C54705" w:rsidRPr="00FE4281">
        <w:rPr>
          <w:rFonts w:ascii="Times New Roman" w:eastAsia="Times New Roman" w:hAnsi="Times New Roman" w:cs="Times New Roman"/>
        </w:rPr>
        <w:t xml:space="preserve">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7536C951" w14:textId="77777777" w:rsidTr="00BA5F10">
        <w:tc>
          <w:tcPr>
            <w:tcW w:w="7196" w:type="dxa"/>
            <w:shd w:val="clear" w:color="auto" w:fill="auto"/>
          </w:tcPr>
          <w:p w14:paraId="69AD7AE0" w14:textId="77777777" w:rsidR="004B2E02" w:rsidRPr="00BA5F10" w:rsidRDefault="00D74AB5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  <w:shd w:val="clear" w:color="auto" w:fill="auto"/>
          </w:tcPr>
          <w:p w14:paraId="3F4FD8A3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0BFE9693" w14:textId="77777777" w:rsidTr="00BA5F10">
        <w:tc>
          <w:tcPr>
            <w:tcW w:w="7196" w:type="dxa"/>
            <w:shd w:val="clear" w:color="auto" w:fill="auto"/>
          </w:tcPr>
          <w:p w14:paraId="51D61C0A" w14:textId="77777777" w:rsidR="004B2E02" w:rsidRPr="00BA5F10" w:rsidRDefault="004B2E02" w:rsidP="00BA5F10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1DFE8FF7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49E5B286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152CF8EE" w14:textId="77777777" w:rsidTr="00BA5F10">
        <w:tc>
          <w:tcPr>
            <w:tcW w:w="7196" w:type="dxa"/>
            <w:shd w:val="clear" w:color="auto" w:fill="auto"/>
          </w:tcPr>
          <w:p w14:paraId="40E33B5A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6868BD24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3FB7C4C3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804494E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89583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Предложения по дальнейшим действиям: </w:t>
      </w:r>
    </w:p>
    <w:tbl>
      <w:tblPr>
        <w:tblStyle w:val="af"/>
        <w:tblW w:w="9659" w:type="dxa"/>
        <w:tblInd w:w="514" w:type="dxa"/>
        <w:tblLook w:val="04A0" w:firstRow="1" w:lastRow="0" w:firstColumn="1" w:lastColumn="0" w:noHBand="0" w:noVBand="1"/>
      </w:tblPr>
      <w:tblGrid>
        <w:gridCol w:w="9659"/>
      </w:tblGrid>
      <w:tr w:rsidR="00E45D23" w14:paraId="36755D42" w14:textId="77777777" w:rsidTr="00E45D23"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115EF9" w14:textId="77777777" w:rsidR="00E45D23" w:rsidRDefault="00E45D2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E45D23" w14:paraId="1E8243A2" w14:textId="77777777" w:rsidTr="00E45D23"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F878EE8" w14:textId="77777777" w:rsidR="00E45D23" w:rsidRDefault="00E45D2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7ED0FBA9" w14:textId="77777777" w:rsidR="00895834" w:rsidRPr="001460C3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bookmarkStart w:id="2" w:name="_GoBack"/>
      <w:bookmarkEnd w:id="2"/>
    </w:p>
    <w:p w14:paraId="32538419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8FF76B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B7B31B1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02DFE8A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8AA031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F3982" w14:textId="77777777" w:rsidR="00EE3EC5" w:rsidRDefault="00EE3EC5">
      <w:pPr>
        <w:spacing w:after="0" w:line="240" w:lineRule="auto"/>
      </w:pPr>
      <w:r>
        <w:separator/>
      </w:r>
    </w:p>
  </w:endnote>
  <w:endnote w:type="continuationSeparator" w:id="0">
    <w:p w14:paraId="1568C3AC" w14:textId="77777777" w:rsidR="00EE3EC5" w:rsidRDefault="00EE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0D808" w14:textId="77777777" w:rsidR="00EE3EC5" w:rsidRDefault="00EE3EC5">
      <w:pPr>
        <w:spacing w:after="0" w:line="240" w:lineRule="auto"/>
      </w:pPr>
      <w:r>
        <w:separator/>
      </w:r>
    </w:p>
  </w:footnote>
  <w:footnote w:type="continuationSeparator" w:id="0">
    <w:p w14:paraId="1CF3863A" w14:textId="77777777" w:rsidR="00EE3EC5" w:rsidRDefault="00EE3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3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4"/>
  </w:num>
  <w:num w:numId="3">
    <w:abstractNumId w:val="21"/>
  </w:num>
  <w:num w:numId="4">
    <w:abstractNumId w:val="37"/>
  </w:num>
  <w:num w:numId="5">
    <w:abstractNumId w:val="6"/>
  </w:num>
  <w:num w:numId="6">
    <w:abstractNumId w:val="10"/>
  </w:num>
  <w:num w:numId="7">
    <w:abstractNumId w:val="17"/>
  </w:num>
  <w:num w:numId="8">
    <w:abstractNumId w:val="28"/>
  </w:num>
  <w:num w:numId="9">
    <w:abstractNumId w:val="1"/>
  </w:num>
  <w:num w:numId="10">
    <w:abstractNumId w:val="31"/>
  </w:num>
  <w:num w:numId="11">
    <w:abstractNumId w:val="20"/>
  </w:num>
  <w:num w:numId="12">
    <w:abstractNumId w:val="8"/>
  </w:num>
  <w:num w:numId="13">
    <w:abstractNumId w:val="24"/>
  </w:num>
  <w:num w:numId="14">
    <w:abstractNumId w:val="32"/>
  </w:num>
  <w:num w:numId="15">
    <w:abstractNumId w:val="12"/>
  </w:num>
  <w:num w:numId="16">
    <w:abstractNumId w:val="27"/>
  </w:num>
  <w:num w:numId="17">
    <w:abstractNumId w:val="23"/>
  </w:num>
  <w:num w:numId="18">
    <w:abstractNumId w:val="18"/>
  </w:num>
  <w:num w:numId="19">
    <w:abstractNumId w:val="2"/>
  </w:num>
  <w:num w:numId="20">
    <w:abstractNumId w:val="5"/>
  </w:num>
  <w:num w:numId="21">
    <w:abstractNumId w:val="22"/>
  </w:num>
  <w:num w:numId="22">
    <w:abstractNumId w:val="16"/>
  </w:num>
  <w:num w:numId="23">
    <w:abstractNumId w:val="19"/>
  </w:num>
  <w:num w:numId="24">
    <w:abstractNumId w:val="4"/>
  </w:num>
  <w:num w:numId="25">
    <w:abstractNumId w:val="35"/>
  </w:num>
  <w:num w:numId="26">
    <w:abstractNumId w:val="36"/>
  </w:num>
  <w:num w:numId="27">
    <w:abstractNumId w:val="9"/>
  </w:num>
  <w:num w:numId="28">
    <w:abstractNumId w:val="13"/>
  </w:num>
  <w:num w:numId="29">
    <w:abstractNumId w:val="25"/>
  </w:num>
  <w:num w:numId="30">
    <w:abstractNumId w:val="38"/>
  </w:num>
  <w:num w:numId="31">
    <w:abstractNumId w:val="7"/>
  </w:num>
  <w:num w:numId="32">
    <w:abstractNumId w:val="15"/>
  </w:num>
  <w:num w:numId="33">
    <w:abstractNumId w:val="30"/>
  </w:num>
  <w:num w:numId="34">
    <w:abstractNumId w:val="29"/>
  </w:num>
  <w:num w:numId="35">
    <w:abstractNumId w:val="26"/>
  </w:num>
  <w:num w:numId="36">
    <w:abstractNumId w:val="33"/>
  </w:num>
  <w:num w:numId="37">
    <w:abstractNumId w:val="3"/>
  </w:num>
  <w:num w:numId="38">
    <w:abstractNumId w:val="1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93E84"/>
    <w:rsid w:val="00596B8B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20A68"/>
    <w:rsid w:val="00A20DA2"/>
    <w:rsid w:val="00A3786C"/>
    <w:rsid w:val="00A512D6"/>
    <w:rsid w:val="00A57D08"/>
    <w:rsid w:val="00A677CE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DE250A"/>
    <w:rsid w:val="00E22490"/>
    <w:rsid w:val="00E31363"/>
    <w:rsid w:val="00E32797"/>
    <w:rsid w:val="00E34589"/>
    <w:rsid w:val="00E4279C"/>
    <w:rsid w:val="00E443D6"/>
    <w:rsid w:val="00E45D23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A16CF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7803-CC2F-4BC8-9C55-4281C3E1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13188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9</cp:revision>
  <cp:lastPrinted>2023-01-18T06:11:00Z</cp:lastPrinted>
  <dcterms:created xsi:type="dcterms:W3CDTF">2024-03-16T14:47:00Z</dcterms:created>
  <dcterms:modified xsi:type="dcterms:W3CDTF">2024-09-12T09:48:00Z</dcterms:modified>
</cp:coreProperties>
</file>