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after="80"/>
        <w:jc w:val="center"/>
      </w:pPr>
      <w:r>
        <w:rPr>
          <w:rFonts w:ascii="Arial" w:hAnsi="Arial" w:eastAsia="Arial"/>
          <w:b/>
          <w:color w:val="0E4856"/>
          <w:sz w:val="60"/>
        </w:rPr>
        <w:t>ORBIS LLM RUNTIME</w:t>
      </w:r>
    </w:p>
    <w:p>
      <w:pPr>
        <w:spacing w:after="240"/>
        <w:jc w:val="center"/>
      </w:pPr>
      <w:r>
        <w:rPr>
          <w:rFonts w:ascii="Arial" w:hAnsi="Arial" w:eastAsia="Arial"/>
          <w:b/>
          <w:color w:val="0E4856"/>
          <w:sz w:val="60"/>
        </w:rPr>
        <w:t>LLAMA.CPP SIDECAR INTEGRATION</w:t>
      </w:r>
    </w:p>
    <w:p>
      <w:pPr>
        <w:spacing w:after="360"/>
        <w:jc w:val="center"/>
      </w:pPr>
      <w:r>
        <w:rPr>
          <w:rFonts w:ascii="Arial" w:hAnsi="Arial" w:eastAsia="Arial"/>
          <w:color w:val="5C6B76"/>
          <w:sz w:val="30"/>
        </w:rPr>
        <w:t>Benchmark-Gated Local Inference Technical Design</w:t>
      </w:r>
    </w:p>
    <w:p>
      <w:pPr>
        <w:spacing w:after="280"/>
        <w:jc w:val="center"/>
      </w:pPr>
      <w:r>
        <w:rPr>
          <w:rFonts w:ascii="Arial" w:hAnsi="Arial" w:eastAsia="Arial"/>
          <w:color w:val="1D2730"/>
          <w:sz w:val="23"/>
        </w:rPr>
        <w:t>Subsystem of ImmersiveNPCs / Orbis</w:t>
        <w:br/>
      </w:r>
      <w:r>
        <w:rPr>
          <w:rFonts w:ascii="Arial" w:hAnsi="Arial" w:eastAsia="Arial"/>
          <w:color w:val="1D2730"/>
          <w:sz w:val="23"/>
        </w:rPr>
        <w:t>Codex Implementation Specification</w:t>
        <w:br/>
      </w:r>
      <w:r>
        <w:rPr>
          <w:rFonts w:ascii="Arial" w:hAnsi="Arial" w:eastAsia="Arial"/>
          <w:color w:val="1D2730"/>
          <w:sz w:val="23"/>
        </w:rPr>
        <w:t>Version 1.0 | 30 August 2026</w:t>
      </w:r>
    </w:p>
    <w:tbl>
      <w:tblPr>
        <w:tblW w:type="auto" w:w="0"/>
        <w:jc w:val="center"/>
        <w:tblLayout w:type="fixed"/>
        <w:tblLook w:firstColumn="1" w:firstRow="1" w:lastColumn="0" w:lastRow="0" w:noHBand="0" w:noVBand="1" w:val="04A0"/>
      </w:tblPr>
      <w:tblGrid>
        <w:gridCol w:w="10224"/>
      </w:tblGrid>
      <w:tr>
        <w:tc>
          <w:tcPr>
            <w:tcW w:type="dxa" w:w="10282"/>
            <w:shd w:fill="EEF2F4"/>
            <w:tcMar>
              <w:top w:w="75" w:type="dxa"/>
              <w:start w:w="95" w:type="dxa"/>
              <w:bottom w:w="75" w:type="dxa"/>
              <w:end w:w="95" w:type="dxa"/>
            </w:tcMar>
            <w:tcBorders>
              <w:top w:val="single" w:sz="12" w:color="973737"/>
              <w:left w:val="single" w:sz="12" w:color="973737"/>
              <w:bottom w:val="single" w:sz="6" w:color="9EB0B8"/>
              <w:right w:val="single" w:sz="6" w:color="9EB0B8"/>
            </w:tcBorders>
          </w:tcPr>
          <w:p>
            <w:pPr>
              <w:spacing w:after="0"/>
            </w:pPr>
            <w:r>
              <w:rPr>
                <w:rFonts w:ascii="Arial" w:hAnsi="Arial" w:eastAsia="Arial"/>
                <w:b/>
                <w:color w:val="973737"/>
                <w:sz w:val="19"/>
              </w:rPr>
              <w:t xml:space="preserve">AUTHORITATIVE PURPOSE. </w:t>
            </w:r>
            <w:r>
              <w:rPr>
                <w:rFonts w:ascii="Arial" w:hAnsi="Arial" w:eastAsia="Arial"/>
                <w:color w:val="1D2730"/>
                <w:sz w:val="19"/>
              </w:rPr>
              <w:t>Replace the user-facing Ollama dependency only if an Orbis-managed llama.cpp sidecar proves equal or better in controlled Hytale A/B validation. Preserve the hardened Orbis turn, budget, cancellation, speech, delivery and resource contracts. Ollama remains the control and rollback provider until the production gate passes.</w:t>
            </w:r>
          </w:p>
        </w:tc>
        <w:trPr>
          <w:tblHeader/>
        </w:trPr>
      </w:tr>
    </w:tbl>
    <w:p>
      <w:pPr>
        <w:spacing w:after="0"/>
      </w:pPr>
    </w:p>
    <w:p>
      <w:pPr>
        <w:spacing w:before="160" w:after="0"/>
        <w:jc w:val="center"/>
      </w:pPr>
      <w:r>
        <w:rPr>
          <w:rFonts w:ascii="Arial" w:hAnsi="Arial" w:eastAsia="Arial"/>
          <w:b/>
          <w:color w:val="0E4856"/>
          <w:sz w:val="22"/>
        </w:rPr>
        <w:t>SELF-CONTAINED RUNTIME</w:t>
      </w:r>
    </w:p>
    <w:p>
      <w:pPr>
        <w:spacing w:after="0"/>
        <w:jc w:val="center"/>
      </w:pPr>
      <w:r>
        <w:rPr>
          <w:rFonts w:ascii="Arial" w:hAnsi="Arial" w:eastAsia="Arial"/>
          <w:color w:val="1D2730"/>
          <w:sz w:val="19"/>
        </w:rPr>
        <w:t>Orbis launches and owns the local LLM worker; players do not install or manage Ollama.</w:t>
      </w:r>
    </w:p>
    <w:p>
      <w:pPr>
        <w:spacing w:before="160" w:after="0"/>
        <w:jc w:val="center"/>
      </w:pPr>
      <w:r>
        <w:rPr>
          <w:rFonts w:ascii="Arial" w:hAnsi="Arial" w:eastAsia="Arial"/>
          <w:b/>
          <w:color w:val="0E4856"/>
          <w:sz w:val="22"/>
        </w:rPr>
        <w:t>PREDICTABLE REAL-TIME CONTROL</w:t>
      </w:r>
    </w:p>
    <w:p>
      <w:pPr>
        <w:spacing w:after="0"/>
        <w:jc w:val="center"/>
      </w:pPr>
      <w:r>
        <w:rPr>
          <w:rFonts w:ascii="Arial" w:hAnsi="Arial" w:eastAsia="Arial"/>
          <w:color w:val="1D2730"/>
          <w:sz w:val="19"/>
        </w:rPr>
        <w:t>explicit model lifecycle, bounded cancellation, exact request correlation and provider health</w:t>
      </w:r>
    </w:p>
    <w:p>
      <w:pPr>
        <w:spacing w:before="160" w:after="0"/>
        <w:jc w:val="center"/>
      </w:pPr>
      <w:r>
        <w:rPr>
          <w:rFonts w:ascii="Arial" w:hAnsi="Arial" w:eastAsia="Arial"/>
          <w:b/>
          <w:color w:val="0E4856"/>
          <w:sz w:val="22"/>
        </w:rPr>
        <w:t>CONSUMER HARDWARE SAFETY</w:t>
      </w:r>
    </w:p>
    <w:p>
      <w:pPr>
        <w:spacing w:after="0"/>
        <w:jc w:val="center"/>
      </w:pPr>
      <w:r>
        <w:rPr>
          <w:rFonts w:ascii="Arial" w:hAnsi="Arial" w:eastAsia="Arial"/>
          <w:color w:val="1D2730"/>
          <w:sz w:val="19"/>
        </w:rPr>
        <w:t>Hytale-first scheduling, measured VRAM residency and no assumption of workstation-class hardware</w:t>
      </w:r>
    </w:p>
    <w:p>
      <w:pPr>
        <w:spacing w:before="480"/>
        <w:jc w:val="center"/>
      </w:pPr>
      <w:r>
        <w:rPr>
          <w:rFonts w:ascii="Arial" w:hAnsi="Arial" w:eastAsia="Arial"/>
          <w:i/>
          <w:color w:val="5C6B76"/>
          <w:sz w:val="18"/>
        </w:rPr>
        <w:t>This document is written for Codex implementation use. Proposed class names are normative concepts; current repository ownership and equivalent abstractions remain authoritative.</w:t>
      </w:r>
    </w:p>
    <w:p>
      <w:r>
        <w:br w:type="page"/>
      </w:r>
    </w:p>
    <w:p>
      <w:pPr>
        <w:pStyle w:val="Heading1"/>
        <w:keepNext/>
      </w:pPr>
      <w:r>
        <w:t>Contents</w:t>
      </w:r>
    </w:p>
    <w:p>
      <w:pPr>
        <w:pStyle w:val="ListBullet"/>
        <w:spacing w:after="30" w:line="240" w:lineRule="auto"/>
      </w:pPr>
      <w:r>
        <w:rPr>
          <w:rFonts w:ascii="Arial" w:hAnsi="Arial" w:eastAsia="Arial"/>
          <w:color w:val="1D2730"/>
          <w:sz w:val="19"/>
        </w:rPr>
        <w:t>1. Implementation Directive</w:t>
      </w:r>
    </w:p>
    <w:p>
      <w:pPr>
        <w:pStyle w:val="ListBullet"/>
        <w:spacing w:after="30" w:line="240" w:lineRule="auto"/>
      </w:pPr>
      <w:r>
        <w:rPr>
          <w:rFonts w:ascii="Arial" w:hAnsi="Arial" w:eastAsia="Arial"/>
          <w:color w:val="1D2730"/>
          <w:sz w:val="19"/>
        </w:rPr>
        <w:t>2. Executive Decision and Feasibility</w:t>
      </w:r>
    </w:p>
    <w:p>
      <w:pPr>
        <w:pStyle w:val="ListBullet"/>
        <w:spacing w:after="30" w:line="240" w:lineRule="auto"/>
      </w:pPr>
      <w:r>
        <w:rPr>
          <w:rFonts w:ascii="Arial" w:hAnsi="Arial" w:eastAsia="Arial"/>
          <w:color w:val="1D2730"/>
          <w:sz w:val="19"/>
        </w:rPr>
        <w:t>3. Scope, Goals and Non-Goals</w:t>
      </w:r>
    </w:p>
    <w:p>
      <w:pPr>
        <w:pStyle w:val="ListBullet"/>
        <w:spacing w:after="30" w:line="240" w:lineRule="auto"/>
      </w:pPr>
      <w:r>
        <w:rPr>
          <w:rFonts w:ascii="Arial" w:hAnsi="Arial" w:eastAsia="Arial"/>
          <w:color w:val="1D2730"/>
          <w:sz w:val="19"/>
        </w:rPr>
        <w:t>4. Architectural Decisions</w:t>
      </w:r>
    </w:p>
    <w:p>
      <w:pPr>
        <w:pStyle w:val="ListBullet"/>
        <w:spacing w:after="30" w:line="240" w:lineRule="auto"/>
      </w:pPr>
      <w:r>
        <w:rPr>
          <w:rFonts w:ascii="Arial" w:hAnsi="Arial" w:eastAsia="Arial"/>
          <w:color w:val="1D2730"/>
          <w:sz w:val="19"/>
        </w:rPr>
        <w:t>5. High-Level Architecture and Ownership</w:t>
      </w:r>
    </w:p>
    <w:p>
      <w:pPr>
        <w:pStyle w:val="ListBullet"/>
        <w:spacing w:after="30" w:line="240" w:lineRule="auto"/>
      </w:pPr>
      <w:r>
        <w:rPr>
          <w:rFonts w:ascii="Arial" w:hAnsi="Arial" w:eastAsia="Arial"/>
          <w:color w:val="1D2730"/>
          <w:sz w:val="19"/>
        </w:rPr>
        <w:t>6. Provider and Component Integration</w:t>
      </w:r>
    </w:p>
    <w:p>
      <w:pPr>
        <w:pStyle w:val="ListBullet"/>
        <w:spacing w:after="30" w:line="240" w:lineRule="auto"/>
      </w:pPr>
      <w:r>
        <w:rPr>
          <w:rFonts w:ascii="Arial" w:hAnsi="Arial" w:eastAsia="Arial"/>
          <w:color w:val="1D2730"/>
          <w:sz w:val="19"/>
        </w:rPr>
        <w:t>7. OrbisLLM Sidecar Process Architecture</w:t>
      </w:r>
    </w:p>
    <w:p>
      <w:pPr>
        <w:pStyle w:val="ListBullet"/>
        <w:spacing w:after="30" w:line="240" w:lineRule="auto"/>
      </w:pPr>
      <w:r>
        <w:rPr>
          <w:rFonts w:ascii="Arial" w:hAnsi="Arial" w:eastAsia="Arial"/>
          <w:color w:val="1D2730"/>
          <w:sz w:val="19"/>
        </w:rPr>
        <w:t>8. Versioned Local IPC Protocol</w:t>
      </w:r>
    </w:p>
    <w:p>
      <w:pPr>
        <w:pStyle w:val="ListBullet"/>
        <w:spacing w:after="30" w:line="240" w:lineRule="auto"/>
      </w:pPr>
      <w:r>
        <w:rPr>
          <w:rFonts w:ascii="Arial" w:hAnsi="Arial" w:eastAsia="Arial"/>
          <w:color w:val="1D2730"/>
          <w:sz w:val="19"/>
        </w:rPr>
        <w:t>9. Model Loading, Runtime Profiles and Warmup</w:t>
      </w:r>
    </w:p>
    <w:p>
      <w:pPr>
        <w:pStyle w:val="ListBullet"/>
        <w:spacing w:after="30" w:line="240" w:lineRule="auto"/>
      </w:pPr>
      <w:r>
        <w:rPr>
          <w:rFonts w:ascii="Arial" w:hAnsi="Arial" w:eastAsia="Arial"/>
          <w:color w:val="1D2730"/>
          <w:sz w:val="19"/>
        </w:rPr>
        <w:t>10. Prompt, Reasoning, Sampling and Structured Output</w:t>
      </w:r>
    </w:p>
    <w:p>
      <w:pPr>
        <w:pStyle w:val="ListBullet"/>
        <w:spacing w:after="30" w:line="240" w:lineRule="auto"/>
      </w:pPr>
      <w:r>
        <w:rPr>
          <w:rFonts w:ascii="Arial" w:hAnsi="Arial" w:eastAsia="Arial"/>
          <w:color w:val="1D2730"/>
          <w:sz w:val="19"/>
        </w:rPr>
        <w:t>11. Cancellation, Preemption and Watchdogs</w:t>
      </w:r>
    </w:p>
    <w:p>
      <w:pPr>
        <w:pStyle w:val="ListBullet"/>
        <w:spacing w:after="30" w:line="240" w:lineRule="auto"/>
      </w:pPr>
      <w:r>
        <w:rPr>
          <w:rFonts w:ascii="Arial" w:hAnsi="Arial" w:eastAsia="Arial"/>
          <w:color w:val="1D2730"/>
          <w:sz w:val="19"/>
        </w:rPr>
        <w:t>12. Memory, Residency and Orbis Resource Scheduling</w:t>
      </w:r>
    </w:p>
    <w:p>
      <w:pPr>
        <w:pStyle w:val="ListBullet"/>
        <w:spacing w:after="30" w:line="240" w:lineRule="auto"/>
      </w:pPr>
      <w:r>
        <w:rPr>
          <w:rFonts w:ascii="Arial" w:hAnsi="Arial" w:eastAsia="Arial"/>
          <w:color w:val="1D2730"/>
          <w:sz w:val="19"/>
        </w:rPr>
        <w:t>13. Performance Optimization Plan</w:t>
      </w:r>
    </w:p>
    <w:p>
      <w:pPr>
        <w:pStyle w:val="ListBullet"/>
        <w:spacing w:after="30" w:line="240" w:lineRule="auto"/>
      </w:pPr>
      <w:r>
        <w:rPr>
          <w:rFonts w:ascii="Arial" w:hAnsi="Arial" w:eastAsia="Arial"/>
          <w:color w:val="1D2730"/>
          <w:sz w:val="19"/>
        </w:rPr>
        <w:t>14. Failure Handling and Recovery</w:t>
      </w:r>
    </w:p>
    <w:p>
      <w:pPr>
        <w:pStyle w:val="ListBullet"/>
        <w:spacing w:after="30" w:line="240" w:lineRule="auto"/>
      </w:pPr>
      <w:r>
        <w:rPr>
          <w:rFonts w:ascii="Arial" w:hAnsi="Arial" w:eastAsia="Arial"/>
          <w:color w:val="1D2730"/>
          <w:sz w:val="19"/>
        </w:rPr>
        <w:t>15. Packaging, Distribution, Licensing and Updates</w:t>
      </w:r>
    </w:p>
    <w:p>
      <w:pPr>
        <w:pStyle w:val="ListBullet"/>
        <w:spacing w:after="30" w:line="240" w:lineRule="auto"/>
      </w:pPr>
      <w:r>
        <w:rPr>
          <w:rFonts w:ascii="Arial" w:hAnsi="Arial" w:eastAsia="Arial"/>
          <w:color w:val="1D2730"/>
          <w:sz w:val="19"/>
        </w:rPr>
        <w:t>16. Native Hytale UI, Trace and Runtime Logs</w:t>
      </w:r>
    </w:p>
    <w:p>
      <w:pPr>
        <w:pStyle w:val="ListBullet"/>
        <w:spacing w:after="30" w:line="240" w:lineRule="auto"/>
      </w:pPr>
      <w:r>
        <w:rPr>
          <w:rFonts w:ascii="Arial" w:hAnsi="Arial" w:eastAsia="Arial"/>
          <w:color w:val="1D2730"/>
          <w:sz w:val="19"/>
        </w:rPr>
        <w:t>17. Benchmark-Gated Implementation Plan</w:t>
      </w:r>
    </w:p>
    <w:p>
      <w:pPr>
        <w:pStyle w:val="ListBullet"/>
        <w:spacing w:after="30" w:line="240" w:lineRule="auto"/>
      </w:pPr>
      <w:r>
        <w:rPr>
          <w:rFonts w:ascii="Arial" w:hAnsi="Arial" w:eastAsia="Arial"/>
          <w:color w:val="1D2730"/>
          <w:sz w:val="19"/>
        </w:rPr>
        <w:t>18. Verification, Performance Budgets and Definition of Done</w:t>
      </w:r>
    </w:p>
    <w:p>
      <w:pPr>
        <w:pStyle w:val="ListBullet"/>
        <w:spacing w:after="30" w:line="240" w:lineRule="auto"/>
      </w:pPr>
      <w:r>
        <w:rPr>
          <w:rFonts w:ascii="Arial" w:hAnsi="Arial" w:eastAsia="Arial"/>
          <w:color w:val="1D2730"/>
          <w:sz w:val="19"/>
        </w:rPr>
        <w:t>Appendix A. Proposed Component Map</w:t>
      </w:r>
    </w:p>
    <w:p>
      <w:pPr>
        <w:pStyle w:val="ListBullet"/>
        <w:spacing w:after="30" w:line="240" w:lineRule="auto"/>
      </w:pPr>
      <w:r>
        <w:rPr>
          <w:rFonts w:ascii="Arial" w:hAnsi="Arial" w:eastAsia="Arial"/>
          <w:color w:val="1D2730"/>
          <w:sz w:val="19"/>
        </w:rPr>
        <w:t>Appendix B. IPC Message Contract</w:t>
      </w:r>
    </w:p>
    <w:p>
      <w:pPr>
        <w:pStyle w:val="ListBullet"/>
        <w:spacing w:after="30" w:line="240" w:lineRule="auto"/>
      </w:pPr>
      <w:r>
        <w:rPr>
          <w:rFonts w:ascii="Arial" w:hAnsi="Arial" w:eastAsia="Arial"/>
          <w:color w:val="1D2730"/>
          <w:sz w:val="19"/>
        </w:rPr>
        <w:t>Appendix C. A/B Benchmark Matrix</w:t>
      </w:r>
    </w:p>
    <w:p>
      <w:pPr>
        <w:pStyle w:val="ListBullet"/>
        <w:spacing w:after="30" w:line="240" w:lineRule="auto"/>
      </w:pPr>
      <w:r>
        <w:rPr>
          <w:rFonts w:ascii="Arial" w:hAnsi="Arial" w:eastAsia="Arial"/>
          <w:color w:val="1D2730"/>
          <w:sz w:val="19"/>
        </w:rPr>
        <w:t>Appendix D. Sources</w:t>
      </w:r>
    </w:p>
    <w:p>
      <w:r>
        <w:br w:type="page"/>
      </w:r>
    </w:p>
    <w:p>
      <w:pPr>
        <w:pStyle w:val="Heading1"/>
        <w:keepNext/>
      </w:pPr>
      <w:r>
        <w:t>1. Implementation Directive</w:t>
      </w:r>
    </w:p>
    <w:p>
      <w:pPr>
        <w:spacing w:after="80"/>
      </w:pPr>
      <w:r>
        <w:rPr>
          <w:rFonts w:ascii="Arial" w:hAnsi="Arial" w:eastAsia="Arial"/>
          <w:i w:val="0"/>
          <w:color w:val="1D2730"/>
          <w:sz w:val="20"/>
        </w:rPr>
        <w:t>This design introduces an Orbis-managed native LLM worker built around a pinned llama.cpp library. It is a provider migration project beneath the hardened conversational pipeline, not a second NPC brain and not a rewrite of llama.cpp.</w:t>
      </w:r>
    </w:p>
    <w:p>
      <w:pPr>
        <w:pStyle w:val="ListBullet"/>
        <w:spacing w:after="30" w:line="240" w:lineRule="auto"/>
      </w:pPr>
      <w:r>
        <w:rPr>
          <w:rFonts w:ascii="Arial" w:hAnsi="Arial" w:eastAsia="Arial"/>
          <w:color w:val="1D2730"/>
          <w:sz w:val="19"/>
        </w:rPr>
        <w:t>MUST read Orbis Technical Design, the current ownership reports, Orbis Conversational Pipeline Hardening Matrix.md, current Phase 2 reports, and the active repository before changing code.</w:t>
      </w:r>
    </w:p>
    <w:p>
      <w:pPr>
        <w:pStyle w:val="ListBullet"/>
        <w:spacing w:after="30" w:line="240" w:lineRule="auto"/>
      </w:pPr>
      <w:r>
        <w:rPr>
          <w:rFonts w:ascii="Arial" w:hAnsi="Arial" w:eastAsia="Arial"/>
          <w:color w:val="1D2730"/>
          <w:sz w:val="19"/>
        </w:rPr>
        <w:t>MUST preserve Orbis authority over TurnId, NpcTurnBranch, TurnExecutionPlan, ContractBudgetPlan, floor ownership, cancellation, resource admission, world truth, action validation, CanonicalSpeechLedger, delivery truth, trace and Hytale spatial playback.</w:t>
      </w:r>
    </w:p>
    <w:p>
      <w:pPr>
        <w:pStyle w:val="ListBullet"/>
        <w:spacing w:after="30" w:line="240" w:lineRule="auto"/>
      </w:pPr>
      <w:r>
        <w:rPr>
          <w:rFonts w:ascii="Arial" w:hAnsi="Arial" w:eastAsia="Arial"/>
          <w:color w:val="1D2730"/>
          <w:sz w:val="19"/>
        </w:rPr>
        <w:t>MUST implement a separate OrbisLLM native sidecar that links or vendors a pinned upstream llama.cpp revision. Do not embed libllama into the Hytale JVM through JNI/JNA for the initial production architecture.</w:t>
      </w:r>
    </w:p>
    <w:p>
      <w:pPr>
        <w:pStyle w:val="ListBullet"/>
        <w:spacing w:after="30" w:line="240" w:lineRule="auto"/>
      </w:pPr>
      <w:r>
        <w:rPr>
          <w:rFonts w:ascii="Arial" w:hAnsi="Arial" w:eastAsia="Arial"/>
          <w:color w:val="1D2730"/>
          <w:sz w:val="19"/>
        </w:rPr>
        <w:t>MUST NOT rewrite llama.cpp tensor execution, CUDA kernels, GGUF loading, quantization, sampling or attention implementations. Own the process, IPC, lifecycle, scheduling, telemetry and Orbis-specific contract integration around libllama.</w:t>
      </w:r>
    </w:p>
    <w:p>
      <w:pPr>
        <w:pStyle w:val="ListBullet"/>
        <w:spacing w:after="30" w:line="240" w:lineRule="auto"/>
      </w:pPr>
      <w:r>
        <w:rPr>
          <w:rFonts w:ascii="Arial" w:hAnsi="Arial" w:eastAsia="Arial"/>
          <w:color w:val="1D2730"/>
          <w:sz w:val="19"/>
        </w:rPr>
        <w:t>MUST keep Ollama selectable as the Phase 1 control and rollback provider. Provider selection is branch-pinned; an active request never silently restarts through another provider.</w:t>
      </w:r>
    </w:p>
    <w:p>
      <w:pPr>
        <w:pStyle w:val="ListBullet"/>
        <w:spacing w:after="30" w:line="240" w:lineRule="auto"/>
      </w:pPr>
      <w:r>
        <w:rPr>
          <w:rFonts w:ascii="Arial" w:hAnsi="Arial" w:eastAsia="Arial"/>
          <w:color w:val="1D2730"/>
          <w:sz w:val="19"/>
        </w:rPr>
        <w:t>MUST use the same official NVIDIA Nemotron 3 Nano 4B Q4_K_M GGUF and equivalent prompt/template/sampler settings for the initial A/B comparison.</w:t>
      </w:r>
    </w:p>
    <w:p>
      <w:pPr>
        <w:pStyle w:val="ListBullet"/>
        <w:spacing w:after="30" w:line="240" w:lineRule="auto"/>
      </w:pPr>
      <w:r>
        <w:rPr>
          <w:rFonts w:ascii="Arial" w:hAnsi="Arial" w:eastAsia="Arial"/>
          <w:color w:val="1D2730"/>
          <w:sz w:val="19"/>
        </w:rPr>
        <w:t>MUST target Windows x64 with NVIDIA CUDA and a CPU fallback first. Additional llama.cpp backends are future compatibility work, not Phase 1 scope.</w:t>
      </w:r>
    </w:p>
    <w:p>
      <w:pPr>
        <w:pStyle w:val="ListBullet"/>
        <w:spacing w:after="30" w:line="240" w:lineRule="auto"/>
      </w:pPr>
      <w:r>
        <w:rPr>
          <w:rFonts w:ascii="Arial" w:hAnsi="Arial" w:eastAsia="Arial"/>
          <w:color w:val="1D2730"/>
          <w:sz w:val="19"/>
        </w:rPr>
        <w:t>MUST keep Hytale highest priority and preserve the current measured GPU safety reserve unless later connected evidence supports a safer replacement.</w:t>
      </w:r>
    </w:p>
    <w:p>
      <w:pPr>
        <w:pStyle w:val="ListBullet"/>
        <w:spacing w:after="30" w:line="240" w:lineRule="auto"/>
      </w:pPr>
      <w:r>
        <w:rPr>
          <w:rFonts w:ascii="Arial" w:hAnsi="Arial" w:eastAsia="Arial"/>
          <w:color w:val="1D2730"/>
          <w:sz w:val="19"/>
        </w:rPr>
        <w:t>MUST NOT package the GGUF inside the JAR, perform large model downloads during world loading, auto-update llama.cpp during gameplay, or expose a network listener.</w:t>
      </w:r>
    </w:p>
    <w:p>
      <w:pPr>
        <w:pStyle w:val="ListBullet"/>
        <w:spacing w:after="30" w:line="240" w:lineRule="auto"/>
      </w:pPr>
      <w:r>
        <w:rPr>
          <w:rFonts w:ascii="Arial" w:hAnsi="Arial" w:eastAsia="Arial"/>
          <w:color w:val="1D2730"/>
          <w:sz w:val="19"/>
        </w:rPr>
        <w:t>MUST stop the migration if the benchmark gate fails. A self-contained runtime is not sufficient justification for worse Hytale stability, output correctness or conversational latency.</w:t>
      </w:r>
    </w:p>
    <w:tbl>
      <w:tblPr>
        <w:tblW w:type="auto" w:w="0"/>
        <w:jc w:val="center"/>
        <w:tblLayout w:type="fixed"/>
        <w:tblLook w:firstColumn="1" w:firstRow="1" w:lastColumn="0" w:lastRow="0" w:noHBand="0" w:noVBand="1" w:val="04A0"/>
      </w:tblPr>
      <w:tblGrid>
        <w:gridCol w:w="10224"/>
      </w:tblGrid>
      <w:tr>
        <w:tc>
          <w:tcPr>
            <w:tcW w:type="dxa" w:w="10282"/>
            <w:shd w:fill="EEF2F4"/>
            <w:tcMar>
              <w:top w:w="75" w:type="dxa"/>
              <w:start w:w="95" w:type="dxa"/>
              <w:bottom w:w="75" w:type="dxa"/>
              <w:end w:w="95" w:type="dxa"/>
            </w:tcMar>
            <w:tcBorders>
              <w:top w:val="single" w:sz="12" w:color="973737"/>
              <w:left w:val="single" w:sz="12" w:color="973737"/>
              <w:bottom w:val="single" w:sz="6" w:color="9EB0B8"/>
              <w:right w:val="single" w:sz="6" w:color="9EB0B8"/>
            </w:tcBorders>
          </w:tcPr>
          <w:p>
            <w:pPr>
              <w:spacing w:after="0"/>
            </w:pPr>
            <w:r>
              <w:rPr>
                <w:rFonts w:ascii="Arial" w:hAnsi="Arial" w:eastAsia="Arial"/>
                <w:b/>
                <w:color w:val="973737"/>
                <w:sz w:val="19"/>
              </w:rPr>
              <w:t xml:space="preserve">DEPLOYMENT GATE. </w:t>
            </w:r>
            <w:r>
              <w:rPr>
                <w:rFonts w:ascii="Arial" w:hAnsi="Arial" w:eastAsia="Arial"/>
                <w:color w:val="1D2730"/>
                <w:sz w:val="19"/>
              </w:rPr>
              <w:t>The first engineering phase adds an experimental llama.cpp provider beside Ollama and performs strict A/B validation. Ollama is not retired and OrbisLLM is not the production default until the second phase passes clean-machine packaging and connected Hytale validation.</w:t>
            </w:r>
          </w:p>
        </w:tc>
        <w:trPr>
          <w:tblHeader/>
        </w:trPr>
      </w:tr>
    </w:tbl>
    <w:p>
      <w:pPr>
        <w:spacing w:after="0"/>
      </w:pPr>
    </w:p>
    <w:p>
      <w:pPr>
        <w:pStyle w:val="Heading1"/>
        <w:keepNext/>
      </w:pPr>
      <w:r>
        <w:t>2. Executive Decision and Feasibility</w:t>
      </w:r>
    </w:p>
    <w:p>
      <w:pPr>
        <w:spacing w:after="80"/>
      </w:pPr>
      <w:r>
        <w:rPr>
          <w:rFonts w:ascii="Arial" w:hAnsi="Arial" w:eastAsia="Arial"/>
          <w:i w:val="0"/>
          <w:color w:val="1D2730"/>
          <w:sz w:val="20"/>
        </w:rPr>
        <w:t>Decision: build `OrbisLLM.exe`, an Orbis-owned local process that directly uses a pinned libllama build. Orbis communicates through a private versioned local IPC protocol. llama.cpp performs inference; Orbis owns every game-facing lifecycle and policy decision.</w:t>
      </w:r>
    </w:p>
    <w:p>
      <w:pPr>
        <w:pStyle w:val="CodeBlock"/>
        <w:keepLines/>
        <w:shd w:fill="EEF2F4"/>
      </w:pPr>
      <w:r>
        <w:rPr>
          <w:rFonts w:ascii="Consolas" w:hAnsi="Consolas" w:eastAsia="Consolas"/>
          <w:color w:val="1D2730"/>
          <w:sz w:val="17"/>
        </w:rPr>
        <w:t>Hytale / ImmersiveNPCs</w:t>
        <w:br/>
        <w:t xml:space="preserve">        |</w:t>
        <w:br/>
        <w:t xml:space="preserve">        v</w:t>
        <w:br/>
        <w:t>OrbisTurnCoordinator -&gt; TurnExecutionPlan -&gt; OrbisLlamaCppProvider</w:t>
        <w:br/>
        <w:t xml:space="preserve">        |                                      |</w:t>
        <w:br/>
        <w:t xml:space="preserve">        |                                      v</w:t>
        <w:br/>
        <w:t xml:space="preserve">        |                              OrbisLlmProcessManager</w:t>
        <w:br/>
        <w:t xml:space="preserve">        |                                      | private IPC</w:t>
        <w:br/>
        <w:t xml:space="preserve">        |                                      v</w:t>
        <w:br/>
        <w:t xml:space="preserve">        |                                 OrbisLLM.exe</w:t>
        <w:br/>
        <w:t xml:space="preserve">        |                                      |</w:t>
        <w:br/>
        <w:t xml:space="preserve">        |                              pinned libllama / ggml</w:t>
        <w:br/>
        <w:t xml:space="preserve">        |                                      |</w:t>
        <w:br/>
        <w:t xml:space="preserve">        +------------------------------ Nemotron Q4_K_M GGUF</w:t>
      </w:r>
    </w:p>
    <w:tbl>
      <w:tblPr>
        <w:tblW w:type="auto" w:w="0"/>
        <w:jc w:val="center"/>
        <w:tblLayout w:type="fixed"/>
        <w:tblLook w:firstColumn="1" w:firstRow="1" w:lastColumn="0" w:lastRow="0" w:noHBand="0" w:noVBand="1" w:val="04A0"/>
      </w:tblPr>
      <w:tblGrid>
        <w:gridCol w:w="3024"/>
        <w:gridCol w:w="7200"/>
      </w:tblGrid>
      <w:tr>
        <w:trPr>
          <w:tblHeader w:val="true"/>
        </w:trPr>
        <w:tc>
          <w:tcPr>
            <w:tcW w:type="dxa" w:w="3024"/>
            <w:shd w:fill="0E4856"/>
            <w:tcMar>
              <w:top w:w="55" w:type="dxa"/>
              <w:start w:w="60" w:type="dxa"/>
              <w:bottom w:w="55" w:type="dxa"/>
              <w:end w:w="60" w:type="dxa"/>
            </w:tcMar>
            <w:tcBorders>
              <w:top w:val="single" w:sz="6" w:color="9EB0B8"/>
              <w:left w:val="single" w:sz="6" w:color="9EB0B8"/>
              <w:bottom w:val="single" w:sz="6" w:color="9EB0B8"/>
              <w:right w:val="single" w:sz="6" w:color="9EB0B8"/>
            </w:tcBorders>
            <w:vAlign w:val="center"/>
          </w:tcPr>
          <w:p>
            <w:pPr>
              <w:spacing w:after="0"/>
            </w:pPr>
            <w:r>
              <w:rPr>
                <w:rFonts w:ascii="Arial" w:hAnsi="Arial" w:eastAsia="Arial"/>
                <w:b/>
                <w:color w:val="FFFFFF"/>
                <w:sz w:val="17"/>
              </w:rPr>
              <w:t>Question</w:t>
            </w:r>
          </w:p>
        </w:tc>
        <w:tc>
          <w:tcPr>
            <w:tcW w:type="dxa" w:w="7200"/>
            <w:shd w:fill="0E4856"/>
            <w:tcMar>
              <w:top w:w="55" w:type="dxa"/>
              <w:start w:w="60" w:type="dxa"/>
              <w:bottom w:w="55" w:type="dxa"/>
              <w:end w:w="60" w:type="dxa"/>
            </w:tcMar>
            <w:tcBorders>
              <w:top w:val="single" w:sz="6" w:color="9EB0B8"/>
              <w:left w:val="single" w:sz="6" w:color="9EB0B8"/>
              <w:bottom w:val="single" w:sz="6" w:color="9EB0B8"/>
              <w:right w:val="single" w:sz="6" w:color="9EB0B8"/>
            </w:tcBorders>
            <w:vAlign w:val="center"/>
          </w:tcPr>
          <w:p>
            <w:pPr>
              <w:spacing w:after="0"/>
            </w:pPr>
            <w:r>
              <w:rPr>
                <w:rFonts w:ascii="Arial" w:hAnsi="Arial" w:eastAsia="Arial"/>
                <w:b/>
                <w:color w:val="FFFFFF"/>
                <w:sz w:val="17"/>
              </w:rPr>
              <w:t>Design answer</w:t>
            </w:r>
          </w:p>
        </w:tc>
      </w:tr>
      <w:tr>
        <w:tc>
          <w:tcPr>
            <w:tcW w:type="dxa" w:w="3024"/>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7"/>
              </w:rPr>
              <w:t>Can Nemotron run through llama.cpp on Windows?</w:t>
            </w:r>
          </w:p>
        </w:tc>
        <w:tc>
          <w:tcPr>
            <w:tcW w:type="dxa" w:w="7200"/>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7"/>
              </w:rPr>
              <w:t>Yes. NVIDIA publishes official llama.cpp usage for the Q4_K_M GGUF, including Windows installation and local server/CLI paths. [S5]</w:t>
            </w:r>
          </w:p>
        </w:tc>
      </w:tr>
      <w:tr>
        <w:tc>
          <w:tcPr>
            <w:tcW w:type="dxa" w:w="3024"/>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7"/>
              </w:rPr>
              <w:t>Does llama.cpp support consumer GPU/CPU hybrid inference?</w:t>
            </w:r>
          </w:p>
        </w:tc>
        <w:tc>
          <w:tcPr>
            <w:tcW w:type="dxa" w:w="7200"/>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7"/>
              </w:rPr>
              <w:t>Yes. The project documents CUDA, quantization and CPU+GPU hybrid inference; libllama exposes GPU-layer, context, thread, Flash Attention and KV-cache controls. [S1][S2]</w:t>
            </w:r>
          </w:p>
        </w:tc>
      </w:tr>
      <w:tr>
        <w:tc>
          <w:tcPr>
            <w:tcW w:type="dxa" w:w="3024"/>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7"/>
              </w:rPr>
              <w:t>Will removing HTTP alone transform latency?</w:t>
            </w:r>
          </w:p>
        </w:tc>
        <w:tc>
          <w:tcPr>
            <w:tcW w:type="dxa" w:w="7200"/>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7"/>
              </w:rPr>
              <w:t>No. HTTP overhead is minor relative to model inference. The expected gains are lifecycle ownership, cancellation semantics, exact residency, packaging and simpler failure recovery.</w:t>
            </w:r>
          </w:p>
        </w:tc>
      </w:tr>
      <w:tr>
        <w:tc>
          <w:tcPr>
            <w:tcW w:type="dxa" w:w="3024"/>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7"/>
              </w:rPr>
              <w:t>Can the sidecar guarantee immediate GPU cancellation?</w:t>
            </w:r>
          </w:p>
        </w:tc>
        <w:tc>
          <w:tcPr>
            <w:tcW w:type="dxa" w:w="7200"/>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7"/>
              </w:rPr>
              <w:t>No. The current libllama abort callback is documented as CPU-only. The design therefore checks cancellation between bounded prompt microbatches and generation tokens, then uses a watchdog/restart fallback for an in-flight GPU decode that does not return promptly. [S2]</w:t>
            </w:r>
          </w:p>
        </w:tc>
      </w:tr>
      <w:tr>
        <w:tc>
          <w:tcPr>
            <w:tcW w:type="dxa" w:w="3024"/>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7"/>
              </w:rPr>
              <w:t>Should llama.cpp be embedded in the JVM?</w:t>
            </w:r>
          </w:p>
        </w:tc>
        <w:tc>
          <w:tcPr>
            <w:tcW w:type="dxa" w:w="7200"/>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7"/>
              </w:rPr>
              <w:t>No for v1. A sidecar isolates CUDA/native crashes and permits bounded restart without taking down Hytale.</w:t>
            </w:r>
          </w:p>
        </w:tc>
      </w:tr>
      <w:tr>
        <w:tc>
          <w:tcPr>
            <w:tcW w:type="dxa" w:w="3024"/>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7"/>
              </w:rPr>
              <w:t>Should Ollama be removed immediately?</w:t>
            </w:r>
          </w:p>
        </w:tc>
        <w:tc>
          <w:tcPr>
            <w:tcW w:type="dxa" w:w="7200"/>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7"/>
              </w:rPr>
              <w:t>No. Ollama remains the control until equivalent correctness and measurable runtime benefits are proven.</w:t>
            </w:r>
          </w:p>
        </w:tc>
      </w:tr>
    </w:tbl>
    <w:p>
      <w:pPr>
        <w:spacing w:after="0"/>
      </w:pPr>
    </w:p>
    <w:tbl>
      <w:tblPr>
        <w:tblW w:type="auto" w:w="0"/>
        <w:jc w:val="center"/>
        <w:tblLayout w:type="fixed"/>
        <w:tblLook w:firstColumn="1" w:firstRow="1" w:lastColumn="0" w:lastRow="0" w:noHBand="0" w:noVBand="1" w:val="04A0"/>
      </w:tblPr>
      <w:tblGrid>
        <w:gridCol w:w="10224"/>
      </w:tblGrid>
      <w:tr>
        <w:tc>
          <w:tcPr>
            <w:tcW w:type="dxa" w:w="10282"/>
            <w:shd w:fill="E7F1EC"/>
            <w:tcMar>
              <w:top w:w="75" w:type="dxa"/>
              <w:start w:w="95" w:type="dxa"/>
              <w:bottom w:w="75" w:type="dxa"/>
              <w:end w:w="95" w:type="dxa"/>
            </w:tcMar>
            <w:tcBorders>
              <w:top w:val="single" w:sz="12" w:color="2C6E55"/>
              <w:left w:val="single" w:sz="12" w:color="2C6E55"/>
              <w:bottom w:val="single" w:sz="6" w:color="9EB0B8"/>
              <w:right w:val="single" w:sz="6" w:color="9EB0B8"/>
            </w:tcBorders>
          </w:tcPr>
          <w:p>
            <w:pPr>
              <w:spacing w:after="0"/>
            </w:pPr>
            <w:r>
              <w:rPr>
                <w:rFonts w:ascii="Arial" w:hAnsi="Arial" w:eastAsia="Arial"/>
                <w:b/>
                <w:color w:val="2C6E55"/>
                <w:sz w:val="19"/>
              </w:rPr>
              <w:t xml:space="preserve">SUCCESS CRITERION. </w:t>
            </w:r>
            <w:r>
              <w:rPr>
                <w:rFonts w:ascii="Arial" w:hAnsi="Arial" w:eastAsia="Arial"/>
                <w:color w:val="1D2730"/>
                <w:sz w:val="19"/>
              </w:rPr>
              <w:t>OrbisLLM is valuable only if it preserves all hardened turn contracts and either improves cancellation/residency/rapid-fire stability, reduces latency or memory, or materially simplifies installation without introducing a Hytale regression.</w:t>
            </w:r>
          </w:p>
        </w:tc>
        <w:trPr>
          <w:tblHeader/>
        </w:trPr>
      </w:tr>
    </w:tbl>
    <w:p>
      <w:pPr>
        <w:spacing w:after="0"/>
      </w:pPr>
    </w:p>
    <w:p>
      <w:pPr>
        <w:pStyle w:val="Heading1"/>
        <w:keepNext/>
      </w:pPr>
      <w:r>
        <w:t>3. Scope, Goals and Non-Goals</w:t>
      </w:r>
    </w:p>
    <w:p>
      <w:pPr>
        <w:pStyle w:val="Heading2"/>
        <w:keepNext/>
      </w:pPr>
      <w:r>
        <w:t>3.1 Goals</w:t>
      </w:r>
    </w:p>
    <w:p>
      <w:pPr>
        <w:pStyle w:val="ListBullet"/>
        <w:spacing w:after="30" w:line="240" w:lineRule="auto"/>
      </w:pPr>
      <w:r>
        <w:rPr>
          <w:rFonts w:ascii="Arial" w:hAnsi="Arial" w:eastAsia="Arial"/>
          <w:color w:val="1D2730"/>
          <w:sz w:val="19"/>
        </w:rPr>
        <w:t>Remove the user-facing Ollama installation/service requirement after the production gate.</w:t>
      </w:r>
    </w:p>
    <w:p>
      <w:pPr>
        <w:pStyle w:val="ListBullet"/>
        <w:spacing w:after="30" w:line="240" w:lineRule="auto"/>
      </w:pPr>
      <w:r>
        <w:rPr>
          <w:rFonts w:ascii="Arial" w:hAnsi="Arial" w:eastAsia="Arial"/>
          <w:color w:val="1D2730"/>
          <w:sz w:val="19"/>
        </w:rPr>
        <w:t>Give Orbis explicit ownership of model process lifetime, context lifetime, GPU-layer profile, request execution, cancellation acknowledgement and restart behavior.</w:t>
      </w:r>
    </w:p>
    <w:p>
      <w:pPr>
        <w:pStyle w:val="ListBullet"/>
        <w:spacing w:after="30" w:line="240" w:lineRule="auto"/>
      </w:pPr>
      <w:r>
        <w:rPr>
          <w:rFonts w:ascii="Arial" w:hAnsi="Arial" w:eastAsia="Arial"/>
          <w:color w:val="1D2730"/>
          <w:sz w:val="19"/>
        </w:rPr>
        <w:t>Expose precise model/context/request state to OrbisResourceScheduler instead of inferring lifecycle through a generic model manager.</w:t>
      </w:r>
    </w:p>
    <w:p>
      <w:pPr>
        <w:pStyle w:val="ListBullet"/>
        <w:spacing w:after="30" w:line="240" w:lineRule="auto"/>
      </w:pPr>
      <w:r>
        <w:rPr>
          <w:rFonts w:ascii="Arial" w:hAnsi="Arial" w:eastAsia="Arial"/>
          <w:color w:val="1D2730"/>
          <w:sz w:val="19"/>
        </w:rPr>
        <w:t>Preserve low-latency plain-text streaming, bounded reasoning, strict structured finalization and the complete Hardening Matrix contract surface.</w:t>
      </w:r>
    </w:p>
    <w:p>
      <w:pPr>
        <w:pStyle w:val="ListBullet"/>
        <w:spacing w:after="30" w:line="240" w:lineRule="auto"/>
      </w:pPr>
      <w:r>
        <w:rPr>
          <w:rFonts w:ascii="Arial" w:hAnsi="Arial" w:eastAsia="Arial"/>
          <w:color w:val="1D2730"/>
          <w:sz w:val="19"/>
        </w:rPr>
        <w:t>Keep the inference worker isolated, restartable, locally private and non-blocking to Hytale callbacks.</w:t>
      </w:r>
    </w:p>
    <w:p>
      <w:pPr>
        <w:pStyle w:val="ListBullet"/>
        <w:spacing w:after="30" w:line="240" w:lineRule="auto"/>
      </w:pPr>
      <w:r>
        <w:rPr>
          <w:rFonts w:ascii="Arial" w:hAnsi="Arial" w:eastAsia="Arial"/>
          <w:color w:val="1D2730"/>
          <w:sz w:val="19"/>
        </w:rPr>
        <w:t>Package a reproducible pinned runtime with verified model/runtime hashes and clear licenses.</w:t>
      </w:r>
    </w:p>
    <w:p>
      <w:pPr>
        <w:pStyle w:val="ListBullet"/>
        <w:spacing w:after="30" w:line="240" w:lineRule="auto"/>
      </w:pPr>
      <w:r>
        <w:rPr>
          <w:rFonts w:ascii="Arial" w:hAnsi="Arial" w:eastAsia="Arial"/>
          <w:color w:val="1D2730"/>
          <w:sz w:val="19"/>
        </w:rPr>
        <w:t>Support a functional CPU fallback while optimizing the default for ordinary consumer NVIDIA gaming PCs.</w:t>
      </w:r>
    </w:p>
    <w:p>
      <w:pPr>
        <w:pStyle w:val="Heading2"/>
        <w:keepNext/>
      </w:pPr>
      <w:r>
        <w:t>3.2 Non-Goals</w:t>
      </w:r>
    </w:p>
    <w:p>
      <w:pPr>
        <w:pStyle w:val="ListBullet"/>
        <w:spacing w:after="30" w:line="240" w:lineRule="auto"/>
      </w:pPr>
      <w:r>
        <w:rPr>
          <w:rFonts w:ascii="Arial" w:hAnsi="Arial" w:eastAsia="Arial"/>
          <w:color w:val="1D2730"/>
          <w:sz w:val="19"/>
        </w:rPr>
        <w:t>Rewriting llama.cpp, ggml, CUDA kernels, quantization formats or the GGUF specification.</w:t>
      </w:r>
    </w:p>
    <w:p>
      <w:pPr>
        <w:pStyle w:val="ListBullet"/>
        <w:spacing w:after="30" w:line="240" w:lineRule="auto"/>
      </w:pPr>
      <w:r>
        <w:rPr>
          <w:rFonts w:ascii="Arial" w:hAnsi="Arial" w:eastAsia="Arial"/>
          <w:color w:val="1D2730"/>
          <w:sz w:val="19"/>
        </w:rPr>
        <w:t>Replacing Nemotron, Moonshine, Chatterbox Turbo, Orbis cognition, memory, relationships, actions or Hytale voice playback.</w:t>
      </w:r>
    </w:p>
    <w:p>
      <w:pPr>
        <w:pStyle w:val="ListBullet"/>
        <w:spacing w:after="30" w:line="240" w:lineRule="auto"/>
      </w:pPr>
      <w:r>
        <w:rPr>
          <w:rFonts w:ascii="Arial" w:hAnsi="Arial" w:eastAsia="Arial"/>
          <w:color w:val="1D2730"/>
          <w:sz w:val="19"/>
        </w:rPr>
        <w:t>Embedding native inference into the Hytale JVM in the first production version.</w:t>
      </w:r>
    </w:p>
    <w:p>
      <w:pPr>
        <w:pStyle w:val="ListBullet"/>
        <w:spacing w:after="30" w:line="240" w:lineRule="auto"/>
      </w:pPr>
      <w:r>
        <w:rPr>
          <w:rFonts w:ascii="Arial" w:hAnsi="Arial" w:eastAsia="Arial"/>
          <w:color w:val="1D2730"/>
          <w:sz w:val="19"/>
        </w:rPr>
        <w:t>Hosting a general OpenAI-compatible public server, web dashboard or remote API.</w:t>
      </w:r>
    </w:p>
    <w:p>
      <w:pPr>
        <w:pStyle w:val="ListBullet"/>
        <w:spacing w:after="30" w:line="240" w:lineRule="auto"/>
      </w:pPr>
      <w:r>
        <w:rPr>
          <w:rFonts w:ascii="Arial" w:hAnsi="Arial" w:eastAsia="Arial"/>
          <w:color w:val="1D2730"/>
          <w:sz w:val="19"/>
        </w:rPr>
        <w:t>Supporting arbitrary user-supplied models, multiple simultaneous models or multi-slot concurrency in v1.</w:t>
      </w:r>
    </w:p>
    <w:p>
      <w:pPr>
        <w:pStyle w:val="ListBullet"/>
        <w:spacing w:after="30" w:line="240" w:lineRule="auto"/>
      </w:pPr>
      <w:r>
        <w:rPr>
          <w:rFonts w:ascii="Arial" w:hAnsi="Arial" w:eastAsia="Arial"/>
          <w:color w:val="1D2730"/>
          <w:sz w:val="19"/>
        </w:rPr>
        <w:t>Fine-tuning/training Nemotron or adding speculative decoding before the baseline migration is proven.</w:t>
      </w:r>
    </w:p>
    <w:p>
      <w:pPr>
        <w:pStyle w:val="ListBullet"/>
        <w:spacing w:after="30" w:line="240" w:lineRule="auto"/>
      </w:pPr>
      <w:r>
        <w:rPr>
          <w:rFonts w:ascii="Arial" w:hAnsi="Arial" w:eastAsia="Arial"/>
          <w:color w:val="1D2730"/>
          <w:sz w:val="19"/>
        </w:rPr>
        <w:t>Making raw tokens-per-second the sole decision metric; connected Hytale behavior is authoritative.</w:t>
      </w:r>
    </w:p>
    <w:p>
      <w:pPr>
        <w:pStyle w:val="Heading1"/>
        <w:keepNext/>
      </w:pPr>
      <w:r>
        <w:t>4. Architectural Decisions</w:t>
      </w:r>
    </w:p>
    <w:tbl>
      <w:tblPr>
        <w:tblW w:type="auto" w:w="0"/>
        <w:jc w:val="center"/>
        <w:tblLayout w:type="fixed"/>
        <w:tblLook w:firstColumn="1" w:firstRow="1" w:lastColumn="0" w:lastRow="0" w:noHBand="0" w:noVBand="1" w:val="04A0"/>
      </w:tblPr>
      <w:tblGrid>
        <w:gridCol w:w="1037"/>
        <w:gridCol w:w="2736"/>
        <w:gridCol w:w="6451"/>
      </w:tblGrid>
      <w:tr>
        <w:trPr>
          <w:tblHeader w:val="true"/>
        </w:trPr>
        <w:tc>
          <w:tcPr>
            <w:tcW w:type="dxa" w:w="1037"/>
            <w:shd w:fill="0E4856"/>
            <w:tcMar>
              <w:top w:w="55" w:type="dxa"/>
              <w:start w:w="60" w:type="dxa"/>
              <w:bottom w:w="55" w:type="dxa"/>
              <w:end w:w="60" w:type="dxa"/>
            </w:tcMar>
            <w:tcBorders>
              <w:top w:val="single" w:sz="6" w:color="9EB0B8"/>
              <w:left w:val="single" w:sz="6" w:color="9EB0B8"/>
              <w:bottom w:val="single" w:sz="6" w:color="9EB0B8"/>
              <w:right w:val="single" w:sz="6" w:color="9EB0B8"/>
            </w:tcBorders>
            <w:vAlign w:val="center"/>
          </w:tcPr>
          <w:p>
            <w:pPr>
              <w:spacing w:after="0"/>
            </w:pPr>
            <w:r>
              <w:rPr>
                <w:rFonts w:ascii="Arial" w:hAnsi="Arial" w:eastAsia="Arial"/>
                <w:b/>
                <w:color w:val="FFFFFF"/>
                <w:sz w:val="16"/>
              </w:rPr>
              <w:t>ID</w:t>
            </w:r>
          </w:p>
        </w:tc>
        <w:tc>
          <w:tcPr>
            <w:tcW w:type="dxa" w:w="2736"/>
            <w:shd w:fill="0E4856"/>
            <w:tcMar>
              <w:top w:w="55" w:type="dxa"/>
              <w:start w:w="60" w:type="dxa"/>
              <w:bottom w:w="55" w:type="dxa"/>
              <w:end w:w="60" w:type="dxa"/>
            </w:tcMar>
            <w:tcBorders>
              <w:top w:val="single" w:sz="6" w:color="9EB0B8"/>
              <w:left w:val="single" w:sz="6" w:color="9EB0B8"/>
              <w:bottom w:val="single" w:sz="6" w:color="9EB0B8"/>
              <w:right w:val="single" w:sz="6" w:color="9EB0B8"/>
            </w:tcBorders>
            <w:vAlign w:val="center"/>
          </w:tcPr>
          <w:p>
            <w:pPr>
              <w:spacing w:after="0"/>
            </w:pPr>
            <w:r>
              <w:rPr>
                <w:rFonts w:ascii="Arial" w:hAnsi="Arial" w:eastAsia="Arial"/>
                <w:b/>
                <w:color w:val="FFFFFF"/>
                <w:sz w:val="16"/>
              </w:rPr>
              <w:t>Decision</w:t>
            </w:r>
          </w:p>
        </w:tc>
        <w:tc>
          <w:tcPr>
            <w:tcW w:type="dxa" w:w="6451"/>
            <w:shd w:fill="0E4856"/>
            <w:tcMar>
              <w:top w:w="55" w:type="dxa"/>
              <w:start w:w="60" w:type="dxa"/>
              <w:bottom w:w="55" w:type="dxa"/>
              <w:end w:w="60" w:type="dxa"/>
            </w:tcMar>
            <w:tcBorders>
              <w:top w:val="single" w:sz="6" w:color="9EB0B8"/>
              <w:left w:val="single" w:sz="6" w:color="9EB0B8"/>
              <w:bottom w:val="single" w:sz="6" w:color="9EB0B8"/>
              <w:right w:val="single" w:sz="6" w:color="9EB0B8"/>
            </w:tcBorders>
            <w:vAlign w:val="center"/>
          </w:tcPr>
          <w:p>
            <w:pPr>
              <w:spacing w:after="0"/>
            </w:pPr>
            <w:r>
              <w:rPr>
                <w:rFonts w:ascii="Arial" w:hAnsi="Arial" w:eastAsia="Arial"/>
                <w:b/>
                <w:color w:val="FFFFFF"/>
                <w:sz w:val="16"/>
              </w:rPr>
              <w:t>Requirement</w:t>
            </w:r>
          </w:p>
        </w:tc>
      </w:tr>
      <w:tr>
        <w:tc>
          <w:tcPr>
            <w:tcW w:type="dxa" w:w="1037"/>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LLM-01</w:t>
            </w:r>
          </w:p>
        </w:tc>
        <w:tc>
          <w:tcPr>
            <w:tcW w:type="dxa" w:w="2736"/>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Orbis remains authoritative</w:t>
            </w:r>
          </w:p>
        </w:tc>
        <w:tc>
          <w:tcPr>
            <w:tcW w:type="dxa" w:w="6451"/>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The sidecar emits immutable inference events. It never selects routes, admits resources, validates facts/actions, commits speech or mutates Hytale/persistence.</w:t>
            </w:r>
          </w:p>
        </w:tc>
      </w:tr>
      <w:tr>
        <w:tc>
          <w:tcPr>
            <w:tcW w:type="dxa" w:w="1037"/>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LLM-02</w:t>
            </w:r>
          </w:p>
        </w:tc>
        <w:tc>
          <w:tcPr>
            <w:tcW w:type="dxa" w:w="2736"/>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Out-of-process native worker</w:t>
            </w:r>
          </w:p>
        </w:tc>
        <w:tc>
          <w:tcPr>
            <w:tcW w:type="dxa" w:w="6451"/>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OrbisLLM.exe isolates native/CUDA faults and can be restarted without crashing the server JVM.</w:t>
            </w:r>
          </w:p>
        </w:tc>
      </w:tr>
      <w:tr>
        <w:tc>
          <w:tcPr>
            <w:tcW w:type="dxa" w:w="1037"/>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LLM-03</w:t>
            </w:r>
          </w:p>
        </w:tc>
        <w:tc>
          <w:tcPr>
            <w:tcW w:type="dxa" w:w="2736"/>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Pinned upstream core</w:t>
            </w:r>
          </w:p>
        </w:tc>
        <w:tc>
          <w:tcPr>
            <w:tcW w:type="dxa" w:w="6451"/>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Vendor or link a recorded llama.cpp revision with a minimal patch set. Upgrades are explicit candidate revisions, never automatic.</w:t>
            </w:r>
          </w:p>
        </w:tc>
      </w:tr>
      <w:tr>
        <w:tc>
          <w:tcPr>
            <w:tcW w:type="dxa" w:w="1037"/>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LLM-04</w:t>
            </w:r>
          </w:p>
        </w:tc>
        <w:tc>
          <w:tcPr>
            <w:tcW w:type="dxa" w:w="2736"/>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Private IPC, not production HTTP</w:t>
            </w:r>
          </w:p>
        </w:tc>
        <w:tc>
          <w:tcPr>
            <w:tcW w:type="dxa" w:w="6451"/>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Use a local versioned pipe protocol tailored to Orbis lifecycle semantics. llama-server may be used only as an upstream reference benchmark.</w:t>
            </w:r>
          </w:p>
        </w:tc>
      </w:tr>
      <w:tr>
        <w:tc>
          <w:tcPr>
            <w:tcW w:type="dxa" w:w="1037"/>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LLM-05</w:t>
            </w:r>
          </w:p>
        </w:tc>
        <w:tc>
          <w:tcPr>
            <w:tcW w:type="dxa" w:w="2736"/>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One model and one active decode</w:t>
            </w:r>
          </w:p>
        </w:tc>
        <w:tc>
          <w:tcPr>
            <w:tcW w:type="dxa" w:w="6451"/>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v1 hosts one Nemotron model and serializes active generation. Foreground turns outrank background cognition.</w:t>
            </w:r>
          </w:p>
        </w:tc>
      </w:tr>
      <w:tr>
        <w:tc>
          <w:tcPr>
            <w:tcW w:type="dxa" w:w="1037"/>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LLM-06</w:t>
            </w:r>
          </w:p>
        </w:tc>
        <w:tc>
          <w:tcPr>
            <w:tcW w:type="dxa" w:w="2736"/>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Branch-pinned provider</w:t>
            </w:r>
          </w:p>
        </w:tc>
        <w:tc>
          <w:tcPr>
            <w:tcW w:type="dxa" w:w="6451"/>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Provider selection is captured in TurnExecutionPlan. No silent mid-turn Ollama/llama.cpp fallback.</w:t>
            </w:r>
          </w:p>
        </w:tc>
      </w:tr>
      <w:tr>
        <w:tc>
          <w:tcPr>
            <w:tcW w:type="dxa" w:w="1037"/>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LLM-07</w:t>
            </w:r>
          </w:p>
        </w:tc>
        <w:tc>
          <w:tcPr>
            <w:tcW w:type="dxa" w:w="2736"/>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Parity before optimization</w:t>
            </w:r>
          </w:p>
        </w:tc>
        <w:tc>
          <w:tcPr>
            <w:tcW w:type="dxa" w:w="6451"/>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First reproduce model, template, sampling, context and contract behavior; only then enable caches or different tuning.</w:t>
            </w:r>
          </w:p>
        </w:tc>
      </w:tr>
      <w:tr>
        <w:tc>
          <w:tcPr>
            <w:tcW w:type="dxa" w:w="1037"/>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LLM-08</w:t>
            </w:r>
          </w:p>
        </w:tc>
        <w:tc>
          <w:tcPr>
            <w:tcW w:type="dxa" w:w="2736"/>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Honest cancellation</w:t>
            </w:r>
          </w:p>
        </w:tc>
        <w:tc>
          <w:tcPr>
            <w:tcW w:type="dxa" w:w="6451"/>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A cancel is not complete until the inference loop acknowledges it or the process is terminated. Logical stale rejection remains mandatory.</w:t>
            </w:r>
          </w:p>
        </w:tc>
      </w:tr>
      <w:tr>
        <w:tc>
          <w:tcPr>
            <w:tcW w:type="dxa" w:w="1037"/>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LLM-09</w:t>
            </w:r>
          </w:p>
        </w:tc>
        <w:tc>
          <w:tcPr>
            <w:tcW w:type="dxa" w:w="2736"/>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Orbis-owned resource policy</w:t>
            </w:r>
          </w:p>
        </w:tc>
        <w:tc>
          <w:tcPr>
            <w:tcW w:type="dxa" w:w="6451"/>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The worker reports capabilities and measurements but never self-admits, unloads or changes GPU layers without an Orbis command.</w:t>
            </w:r>
          </w:p>
        </w:tc>
      </w:tr>
      <w:tr>
        <w:tc>
          <w:tcPr>
            <w:tcW w:type="dxa" w:w="1037"/>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LLM-10</w:t>
            </w:r>
          </w:p>
        </w:tc>
        <w:tc>
          <w:tcPr>
            <w:tcW w:type="dxa" w:w="2736"/>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No network exposure</w:t>
            </w:r>
          </w:p>
        </w:tc>
        <w:tc>
          <w:tcPr>
            <w:tcW w:type="dxa" w:w="6451"/>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The production worker has no listening TCP socket and no outbound model/network activity after installation.</w:t>
            </w:r>
          </w:p>
        </w:tc>
      </w:tr>
      <w:tr>
        <w:tc>
          <w:tcPr>
            <w:tcW w:type="dxa" w:w="1037"/>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LLM-11</w:t>
            </w:r>
          </w:p>
        </w:tc>
        <w:tc>
          <w:tcPr>
            <w:tcW w:type="dxa" w:w="2736"/>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Model and context are separate lifetimes</w:t>
            </w:r>
          </w:p>
        </w:tc>
        <w:tc>
          <w:tcPr>
            <w:tcW w:type="dxa" w:w="6451"/>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Orbis may free/recreate context/KV state while retaining weights, or fully unload weights when pressure requires it.</w:t>
            </w:r>
          </w:p>
        </w:tc>
      </w:tr>
      <w:tr>
        <w:tc>
          <w:tcPr>
            <w:tcW w:type="dxa" w:w="1037"/>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LLM-12</w:t>
            </w:r>
          </w:p>
        </w:tc>
        <w:tc>
          <w:tcPr>
            <w:tcW w:type="dxa" w:w="2736"/>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Benchmark-gated retirement of Ollama</w:t>
            </w:r>
          </w:p>
        </w:tc>
        <w:tc>
          <w:tcPr>
            <w:tcW w:type="dxa" w:w="6451"/>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Ollama remains available until clean-machine, rapid-fire, cancellation and soak gates all pass.</w:t>
            </w:r>
          </w:p>
        </w:tc>
      </w:tr>
    </w:tbl>
    <w:p>
      <w:pPr>
        <w:spacing w:after="0"/>
      </w:pPr>
    </w:p>
    <w:p>
      <w:pPr>
        <w:pStyle w:val="Heading1"/>
        <w:keepNext/>
      </w:pPr>
      <w:r>
        <w:t>5. High-Level Architecture and Ownership</w:t>
      </w:r>
    </w:p>
    <w:p>
      <w:pPr>
        <w:pStyle w:val="CodeBlock"/>
        <w:keepLines/>
        <w:shd w:fill="EEF2F4"/>
      </w:pPr>
      <w:r>
        <w:rPr>
          <w:rFonts w:ascii="Consolas" w:hAnsi="Consolas" w:eastAsia="Consolas"/>
          <w:color w:val="1D2730"/>
          <w:sz w:val="17"/>
        </w:rPr>
        <w:t>Player voice/text/internal ingress</w:t>
        <w:br/>
        <w:t xml:space="preserve">        |</w:t>
        <w:br/>
        <w:t xml:space="preserve">        v</w:t>
        <w:br/>
        <w:t>OrbisTurnCoordinator</w:t>
        <w:br/>
        <w:t xml:space="preserve">        |</w:t>
        <w:br/>
        <w:t xml:space="preserve">        +--&gt; TurnPlanCompiler / ContractBudgetPlanner / ContextProfile</w:t>
        <w:br/>
        <w:t xml:space="preserve">        |</w:t>
        <w:br/>
        <w:t xml:space="preserve">        +--&gt; OrbisResourceScheduler -- admission/profile/residency policy</w:t>
        <w:br/>
        <w:t xml:space="preserve">        |</w:t>
        <w:br/>
        <w:t xml:space="preserve">        v</w:t>
        <w:br/>
        <w:t>OrbisLlamaCppProvider</w:t>
        <w:br/>
        <w:t xml:space="preserve">        | immutable provider request/events</w:t>
        <w:br/>
        <w:t xml:space="preserve">        v</w:t>
        <w:br/>
        <w:t>OrbisLlmProcessManager &lt;--&gt; OrbisLlmIpcClient</w:t>
        <w:br/>
        <w:t xml:space="preserve">        |                         |</w:t>
        <w:br/>
        <w:t xml:space="preserve">        |                         v</w:t>
        <w:br/>
        <w:t xml:space="preserve">        |                    private named pipe</w:t>
        <w:br/>
        <w:t xml:space="preserve">        |                         |</w:t>
        <w:br/>
        <w:t xml:space="preserve">        v                         v</w:t>
        <w:br/>
        <w:t>health/restart              OrbisLLM.exe</w:t>
        <w:br/>
        <w:t xml:space="preserve">                                  |</w:t>
        <w:br/>
        <w:t xml:space="preserve">                                  +--&gt; ModelHost (libllama model)</w:t>
        <w:br/>
        <w:t xml:space="preserve">                                  +--&gt; ContextHost (KV/context)</w:t>
        <w:br/>
        <w:t xml:space="preserve">                                  +--&gt; GenerationSession</w:t>
        <w:br/>
        <w:t xml:space="preserve">                                  +--&gt; Grammar/Sampler Registry</w:t>
        <w:br/>
        <w:t xml:space="preserve">                                  +--&gt; Metrics Collector</w:t>
        <w:br/>
        <w:t xml:space="preserve">                                  |</w:t>
        <w:br/>
        <w:t xml:space="preserve">                                  v</w:t>
        <w:br/>
        <w:t xml:space="preserve">                         Nemotron Q4_K_M GGUF</w:t>
        <w:br/>
        <w:br/>
        <w:t>Provider deltas -&gt; existing Orbis validation -&gt; CanonicalSpeechLedger -&gt; Chatterbox -&gt; Hytale</w:t>
      </w:r>
    </w:p>
    <w:tbl>
      <w:tblPr>
        <w:tblW w:type="auto" w:w="0"/>
        <w:jc w:val="center"/>
        <w:tblLayout w:type="fixed"/>
        <w:tblLook w:firstColumn="1" w:firstRow="1" w:lastColumn="0" w:lastRow="0" w:noHBand="0" w:noVBand="1" w:val="04A0"/>
      </w:tblPr>
      <w:tblGrid>
        <w:gridCol w:w="5040"/>
        <w:gridCol w:w="5184"/>
      </w:tblGrid>
      <w:tr>
        <w:trPr>
          <w:tblHeader w:val="true"/>
        </w:trPr>
        <w:tc>
          <w:tcPr>
            <w:tcW w:type="dxa" w:w="5040"/>
            <w:shd w:fill="0E4856"/>
            <w:tcMar>
              <w:top w:w="55" w:type="dxa"/>
              <w:start w:w="60" w:type="dxa"/>
              <w:bottom w:w="55" w:type="dxa"/>
              <w:end w:w="60" w:type="dxa"/>
            </w:tcMar>
            <w:tcBorders>
              <w:top w:val="single" w:sz="6" w:color="9EB0B8"/>
              <w:left w:val="single" w:sz="6" w:color="9EB0B8"/>
              <w:bottom w:val="single" w:sz="6" w:color="9EB0B8"/>
              <w:right w:val="single" w:sz="6" w:color="9EB0B8"/>
            </w:tcBorders>
            <w:vAlign w:val="center"/>
          </w:tcPr>
          <w:p>
            <w:pPr>
              <w:spacing w:after="0"/>
            </w:pPr>
            <w:r>
              <w:rPr>
                <w:rFonts w:ascii="Arial" w:hAnsi="Arial" w:eastAsia="Arial"/>
                <w:b/>
                <w:color w:val="FFFFFF"/>
                <w:sz w:val="17"/>
              </w:rPr>
              <w:t>Responsibility</w:t>
            </w:r>
          </w:p>
        </w:tc>
        <w:tc>
          <w:tcPr>
            <w:tcW w:type="dxa" w:w="5184"/>
            <w:shd w:fill="0E4856"/>
            <w:tcMar>
              <w:top w:w="55" w:type="dxa"/>
              <w:start w:w="60" w:type="dxa"/>
              <w:bottom w:w="55" w:type="dxa"/>
              <w:end w:w="60" w:type="dxa"/>
            </w:tcMar>
            <w:tcBorders>
              <w:top w:val="single" w:sz="6" w:color="9EB0B8"/>
              <w:left w:val="single" w:sz="6" w:color="9EB0B8"/>
              <w:bottom w:val="single" w:sz="6" w:color="9EB0B8"/>
              <w:right w:val="single" w:sz="6" w:color="9EB0B8"/>
            </w:tcBorders>
            <w:vAlign w:val="center"/>
          </w:tcPr>
          <w:p>
            <w:pPr>
              <w:spacing w:after="0"/>
            </w:pPr>
            <w:r>
              <w:rPr>
                <w:rFonts w:ascii="Arial" w:hAnsi="Arial" w:eastAsia="Arial"/>
                <w:b/>
                <w:color w:val="FFFFFF"/>
                <w:sz w:val="17"/>
              </w:rPr>
              <w:t>Authoritative owner</w:t>
            </w:r>
          </w:p>
        </w:tc>
      </w:tr>
      <w:tr>
        <w:tc>
          <w:tcPr>
            <w:tcW w:type="dxa" w:w="5040"/>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7"/>
              </w:rPr>
              <w:t>Turn/branch IDs, epoch, floor, cancellation intent</w:t>
            </w:r>
          </w:p>
        </w:tc>
        <w:tc>
          <w:tcPr>
            <w:tcW w:type="dxa" w:w="5184"/>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7"/>
              </w:rPr>
              <w:t>OrbisTurnCoordinator</w:t>
            </w:r>
          </w:p>
        </w:tc>
      </w:tr>
      <w:tr>
        <w:tc>
          <w:tcPr>
            <w:tcW w:type="dxa" w:w="5040"/>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7"/>
              </w:rPr>
              <w:t>Route, context, reasoning mode, output contract, token/deadline plan</w:t>
            </w:r>
          </w:p>
        </w:tc>
        <w:tc>
          <w:tcPr>
            <w:tcW w:type="dxa" w:w="5184"/>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7"/>
              </w:rPr>
              <w:t>TurnExecutionPlan / compiler</w:t>
            </w:r>
          </w:p>
        </w:tc>
      </w:tr>
      <w:tr>
        <w:tc>
          <w:tcPr>
            <w:tcW w:type="dxa" w:w="5040"/>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7"/>
              </w:rPr>
              <w:t>CPU/GPU admission, safety reserve, residency/reclaim policy</w:t>
            </w:r>
          </w:p>
        </w:tc>
        <w:tc>
          <w:tcPr>
            <w:tcW w:type="dxa" w:w="5184"/>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7"/>
              </w:rPr>
              <w:t>OrbisResourceScheduler</w:t>
            </w:r>
          </w:p>
        </w:tc>
      </w:tr>
      <w:tr>
        <w:tc>
          <w:tcPr>
            <w:tcW w:type="dxa" w:w="5040"/>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7"/>
              </w:rPr>
              <w:t>Native process start/stop/restart and manifest verification</w:t>
            </w:r>
          </w:p>
        </w:tc>
        <w:tc>
          <w:tcPr>
            <w:tcW w:type="dxa" w:w="5184"/>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7"/>
              </w:rPr>
              <w:t>OrbisLlmProcessManager</w:t>
            </w:r>
          </w:p>
        </w:tc>
      </w:tr>
      <w:tr>
        <w:tc>
          <w:tcPr>
            <w:tcW w:type="dxa" w:w="5040"/>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7"/>
              </w:rPr>
              <w:t>Model/context memory, tokenization, prompt evaluation, sampling and decode</w:t>
            </w:r>
          </w:p>
        </w:tc>
        <w:tc>
          <w:tcPr>
            <w:tcW w:type="dxa" w:w="5184"/>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7"/>
              </w:rPr>
              <w:t>OrbisLLM / libllama</w:t>
            </w:r>
          </w:p>
        </w:tc>
      </w:tr>
      <w:tr>
        <w:tc>
          <w:tcPr>
            <w:tcW w:type="dxa" w:w="5040"/>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7"/>
              </w:rPr>
              <w:t>Grounding, action validation, strict Java schema validation</w:t>
            </w:r>
          </w:p>
        </w:tc>
        <w:tc>
          <w:tcPr>
            <w:tcW w:type="dxa" w:w="5184"/>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7"/>
              </w:rPr>
              <w:t>Existing Orbis validators/action framework</w:t>
            </w:r>
          </w:p>
        </w:tc>
      </w:tr>
      <w:tr>
        <w:tc>
          <w:tcPr>
            <w:tcW w:type="dxa" w:w="5040"/>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7"/>
              </w:rPr>
              <w:t>Canonical speech, TTS ordering, delivery truth and Hytale playback</w:t>
            </w:r>
          </w:p>
        </w:tc>
        <w:tc>
          <w:tcPr>
            <w:tcW w:type="dxa" w:w="5184"/>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7"/>
              </w:rPr>
              <w:t>Existing Orbis speech/playback ownership</w:t>
            </w:r>
          </w:p>
        </w:tc>
      </w:tr>
    </w:tbl>
    <w:p>
      <w:pPr>
        <w:spacing w:after="0"/>
      </w:pPr>
    </w:p>
    <w:tbl>
      <w:tblPr>
        <w:tblW w:type="auto" w:w="0"/>
        <w:jc w:val="center"/>
        <w:tblLayout w:type="fixed"/>
        <w:tblLook w:firstColumn="1" w:firstRow="1" w:lastColumn="0" w:lastRow="0" w:noHBand="0" w:noVBand="1" w:val="04A0"/>
      </w:tblPr>
      <w:tblGrid>
        <w:gridCol w:w="10224"/>
      </w:tblGrid>
      <w:tr>
        <w:tc>
          <w:tcPr>
            <w:tcW w:type="dxa" w:w="10282"/>
            <w:shd w:fill="DCE9ED"/>
            <w:tcMar>
              <w:top w:w="75" w:type="dxa"/>
              <w:start w:w="95" w:type="dxa"/>
              <w:bottom w:w="75" w:type="dxa"/>
              <w:end w:w="95" w:type="dxa"/>
            </w:tcMar>
            <w:tcBorders>
              <w:top w:val="single" w:sz="12" w:color="155666"/>
              <w:left w:val="single" w:sz="12" w:color="155666"/>
              <w:bottom w:val="single" w:sz="6" w:color="9EB0B8"/>
              <w:right w:val="single" w:sz="6" w:color="9EB0B8"/>
            </w:tcBorders>
          </w:tcPr>
          <w:p>
            <w:pPr>
              <w:spacing w:after="0"/>
            </w:pPr>
            <w:r>
              <w:rPr>
                <w:rFonts w:ascii="Arial" w:hAnsi="Arial" w:eastAsia="Arial"/>
                <w:b/>
                <w:color w:val="0E4856"/>
                <w:sz w:val="19"/>
              </w:rPr>
              <w:t xml:space="preserve">BOUNDARY RULE. </w:t>
            </w:r>
            <w:r>
              <w:rPr>
                <w:rFonts w:ascii="Arial" w:hAnsi="Arial" w:eastAsia="Arial"/>
                <w:color w:val="1D2730"/>
                <w:sz w:val="19"/>
              </w:rPr>
              <w:t>The sidecar receives an already compiled inference request. It may reject unsupported runtime settings, but it may not infer a different route, token budget, schema, reasoning mode, provider fallback or resource policy.</w:t>
            </w:r>
          </w:p>
        </w:tc>
        <w:trPr>
          <w:tblHeader/>
        </w:trPr>
      </w:tr>
    </w:tbl>
    <w:p>
      <w:pPr>
        <w:spacing w:after="0"/>
      </w:pPr>
    </w:p>
    <w:p>
      <w:pPr>
        <w:pStyle w:val="Heading1"/>
        <w:keepNext/>
      </w:pPr>
      <w:r>
        <w:t>6. Provider and Component Integration</w:t>
      </w:r>
    </w:p>
    <w:p>
      <w:pPr>
        <w:pStyle w:val="Heading2"/>
        <w:keepNext/>
      </w:pPr>
      <w:r>
        <w:t>6.1 Provider contract</w:t>
      </w:r>
    </w:p>
    <w:p>
      <w:pPr>
        <w:spacing w:after="80"/>
      </w:pPr>
      <w:r>
        <w:rPr>
          <w:rFonts w:ascii="Arial" w:hAnsi="Arial" w:eastAsia="Arial"/>
          <w:i w:val="0"/>
          <w:color w:val="1D2730"/>
          <w:sz w:val="20"/>
        </w:rPr>
        <w:t>Reconcile exact names against the repository. The new adapter must implement the same provider-neutral Orbis LLM contract used by Ollama and consume the existing TurnExecutionPlan.</w:t>
      </w:r>
    </w:p>
    <w:p>
      <w:pPr>
        <w:pStyle w:val="CodeBlock"/>
        <w:keepLines/>
        <w:shd w:fill="EEF2F4"/>
      </w:pPr>
      <w:r>
        <w:rPr>
          <w:rFonts w:ascii="Consolas" w:hAnsi="Consolas" w:eastAsia="Consolas"/>
          <w:color w:val="1D2730"/>
          <w:sz w:val="17"/>
        </w:rPr>
        <w:t>interface OrbisLlmProvider {</w:t>
        <w:br/>
        <w:t xml:space="preserve">    ProviderCapabilities capabilities();</w:t>
        <w:br/>
        <w:t xml:space="preserve">    CompletionStage&lt;ProviderHealth&gt; health();</w:t>
        <w:br/>
        <w:t xml:space="preserve">    CompletionStage&lt;WarmResult&gt; warm(ResourceProfile profile);</w:t>
        <w:br/>
        <w:t xml:space="preserve">    ProviderRequestHandle generate(CompiledLlmRequest request, ProviderEventSink sink);</w:t>
        <w:br/>
        <w:t xml:space="preserve">    CompletionStage&lt;CancelResult&gt; cancel(RequestId requestId, CancelReason reason);</w:t>
        <w:br/>
        <w:t xml:space="preserve">    CompletionStage&lt;UnloadResult&gt; unload(UnloadMode mode);</w:t>
        <w:br/>
        <w:t>}</w:t>
        <w:br/>
        <w:br/>
        <w:t>record CompiledLlmRequest(</w:t>
        <w:br/>
        <w:t xml:space="preserve">    RequestId requestId, TurnId turnId, ResponseId responseId,</w:t>
        <w:br/>
        <w:t xml:space="preserve">    long branchEpoch, List&lt;ChatMessage&gt; messages, ReasoningMode reasoningMode,</w:t>
        <w:br/>
        <w:t xml:space="preserve">    OutputContractId outputContract, GenerationSettings generation,</w:t>
        <w:br/>
        <w:t xml:space="preserve">    DeadlinePlan deadlines, CacheDirective cacheDirective</w:t>
        <w:br/>
        <w:t>) {}</w:t>
      </w:r>
    </w:p>
    <w:p>
      <w:pPr>
        <w:pStyle w:val="ListBullet"/>
        <w:spacing w:after="30" w:line="240" w:lineRule="auto"/>
      </w:pPr>
      <w:r>
        <w:rPr>
          <w:rFonts w:ascii="Arial" w:hAnsi="Arial" w:eastAsia="Arial"/>
          <w:color w:val="1D2730"/>
          <w:sz w:val="19"/>
        </w:rPr>
        <w:t>All IDs are opaque correlation data to OrbisLLM; they carry no world authority.</w:t>
      </w:r>
    </w:p>
    <w:p>
      <w:pPr>
        <w:pStyle w:val="ListBullet"/>
        <w:spacing w:after="30" w:line="240" w:lineRule="auto"/>
      </w:pPr>
      <w:r>
        <w:rPr>
          <w:rFonts w:ascii="Arial" w:hAnsi="Arial" w:eastAsia="Arial"/>
          <w:color w:val="1D2730"/>
          <w:sz w:val="19"/>
        </w:rPr>
        <w:t>ProviderEventSink receives ordered immutable `Accepted`, `PromptProgress`, `ReasoningDelta`, `FinalDelta`, `ContractComplete`, `Cancelled`, `Metrics`, `Failure` and `Closed` events.</w:t>
      </w:r>
    </w:p>
    <w:p>
      <w:pPr>
        <w:pStyle w:val="ListBullet"/>
        <w:spacing w:after="30" w:line="240" w:lineRule="auto"/>
      </w:pPr>
      <w:r>
        <w:rPr>
          <w:rFonts w:ascii="Arial" w:hAnsi="Arial" w:eastAsia="Arial"/>
          <w:color w:val="1D2730"/>
          <w:sz w:val="19"/>
        </w:rPr>
        <w:t>A request handle cannot report terminal success until all sidecar output has been consumed and the sidecar has returned to an eligible state.</w:t>
      </w:r>
    </w:p>
    <w:p>
      <w:pPr>
        <w:pStyle w:val="ListBullet"/>
        <w:spacing w:after="30" w:line="240" w:lineRule="auto"/>
      </w:pPr>
      <w:r>
        <w:rPr>
          <w:rFonts w:ascii="Arial" w:hAnsi="Arial" w:eastAsia="Arial"/>
          <w:color w:val="1D2730"/>
          <w:sz w:val="19"/>
        </w:rPr>
        <w:t>The current Ollama adapter remains unchanged except for any provider-neutral contract adjustments required for A/B parity.</w:t>
      </w:r>
    </w:p>
    <w:p>
      <w:pPr>
        <w:pStyle w:val="Heading2"/>
        <w:keepNext/>
      </w:pPr>
      <w:r>
        <w:t>6.2 Component map</w:t>
      </w:r>
    </w:p>
    <w:tbl>
      <w:tblPr>
        <w:tblW w:type="auto" w:w="0"/>
        <w:jc w:val="center"/>
        <w:tblLayout w:type="fixed"/>
        <w:tblLook w:firstColumn="1" w:firstRow="1" w:lastColumn="0" w:lastRow="0" w:noHBand="0" w:noVBand="1" w:val="04A0"/>
      </w:tblPr>
      <w:tblGrid>
        <w:gridCol w:w="2333"/>
        <w:gridCol w:w="5544"/>
        <w:gridCol w:w="2347"/>
      </w:tblGrid>
      <w:tr>
        <w:trPr>
          <w:tblHeader w:val="true"/>
        </w:trPr>
        <w:tc>
          <w:tcPr>
            <w:tcW w:type="dxa" w:w="2333"/>
            <w:shd w:fill="0E4856"/>
            <w:tcMar>
              <w:top w:w="55" w:type="dxa"/>
              <w:start w:w="60" w:type="dxa"/>
              <w:bottom w:w="55" w:type="dxa"/>
              <w:end w:w="60" w:type="dxa"/>
            </w:tcMar>
            <w:tcBorders>
              <w:top w:val="single" w:sz="6" w:color="9EB0B8"/>
              <w:left w:val="single" w:sz="6" w:color="9EB0B8"/>
              <w:bottom w:val="single" w:sz="6" w:color="9EB0B8"/>
              <w:right w:val="single" w:sz="6" w:color="9EB0B8"/>
            </w:tcBorders>
            <w:vAlign w:val="center"/>
          </w:tcPr>
          <w:p>
            <w:pPr>
              <w:spacing w:after="0"/>
            </w:pPr>
            <w:r>
              <w:rPr>
                <w:rFonts w:ascii="Arial" w:hAnsi="Arial" w:eastAsia="Arial"/>
                <w:b/>
                <w:color w:val="FFFFFF"/>
                <w:sz w:val="16"/>
              </w:rPr>
              <w:t>Component</w:t>
            </w:r>
          </w:p>
        </w:tc>
        <w:tc>
          <w:tcPr>
            <w:tcW w:type="dxa" w:w="5544"/>
            <w:shd w:fill="0E4856"/>
            <w:tcMar>
              <w:top w:w="55" w:type="dxa"/>
              <w:start w:w="60" w:type="dxa"/>
              <w:bottom w:w="55" w:type="dxa"/>
              <w:end w:w="60" w:type="dxa"/>
            </w:tcMar>
            <w:tcBorders>
              <w:top w:val="single" w:sz="6" w:color="9EB0B8"/>
              <w:left w:val="single" w:sz="6" w:color="9EB0B8"/>
              <w:bottom w:val="single" w:sz="6" w:color="9EB0B8"/>
              <w:right w:val="single" w:sz="6" w:color="9EB0B8"/>
            </w:tcBorders>
            <w:vAlign w:val="center"/>
          </w:tcPr>
          <w:p>
            <w:pPr>
              <w:spacing w:after="0"/>
            </w:pPr>
            <w:r>
              <w:rPr>
                <w:rFonts w:ascii="Arial" w:hAnsi="Arial" w:eastAsia="Arial"/>
                <w:b/>
                <w:color w:val="FFFFFF"/>
                <w:sz w:val="16"/>
              </w:rPr>
              <w:t>Responsibility</w:t>
            </w:r>
          </w:p>
        </w:tc>
        <w:tc>
          <w:tcPr>
            <w:tcW w:type="dxa" w:w="2347"/>
            <w:shd w:fill="0E4856"/>
            <w:tcMar>
              <w:top w:w="55" w:type="dxa"/>
              <w:start w:w="60" w:type="dxa"/>
              <w:bottom w:w="55" w:type="dxa"/>
              <w:end w:w="60" w:type="dxa"/>
            </w:tcMar>
            <w:tcBorders>
              <w:top w:val="single" w:sz="6" w:color="9EB0B8"/>
              <w:left w:val="single" w:sz="6" w:color="9EB0B8"/>
              <w:bottom w:val="single" w:sz="6" w:color="9EB0B8"/>
              <w:right w:val="single" w:sz="6" w:color="9EB0B8"/>
            </w:tcBorders>
            <w:vAlign w:val="center"/>
          </w:tcPr>
          <w:p>
            <w:pPr>
              <w:spacing w:after="0"/>
            </w:pPr>
            <w:r>
              <w:rPr>
                <w:rFonts w:ascii="Arial" w:hAnsi="Arial" w:eastAsia="Arial"/>
                <w:b/>
                <w:color w:val="FFFFFF"/>
                <w:sz w:val="16"/>
              </w:rPr>
              <w:t>Disposition</w:t>
            </w:r>
          </w:p>
        </w:tc>
      </w:tr>
      <w:tr>
        <w:tc>
          <w:tcPr>
            <w:tcW w:type="dxa" w:w="2333"/>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OrbisLlamaCppProvider</w:t>
            </w:r>
          </w:p>
        </w:tc>
        <w:tc>
          <w:tcPr>
            <w:tcW w:type="dxa" w:w="5544"/>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Translate TurnExecutionPlan/provider contract into sidecar requests/events.</w:t>
            </w:r>
          </w:p>
        </w:tc>
        <w:tc>
          <w:tcPr>
            <w:tcW w:type="dxa" w:w="2347"/>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Add</w:t>
            </w:r>
          </w:p>
        </w:tc>
      </w:tr>
      <w:tr>
        <w:tc>
          <w:tcPr>
            <w:tcW w:type="dxa" w:w="2333"/>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OrbisLlmProcessManager</w:t>
            </w:r>
          </w:p>
        </w:tc>
        <w:tc>
          <w:tcPr>
            <w:tcW w:type="dxa" w:w="5544"/>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Runtime manifest, process/job lifetime, start/restart/stop, crash circuit breaker.</w:t>
            </w:r>
          </w:p>
        </w:tc>
        <w:tc>
          <w:tcPr>
            <w:tcW w:type="dxa" w:w="2347"/>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Add</w:t>
            </w:r>
          </w:p>
        </w:tc>
      </w:tr>
      <w:tr>
        <w:tc>
          <w:tcPr>
            <w:tcW w:type="dxa" w:w="2333"/>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OrbisLlmIpcClient</w:t>
            </w:r>
          </w:p>
        </w:tc>
        <w:tc>
          <w:tcPr>
            <w:tcW w:type="dxa" w:w="5544"/>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Handshake, framing, bounded queues, event correlation, timeout and protocol validation.</w:t>
            </w:r>
          </w:p>
        </w:tc>
        <w:tc>
          <w:tcPr>
            <w:tcW w:type="dxa" w:w="2347"/>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Add</w:t>
            </w:r>
          </w:p>
        </w:tc>
      </w:tr>
      <w:tr>
        <w:tc>
          <w:tcPr>
            <w:tcW w:type="dxa" w:w="2333"/>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OrbisLlmRuntimeManifest</w:t>
            </w:r>
          </w:p>
        </w:tc>
        <w:tc>
          <w:tcPr>
            <w:tcW w:type="dxa" w:w="5544"/>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Pinned platform build, llama.cpp commit, binary hashes, model compatibility and capabilities.</w:t>
            </w:r>
          </w:p>
        </w:tc>
        <w:tc>
          <w:tcPr>
            <w:tcW w:type="dxa" w:w="2347"/>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Add</w:t>
            </w:r>
          </w:p>
        </w:tc>
      </w:tr>
      <w:tr>
        <w:tc>
          <w:tcPr>
            <w:tcW w:type="dxa" w:w="2333"/>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OrbisLlmModelManager</w:t>
            </w:r>
          </w:p>
        </w:tc>
        <w:tc>
          <w:tcPr>
            <w:tcW w:type="dxa" w:w="5544"/>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Approved model location/download/import, license acknowledgement and SHA verification.</w:t>
            </w:r>
          </w:p>
        </w:tc>
        <w:tc>
          <w:tcPr>
            <w:tcW w:type="dxa" w:w="2347"/>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Add in production phase</w:t>
            </w:r>
          </w:p>
        </w:tc>
      </w:tr>
      <w:tr>
        <w:tc>
          <w:tcPr>
            <w:tcW w:type="dxa" w:w="2333"/>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OrbisResourceScheduler</w:t>
            </w:r>
          </w:p>
        </w:tc>
        <w:tc>
          <w:tcPr>
            <w:tcW w:type="dxa" w:w="5544"/>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Admission, profile choice, context sleep, full unload and Hytale reserve.</w:t>
            </w:r>
          </w:p>
        </w:tc>
        <w:tc>
          <w:tcPr>
            <w:tcW w:type="dxa" w:w="2347"/>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Retain/extend</w:t>
            </w:r>
          </w:p>
        </w:tc>
      </w:tr>
      <w:tr>
        <w:tc>
          <w:tcPr>
            <w:tcW w:type="dxa" w:w="2333"/>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TurnPlanCompiler / BudgetPlanner</w:t>
            </w:r>
          </w:p>
        </w:tc>
        <w:tc>
          <w:tcPr>
            <w:tcW w:type="dxa" w:w="5544"/>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Route, prompt, output, deadlines, schema and recovery.</w:t>
            </w:r>
          </w:p>
        </w:tc>
        <w:tc>
          <w:tcPr>
            <w:tcW w:type="dxa" w:w="2347"/>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Retain</w:t>
            </w:r>
          </w:p>
        </w:tc>
      </w:tr>
      <w:tr>
        <w:tc>
          <w:tcPr>
            <w:tcW w:type="dxa" w:w="2333"/>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OrbisLLM native executable</w:t>
            </w:r>
          </w:p>
        </w:tc>
        <w:tc>
          <w:tcPr>
            <w:tcW w:type="dxa" w:w="5544"/>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libllama model/context/generation, IPC state machine and runtime metrics.</w:t>
            </w:r>
          </w:p>
        </w:tc>
        <w:tc>
          <w:tcPr>
            <w:tcW w:type="dxa" w:w="2347"/>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Add</w:t>
            </w:r>
          </w:p>
        </w:tc>
      </w:tr>
      <w:tr>
        <w:tc>
          <w:tcPr>
            <w:tcW w:type="dxa" w:w="2333"/>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ModelHost / ContextHost</w:t>
            </w:r>
          </w:p>
        </w:tc>
        <w:tc>
          <w:tcPr>
            <w:tcW w:type="dxa" w:w="5544"/>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Separate weights from context/KV lifetime.</w:t>
            </w:r>
          </w:p>
        </w:tc>
        <w:tc>
          <w:tcPr>
            <w:tcW w:type="dxa" w:w="2347"/>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Add native</w:t>
            </w:r>
          </w:p>
        </w:tc>
      </w:tr>
      <w:tr>
        <w:tc>
          <w:tcPr>
            <w:tcW w:type="dxa" w:w="2333"/>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GenerationSession</w:t>
            </w:r>
          </w:p>
        </w:tc>
        <w:tc>
          <w:tcPr>
            <w:tcW w:type="dxa" w:w="5544"/>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Tokenization, bounded prefill, decode, sampling, cancellation and terminal event.</w:t>
            </w:r>
          </w:p>
        </w:tc>
        <w:tc>
          <w:tcPr>
            <w:tcW w:type="dxa" w:w="2347"/>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Add native</w:t>
            </w:r>
          </w:p>
        </w:tc>
      </w:tr>
      <w:tr>
        <w:tc>
          <w:tcPr>
            <w:tcW w:type="dxa" w:w="2333"/>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GrammarRegistry</w:t>
            </w:r>
          </w:p>
        </w:tc>
        <w:tc>
          <w:tcPr>
            <w:tcW w:type="dxa" w:w="5544"/>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Prevalidated bounded GBNF contracts by immutable ID.</w:t>
            </w:r>
          </w:p>
        </w:tc>
        <w:tc>
          <w:tcPr>
            <w:tcW w:type="dxa" w:w="2347"/>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Add native</w:t>
            </w:r>
          </w:p>
        </w:tc>
      </w:tr>
      <w:tr>
        <w:tc>
          <w:tcPr>
            <w:tcW w:type="dxa" w:w="2333"/>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ConversationMatrixHarness</w:t>
            </w:r>
          </w:p>
        </w:tc>
        <w:tc>
          <w:tcPr>
            <w:tcW w:type="dxa" w:w="5544"/>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Provider parity, failure/cancel/resource fixtures.</w:t>
            </w:r>
          </w:p>
        </w:tc>
        <w:tc>
          <w:tcPr>
            <w:tcW w:type="dxa" w:w="2347"/>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Extend</w:t>
            </w:r>
          </w:p>
        </w:tc>
      </w:tr>
    </w:tbl>
    <w:p>
      <w:pPr>
        <w:spacing w:after="0"/>
      </w:pPr>
    </w:p>
    <w:p>
      <w:pPr>
        <w:pStyle w:val="Heading1"/>
        <w:keepNext/>
      </w:pPr>
      <w:r>
        <w:t>7. OrbisLLM Sidecar Process Architecture</w:t>
      </w:r>
    </w:p>
    <w:p>
      <w:pPr>
        <w:pStyle w:val="Heading2"/>
        <w:keepNext/>
      </w:pPr>
      <w:r>
        <w:t>7.1 Process state machine</w:t>
      </w:r>
    </w:p>
    <w:p>
      <w:pPr>
        <w:pStyle w:val="CodeBlock"/>
        <w:keepLines/>
        <w:shd w:fill="EEF2F4"/>
      </w:pPr>
      <w:r>
        <w:rPr>
          <w:rFonts w:ascii="Consolas" w:hAnsi="Consolas" w:eastAsia="Consolas"/>
          <w:color w:val="1D2730"/>
          <w:sz w:val="17"/>
        </w:rPr>
        <w:t>STOPPED -&gt; STARTING -&gt; HANDSHAKE -&gt; LOADING_MODEL -&gt; WARMING -&gt; READY</w:t>
        <w:br/>
        <w:t>READY -&gt; PREFILL -&gt; GENERATING -&gt; READY</w:t>
        <w:br/>
        <w:t>PREFILL/GENERATING -&gt; CANCELLING -&gt; READY</w:t>
        <w:br/>
        <w:t>READY -&gt; SLEEPING_CONTEXT -&gt; READY</w:t>
        <w:br/>
        <w:t>ANY -&gt; DEGRADED / CRASHED -&gt; RESTARTING -&gt; STARTING</w:t>
        <w:br/>
        <w:t>READY -&gt; UNLOADING_MODEL -&gt; STOPPED</w:t>
      </w:r>
    </w:p>
    <w:p>
      <w:pPr>
        <w:pStyle w:val="ListBullet"/>
        <w:spacing w:after="30" w:line="240" w:lineRule="auto"/>
      </w:pPr>
      <w:r>
        <w:rPr>
          <w:rFonts w:ascii="Arial" w:hAnsi="Arial" w:eastAsia="Arial"/>
          <w:color w:val="1D2730"/>
          <w:sz w:val="19"/>
        </w:rPr>
        <w:t>One serialized native control loop owns state transitions. IPC and metrics threads enqueue commands/events but do not mutate model state directly.</w:t>
      </w:r>
    </w:p>
    <w:p>
      <w:pPr>
        <w:pStyle w:val="ListBullet"/>
        <w:spacing w:after="30" w:line="240" w:lineRule="auto"/>
      </w:pPr>
      <w:r>
        <w:rPr>
          <w:rFonts w:ascii="Arial" w:hAnsi="Arial" w:eastAsia="Arial"/>
          <w:color w:val="1D2730"/>
          <w:sz w:val="19"/>
        </w:rPr>
        <w:t>One inference thread performs model/context work. No concurrent decode in v1.</w:t>
      </w:r>
    </w:p>
    <w:p>
      <w:pPr>
        <w:pStyle w:val="ListBullet"/>
        <w:spacing w:after="30" w:line="240" w:lineRule="auto"/>
      </w:pPr>
      <w:r>
        <w:rPr>
          <w:rFonts w:ascii="Arial" w:hAnsi="Arial" w:eastAsia="Arial"/>
          <w:color w:val="1D2730"/>
          <w:sz w:val="19"/>
        </w:rPr>
        <w:t>The Java provider queue is bounded. At most one active request and a small bounded waiting set are permitted; foreground work supersedes queued background work according to Orbis policy.</w:t>
      </w:r>
    </w:p>
    <w:p>
      <w:pPr>
        <w:pStyle w:val="ListBullet"/>
        <w:spacing w:after="30" w:line="240" w:lineRule="auto"/>
      </w:pPr>
      <w:r>
        <w:rPr>
          <w:rFonts w:ascii="Arial" w:hAnsi="Arial" w:eastAsia="Arial"/>
          <w:color w:val="1D2730"/>
          <w:sz w:val="19"/>
        </w:rPr>
        <w:t>The worker remains alive while its model is unloaded so restart cost and process health are distinct from model load cost.</w:t>
      </w:r>
    </w:p>
    <w:p>
      <w:pPr>
        <w:pStyle w:val="ListBullet"/>
        <w:spacing w:after="30" w:line="240" w:lineRule="auto"/>
      </w:pPr>
      <w:r>
        <w:rPr>
          <w:rFonts w:ascii="Arial" w:hAnsi="Arial" w:eastAsia="Arial"/>
          <w:color w:val="1D2730"/>
          <w:sz w:val="19"/>
        </w:rPr>
        <w:t>The process inherits a parent-lifetime/job relationship and exits when the owning Hytale process ends. A per-data-root instance lock prevents duplicate workers.</w:t>
      </w:r>
    </w:p>
    <w:p>
      <w:pPr>
        <w:pStyle w:val="ListBullet"/>
        <w:spacing w:after="30" w:line="240" w:lineRule="auto"/>
      </w:pPr>
      <w:r>
        <w:rPr>
          <w:rFonts w:ascii="Arial" w:hAnsi="Arial" w:eastAsia="Arial"/>
          <w:color w:val="1D2730"/>
          <w:sz w:val="19"/>
        </w:rPr>
        <w:t>Native crashes, CUDA errors and assertion failures terminate only the sidecar. Orbis detects EOF/process exit, fails active requests explicitly and applies the circuit breaker.</w:t>
      </w:r>
    </w:p>
    <w:p>
      <w:pPr>
        <w:pStyle w:val="Heading2"/>
        <w:keepNext/>
      </w:pPr>
      <w:r>
        <w:t>7.2 Threading and callback safety</w:t>
      </w:r>
    </w:p>
    <w:p>
      <w:pPr>
        <w:pStyle w:val="ListBullet"/>
        <w:spacing w:after="30" w:line="240" w:lineRule="auto"/>
      </w:pPr>
      <w:r>
        <w:rPr>
          <w:rFonts w:ascii="Arial" w:hAnsi="Arial" w:eastAsia="Arial"/>
          <w:color w:val="1D2730"/>
          <w:sz w:val="19"/>
        </w:rPr>
        <w:t>No sidecar process launch, IPC wait, model load, prompt evaluation, JSON parse or metrics query may block Hytale voice/network/world/UI callbacks.</w:t>
      </w:r>
    </w:p>
    <w:p>
      <w:pPr>
        <w:pStyle w:val="ListBullet"/>
        <w:spacing w:after="30" w:line="240" w:lineRule="auto"/>
      </w:pPr>
      <w:r>
        <w:rPr>
          <w:rFonts w:ascii="Arial" w:hAnsi="Arial" w:eastAsia="Arial"/>
          <w:color w:val="1D2730"/>
          <w:sz w:val="19"/>
        </w:rPr>
        <w:t>Orbis Hytale callbacks enqueue immutable work onto existing Orbis executors and return.</w:t>
      </w:r>
    </w:p>
    <w:p>
      <w:pPr>
        <w:pStyle w:val="ListBullet"/>
        <w:spacing w:after="30" w:line="240" w:lineRule="auto"/>
      </w:pPr>
      <w:r>
        <w:rPr>
          <w:rFonts w:ascii="Arial" w:hAnsi="Arial" w:eastAsia="Arial"/>
          <w:color w:val="1D2730"/>
          <w:sz w:val="19"/>
        </w:rPr>
        <w:t>The IPC client uses asynchronous reads/writes and bounded buffers. A blocked sidecar cannot grow an unbounded Java queue.</w:t>
      </w:r>
    </w:p>
    <w:p>
      <w:pPr>
        <w:pStyle w:val="ListBullet"/>
        <w:spacing w:after="30" w:line="240" w:lineRule="auto"/>
      </w:pPr>
      <w:r>
        <w:rPr>
          <w:rFonts w:ascii="Arial" w:hAnsi="Arial" w:eastAsia="Arial"/>
          <w:color w:val="1D2730"/>
          <w:sz w:val="19"/>
        </w:rPr>
        <w:t>Periodic metrics are cached and pushed at a low bounded cadence; the native runtime never shells out to `nvidia-smi` per request.</w:t>
      </w:r>
    </w:p>
    <w:p>
      <w:pPr>
        <w:pStyle w:val="Heading1"/>
        <w:keepNext/>
      </w:pPr>
      <w:r>
        <w:t>8. Versioned Local IPC Protocol</w:t>
      </w:r>
    </w:p>
    <w:p>
      <w:pPr>
        <w:pStyle w:val="Heading2"/>
        <w:keepNext/>
      </w:pPr>
      <w:r>
        <w:t>8.1 Transport and framing</w:t>
      </w:r>
    </w:p>
    <w:p>
      <w:pPr>
        <w:pStyle w:val="ListBullet"/>
        <w:spacing w:after="30" w:line="240" w:lineRule="auto"/>
      </w:pPr>
      <w:r>
        <w:rPr>
          <w:rFonts w:ascii="Arial" w:hAnsi="Arial" w:eastAsia="Arial"/>
          <w:color w:val="1D2730"/>
          <w:sz w:val="19"/>
        </w:rPr>
        <w:t>Windows v1 transport: named pipe scoped to the current user and save/data root. Keep a transport abstraction for Unix domain sockets later.</w:t>
      </w:r>
    </w:p>
    <w:p>
      <w:pPr>
        <w:pStyle w:val="ListBullet"/>
        <w:spacing w:after="30" w:line="240" w:lineRule="auto"/>
      </w:pPr>
      <w:r>
        <w:rPr>
          <w:rFonts w:ascii="Arial" w:hAnsi="Arial" w:eastAsia="Arial"/>
          <w:color w:val="1D2730"/>
          <w:sz w:val="19"/>
        </w:rPr>
        <w:t>No production TCP/HTTP listener. A development-only loopback transport may exist behind an explicit flag for protocol diagnostics.</w:t>
      </w:r>
    </w:p>
    <w:p>
      <w:pPr>
        <w:pStyle w:val="ListBullet"/>
        <w:spacing w:after="30" w:line="240" w:lineRule="auto"/>
      </w:pPr>
      <w:r>
        <w:rPr>
          <w:rFonts w:ascii="Arial" w:hAnsi="Arial" w:eastAsia="Arial"/>
          <w:color w:val="1D2730"/>
          <w:sz w:val="19"/>
        </w:rPr>
        <w:t>Handshake uses protocol major/minor, runtime manifest hash and a random per-launch nonce passed through inherited environment/command line. Pipe ACLs restrict access to the current account.</w:t>
      </w:r>
    </w:p>
    <w:p>
      <w:pPr>
        <w:pStyle w:val="ListBullet"/>
        <w:spacing w:after="30" w:line="240" w:lineRule="auto"/>
      </w:pPr>
      <w:r>
        <w:rPr>
          <w:rFonts w:ascii="Arial" w:hAnsi="Arial" w:eastAsia="Arial"/>
          <w:color w:val="1D2730"/>
          <w:sz w:val="19"/>
        </w:rPr>
        <w:t>Each frame has a fixed binary header plus bounded UTF-8 JSON payload. Reject unknown major versions, oversized payloads, duplicate sequence numbers, invalid enums and malformed JSON.</w:t>
      </w:r>
    </w:p>
    <w:p>
      <w:pPr>
        <w:pStyle w:val="ListBullet"/>
        <w:spacing w:after="30" w:line="240" w:lineRule="auto"/>
      </w:pPr>
      <w:r>
        <w:rPr>
          <w:rFonts w:ascii="Arial" w:hAnsi="Arial" w:eastAsia="Arial"/>
          <w:color w:val="1D2730"/>
          <w:sz w:val="19"/>
        </w:rPr>
        <w:t>All request-scoped messages carry requestId, turnId, responseId, branchEpoch and monotonically increasing sequence. Runtime messages carry a process generation ID to reject events from a prior restarted process.</w:t>
      </w:r>
    </w:p>
    <w:p>
      <w:pPr>
        <w:pStyle w:val="CodeBlock"/>
        <w:keepLines/>
        <w:shd w:fill="EEF2F4"/>
      </w:pPr>
      <w:r>
        <w:rPr>
          <w:rFonts w:ascii="Consolas" w:hAnsi="Consolas" w:eastAsia="Consolas"/>
          <w:color w:val="1D2730"/>
          <w:sz w:val="17"/>
        </w:rPr>
        <w:t>struct FrameHeader {</w:t>
        <w:br/>
        <w:t xml:space="preserve">    uint32 magic;          // ORBL</w:t>
        <w:br/>
        <w:t xml:space="preserve">    uint16 protocolMajor;</w:t>
        <w:br/>
        <w:t xml:space="preserve">    uint16 protocolMinor;</w:t>
        <w:br/>
        <w:t xml:space="preserve">    uint16 messageType;</w:t>
        <w:br/>
        <w:t xml:space="preserve">    uint16 flags;</w:t>
        <w:br/>
        <w:t xml:space="preserve">    uint32 payloadBytes;</w:t>
        <w:br/>
        <w:t xml:space="preserve">    uint64 sequence;</w:t>
        <w:br/>
        <w:t xml:space="preserve">    UUID   requestId;      // zero for runtime-wide messages</w:t>
        <w:br/>
        <w:t>}</w:t>
        <w:br/>
        <w:t>// Initial payload ceiling: 2 MiB request; 64 KiB event. Tune only with evidence.</w:t>
      </w:r>
    </w:p>
    <w:p>
      <w:pPr>
        <w:pStyle w:val="Heading2"/>
        <w:keepNext/>
      </w:pPr>
      <w:r>
        <w:t>8.2 Message families</w:t>
      </w:r>
    </w:p>
    <w:tbl>
      <w:tblPr>
        <w:tblW w:type="auto" w:w="0"/>
        <w:jc w:val="center"/>
        <w:tblLayout w:type="fixed"/>
        <w:tblLook w:firstColumn="1" w:firstRow="1" w:lastColumn="0" w:lastRow="0" w:noHBand="0" w:noVBand="1" w:val="04A0"/>
      </w:tblPr>
      <w:tblGrid>
        <w:gridCol w:w="1800"/>
        <w:gridCol w:w="4104"/>
        <w:gridCol w:w="4320"/>
      </w:tblGrid>
      <w:tr>
        <w:trPr>
          <w:tblHeader w:val="true"/>
        </w:trPr>
        <w:tc>
          <w:tcPr>
            <w:tcW w:type="dxa" w:w="1800"/>
            <w:shd w:fill="0E4856"/>
            <w:tcMar>
              <w:top w:w="55" w:type="dxa"/>
              <w:start w:w="60" w:type="dxa"/>
              <w:bottom w:w="55" w:type="dxa"/>
              <w:end w:w="60" w:type="dxa"/>
            </w:tcMar>
            <w:tcBorders>
              <w:top w:val="single" w:sz="6" w:color="9EB0B8"/>
              <w:left w:val="single" w:sz="6" w:color="9EB0B8"/>
              <w:bottom w:val="single" w:sz="6" w:color="9EB0B8"/>
              <w:right w:val="single" w:sz="6" w:color="9EB0B8"/>
            </w:tcBorders>
            <w:vAlign w:val="center"/>
          </w:tcPr>
          <w:p>
            <w:pPr>
              <w:spacing w:after="0"/>
            </w:pPr>
            <w:r>
              <w:rPr>
                <w:rFonts w:ascii="Arial" w:hAnsi="Arial" w:eastAsia="Arial"/>
                <w:b/>
                <w:color w:val="FFFFFF"/>
                <w:sz w:val="16"/>
              </w:rPr>
              <w:t>Direction</w:t>
            </w:r>
          </w:p>
        </w:tc>
        <w:tc>
          <w:tcPr>
            <w:tcW w:type="dxa" w:w="4104"/>
            <w:shd w:fill="0E4856"/>
            <w:tcMar>
              <w:top w:w="55" w:type="dxa"/>
              <w:start w:w="60" w:type="dxa"/>
              <w:bottom w:w="55" w:type="dxa"/>
              <w:end w:w="60" w:type="dxa"/>
            </w:tcMar>
            <w:tcBorders>
              <w:top w:val="single" w:sz="6" w:color="9EB0B8"/>
              <w:left w:val="single" w:sz="6" w:color="9EB0B8"/>
              <w:bottom w:val="single" w:sz="6" w:color="9EB0B8"/>
              <w:right w:val="single" w:sz="6" w:color="9EB0B8"/>
            </w:tcBorders>
            <w:vAlign w:val="center"/>
          </w:tcPr>
          <w:p>
            <w:pPr>
              <w:spacing w:after="0"/>
            </w:pPr>
            <w:r>
              <w:rPr>
                <w:rFonts w:ascii="Arial" w:hAnsi="Arial" w:eastAsia="Arial"/>
                <w:b/>
                <w:color w:val="FFFFFF"/>
                <w:sz w:val="16"/>
              </w:rPr>
              <w:t>Messages</w:t>
            </w:r>
          </w:p>
        </w:tc>
        <w:tc>
          <w:tcPr>
            <w:tcW w:type="dxa" w:w="4320"/>
            <w:shd w:fill="0E4856"/>
            <w:tcMar>
              <w:top w:w="55" w:type="dxa"/>
              <w:start w:w="60" w:type="dxa"/>
              <w:bottom w:w="55" w:type="dxa"/>
              <w:end w:w="60" w:type="dxa"/>
            </w:tcMar>
            <w:tcBorders>
              <w:top w:val="single" w:sz="6" w:color="9EB0B8"/>
              <w:left w:val="single" w:sz="6" w:color="9EB0B8"/>
              <w:bottom w:val="single" w:sz="6" w:color="9EB0B8"/>
              <w:right w:val="single" w:sz="6" w:color="9EB0B8"/>
            </w:tcBorders>
            <w:vAlign w:val="center"/>
          </w:tcPr>
          <w:p>
            <w:pPr>
              <w:spacing w:after="0"/>
            </w:pPr>
            <w:r>
              <w:rPr>
                <w:rFonts w:ascii="Arial" w:hAnsi="Arial" w:eastAsia="Arial"/>
                <w:b/>
                <w:color w:val="FFFFFF"/>
                <w:sz w:val="16"/>
              </w:rPr>
              <w:t>Purpose</w:t>
            </w:r>
          </w:p>
        </w:tc>
      </w:tr>
      <w:tr>
        <w:tc>
          <w:tcPr>
            <w:tcW w:type="dxa" w:w="1800"/>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Orbis -&gt; sidecar</w:t>
            </w:r>
          </w:p>
        </w:tc>
        <w:tc>
          <w:tcPr>
            <w:tcW w:type="dxa" w:w="4104"/>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HELLO, LOAD_MODEL, CREATE_CONTEXT, WARMUP</w:t>
            </w:r>
          </w:p>
        </w:tc>
        <w:tc>
          <w:tcPr>
            <w:tcW w:type="dxa" w:w="4320"/>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Establish verified runtime/model/context state.</w:t>
            </w:r>
          </w:p>
        </w:tc>
      </w:tr>
      <w:tr>
        <w:tc>
          <w:tcPr>
            <w:tcW w:type="dxa" w:w="1800"/>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Orbis -&gt; sidecar</w:t>
            </w:r>
          </w:p>
        </w:tc>
        <w:tc>
          <w:tcPr>
            <w:tcW w:type="dxa" w:w="4104"/>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GENERATE, CANCEL, CLEAR_CONTEXT, SLEEP_CONTEXT</w:t>
            </w:r>
          </w:p>
        </w:tc>
        <w:tc>
          <w:tcPr>
            <w:tcW w:type="dxa" w:w="4320"/>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Run or stop a request and manage KV/context lifetime.</w:t>
            </w:r>
          </w:p>
        </w:tc>
      </w:tr>
      <w:tr>
        <w:tc>
          <w:tcPr>
            <w:tcW w:type="dxa" w:w="1800"/>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Orbis -&gt; sidecar</w:t>
            </w:r>
          </w:p>
        </w:tc>
        <w:tc>
          <w:tcPr>
            <w:tcW w:type="dxa" w:w="4104"/>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UNLOAD_MODEL, HEALTH, METRICS, RESET, SHUTDOWN</w:t>
            </w:r>
          </w:p>
        </w:tc>
        <w:tc>
          <w:tcPr>
            <w:tcW w:type="dxa" w:w="4320"/>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Explicit lifecycle and diagnostics.</w:t>
            </w:r>
          </w:p>
        </w:tc>
      </w:tr>
      <w:tr>
        <w:tc>
          <w:tcPr>
            <w:tcW w:type="dxa" w:w="1800"/>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Sidecar -&gt; Orbis</w:t>
            </w:r>
          </w:p>
        </w:tc>
        <w:tc>
          <w:tcPr>
            <w:tcW w:type="dxa" w:w="4104"/>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HELLO_ACK, RUNTIME_STATE, MODEL_PROGRESS, READY</w:t>
            </w:r>
          </w:p>
        </w:tc>
        <w:tc>
          <w:tcPr>
            <w:tcW w:type="dxa" w:w="4320"/>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Version/capability/load readiness.</w:t>
            </w:r>
          </w:p>
        </w:tc>
      </w:tr>
      <w:tr>
        <w:tc>
          <w:tcPr>
            <w:tcW w:type="dxa" w:w="1800"/>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Sidecar -&gt; Orbis</w:t>
            </w:r>
          </w:p>
        </w:tc>
        <w:tc>
          <w:tcPr>
            <w:tcW w:type="dxa" w:w="4104"/>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REQUEST_ACCEPTED, PROMPT_PROGRESS, REASONING_DELTA, FINAL_DELTA</w:t>
            </w:r>
          </w:p>
        </w:tc>
        <w:tc>
          <w:tcPr>
            <w:tcW w:type="dxa" w:w="4320"/>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Ordered generation stream.</w:t>
            </w:r>
          </w:p>
        </w:tc>
      </w:tr>
      <w:tr>
        <w:tc>
          <w:tcPr>
            <w:tcW w:type="dxa" w:w="1800"/>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Sidecar -&gt; Orbis</w:t>
            </w:r>
          </w:p>
        </w:tc>
        <w:tc>
          <w:tcPr>
            <w:tcW w:type="dxa" w:w="4104"/>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CONTRACT_COMPLETE, CANCEL_ACK, REQUEST_COMPLETE</w:t>
            </w:r>
          </w:p>
        </w:tc>
        <w:tc>
          <w:tcPr>
            <w:tcW w:type="dxa" w:w="4320"/>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Terminal request protocol.</w:t>
            </w:r>
          </w:p>
        </w:tc>
      </w:tr>
      <w:tr>
        <w:tc>
          <w:tcPr>
            <w:tcW w:type="dxa" w:w="1800"/>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Sidecar -&gt; Orbis</w:t>
            </w:r>
          </w:p>
        </w:tc>
        <w:tc>
          <w:tcPr>
            <w:tcW w:type="dxa" w:w="4104"/>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RESOURCE_SNAPSHOT, HEALTH_STATUS, ERROR, PROCESS_EXITING</w:t>
            </w:r>
          </w:p>
        </w:tc>
        <w:tc>
          <w:tcPr>
            <w:tcW w:type="dxa" w:w="4320"/>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Measured runtime state and failures.</w:t>
            </w:r>
          </w:p>
        </w:tc>
      </w:tr>
    </w:tbl>
    <w:p>
      <w:pPr>
        <w:spacing w:after="0"/>
      </w:pPr>
    </w:p>
    <w:p>
      <w:pPr>
        <w:pStyle w:val="Heading2"/>
        <w:keepNext/>
      </w:pPr>
      <w:r>
        <w:t>8.3 Backpressure and protocol failure</w:t>
      </w:r>
    </w:p>
    <w:p>
      <w:pPr>
        <w:pStyle w:val="ListBullet"/>
        <w:spacing w:after="30" w:line="240" w:lineRule="auto"/>
      </w:pPr>
      <w:r>
        <w:rPr>
          <w:rFonts w:ascii="Arial" w:hAnsi="Arial" w:eastAsia="Arial"/>
          <w:color w:val="1D2730"/>
          <w:sz w:val="19"/>
        </w:rPr>
        <w:t>Token deltas are coalesced into small bounded chunks without changing order. The sidecar pauses event production if the pipe buffer is saturated; if the consumer does not recover by deadline, fail the request rather than retain unlimited text.</w:t>
      </w:r>
    </w:p>
    <w:p>
      <w:pPr>
        <w:pStyle w:val="ListBullet"/>
        <w:spacing w:after="30" w:line="240" w:lineRule="auto"/>
      </w:pPr>
      <w:r>
        <w:rPr>
          <w:rFonts w:ascii="Arial" w:hAnsi="Arial" w:eastAsia="Arial"/>
          <w:color w:val="1D2730"/>
          <w:sz w:val="19"/>
        </w:rPr>
        <w:t>Malformed or out-of-order events fail only the affected process generation/request, are traced as `LLAMA_IPC_PROTOCOL_FAILURE`, and trigger restart when stream integrity cannot be proven.</w:t>
      </w:r>
    </w:p>
    <w:p>
      <w:pPr>
        <w:pStyle w:val="ListBullet"/>
        <w:spacing w:after="30" w:line="240" w:lineRule="auto"/>
      </w:pPr>
      <w:r>
        <w:rPr>
          <w:rFonts w:ascii="Arial" w:hAnsi="Arial" w:eastAsia="Arial"/>
          <w:color w:val="1D2730"/>
          <w:sz w:val="19"/>
        </w:rPr>
        <w:t>Never accept arbitrary filesystem paths or commands from a gameplay request. Model/runtime paths come only from a verified manifest under operator control.</w:t>
      </w:r>
    </w:p>
    <w:p>
      <w:pPr>
        <w:pStyle w:val="Heading1"/>
        <w:keepNext/>
      </w:pPr>
      <w:r>
        <w:t>9. Model Loading, Runtime Profiles and Warmup</w:t>
      </w:r>
    </w:p>
    <w:p>
      <w:pPr>
        <w:pStyle w:val="Heading2"/>
        <w:keepNext/>
      </w:pPr>
      <w:r>
        <w:t>9.1 Model artifact</w:t>
      </w:r>
    </w:p>
    <w:p>
      <w:pPr>
        <w:pStyle w:val="ListBullet"/>
        <w:spacing w:after="30" w:line="240" w:lineRule="auto"/>
      </w:pPr>
      <w:r>
        <w:rPr>
          <w:rFonts w:ascii="Arial" w:hAnsi="Arial" w:eastAsia="Arial"/>
          <w:color w:val="1D2730"/>
          <w:sz w:val="19"/>
        </w:rPr>
        <w:t>Initial production candidate: official NVIDIA Nemotron 3 Nano 4B Q4_K_M GGUF. Verify the exact repository revision, filename, SHA-256, GGUF metadata, parameter count, quantization and chat-template identity before load. [S5]</w:t>
      </w:r>
    </w:p>
    <w:p>
      <w:pPr>
        <w:pStyle w:val="ListBullet"/>
        <w:spacing w:after="30" w:line="240" w:lineRule="auto"/>
      </w:pPr>
      <w:r>
        <w:rPr>
          <w:rFonts w:ascii="Arial" w:hAnsi="Arial" w:eastAsia="Arial"/>
          <w:color w:val="1D2730"/>
          <w:sz w:val="19"/>
        </w:rPr>
        <w:t>The model is stored under the Orbis data root or an explicitly configured shared model path, never inside the JAR.</w:t>
      </w:r>
    </w:p>
    <w:p>
      <w:pPr>
        <w:pStyle w:val="ListBullet"/>
        <w:spacing w:after="30" w:line="240" w:lineRule="auto"/>
      </w:pPr>
      <w:r>
        <w:rPr>
          <w:rFonts w:ascii="Arial" w:hAnsi="Arial" w:eastAsia="Arial"/>
          <w:color w:val="1D2730"/>
          <w:sz w:val="19"/>
        </w:rPr>
        <w:t>The sidecar records model tensor bytes (`llama_model_size`), parameter count, quantization, recurrent/hybrid flags and embedded chat-template hash. These are metadata, not a substitute for measured process/VRAM residency. [S2]</w:t>
      </w:r>
    </w:p>
    <w:p>
      <w:pPr>
        <w:pStyle w:val="ListBullet"/>
        <w:spacing w:after="30" w:line="240" w:lineRule="auto"/>
      </w:pPr>
      <w:r>
        <w:rPr>
          <w:rFonts w:ascii="Arial" w:hAnsi="Arial" w:eastAsia="Arial"/>
          <w:color w:val="1D2730"/>
          <w:sz w:val="19"/>
        </w:rPr>
        <w:t>A model mismatch or hash failure is a hard provider-health failure; do not silently load a different quantization/model.</w:t>
      </w:r>
    </w:p>
    <w:p>
      <w:pPr>
        <w:pStyle w:val="Heading2"/>
        <w:keepNext/>
      </w:pPr>
      <w:r>
        <w:t>9.2 Runtime profile</w:t>
      </w:r>
    </w:p>
    <w:p>
      <w:pPr>
        <w:spacing w:after="80"/>
      </w:pPr>
      <w:r>
        <w:rPr>
          <w:rFonts w:ascii="Arial" w:hAnsi="Arial" w:eastAsia="Arial"/>
          <w:i w:val="0"/>
          <w:color w:val="1D2730"/>
          <w:sz w:val="20"/>
        </w:rPr>
        <w:t>OrbisResourceScheduler selects a versioned runtime profile before model load. GPU-layer changes require a controlled reload and affect future requests only.</w:t>
      </w:r>
    </w:p>
    <w:tbl>
      <w:tblPr>
        <w:tblW w:type="auto" w:w="0"/>
        <w:jc w:val="center"/>
        <w:tblLayout w:type="fixed"/>
        <w:tblLook w:firstColumn="1" w:firstRow="1" w:lastColumn="0" w:lastRow="0" w:noHBand="0" w:noVBand="1" w:val="04A0"/>
      </w:tblPr>
      <w:tblGrid>
        <w:gridCol w:w="1800"/>
        <w:gridCol w:w="3600"/>
        <w:gridCol w:w="4824"/>
      </w:tblGrid>
      <w:tr>
        <w:trPr>
          <w:tblHeader w:val="true"/>
        </w:trPr>
        <w:tc>
          <w:tcPr>
            <w:tcW w:type="dxa" w:w="1800"/>
            <w:shd w:fill="0E4856"/>
            <w:tcMar>
              <w:top w:w="55" w:type="dxa"/>
              <w:start w:w="60" w:type="dxa"/>
              <w:bottom w:w="55" w:type="dxa"/>
              <w:end w:w="60" w:type="dxa"/>
            </w:tcMar>
            <w:tcBorders>
              <w:top w:val="single" w:sz="6" w:color="9EB0B8"/>
              <w:left w:val="single" w:sz="6" w:color="9EB0B8"/>
              <w:bottom w:val="single" w:sz="6" w:color="9EB0B8"/>
              <w:right w:val="single" w:sz="6" w:color="9EB0B8"/>
            </w:tcBorders>
            <w:vAlign w:val="center"/>
          </w:tcPr>
          <w:p>
            <w:pPr>
              <w:spacing w:after="0"/>
            </w:pPr>
            <w:r>
              <w:rPr>
                <w:rFonts w:ascii="Arial" w:hAnsi="Arial" w:eastAsia="Arial"/>
                <w:b/>
                <w:color w:val="FFFFFF"/>
                <w:sz w:val="16"/>
              </w:rPr>
              <w:t>Profile</w:t>
            </w:r>
          </w:p>
        </w:tc>
        <w:tc>
          <w:tcPr>
            <w:tcW w:type="dxa" w:w="3600"/>
            <w:shd w:fill="0E4856"/>
            <w:tcMar>
              <w:top w:w="55" w:type="dxa"/>
              <w:start w:w="60" w:type="dxa"/>
              <w:bottom w:w="55" w:type="dxa"/>
              <w:end w:w="60" w:type="dxa"/>
            </w:tcMar>
            <w:tcBorders>
              <w:top w:val="single" w:sz="6" w:color="9EB0B8"/>
              <w:left w:val="single" w:sz="6" w:color="9EB0B8"/>
              <w:bottom w:val="single" w:sz="6" w:color="9EB0B8"/>
              <w:right w:val="single" w:sz="6" w:color="9EB0B8"/>
            </w:tcBorders>
            <w:vAlign w:val="center"/>
          </w:tcPr>
          <w:p>
            <w:pPr>
              <w:spacing w:after="0"/>
            </w:pPr>
            <w:r>
              <w:rPr>
                <w:rFonts w:ascii="Arial" w:hAnsi="Arial" w:eastAsia="Arial"/>
                <w:b/>
                <w:color w:val="FFFFFF"/>
                <w:sz w:val="16"/>
              </w:rPr>
              <w:t>Intent</w:t>
            </w:r>
          </w:p>
        </w:tc>
        <w:tc>
          <w:tcPr>
            <w:tcW w:type="dxa" w:w="4824"/>
            <w:shd w:fill="0E4856"/>
            <w:tcMar>
              <w:top w:w="55" w:type="dxa"/>
              <w:start w:w="60" w:type="dxa"/>
              <w:bottom w:w="55" w:type="dxa"/>
              <w:end w:w="60" w:type="dxa"/>
            </w:tcMar>
            <w:tcBorders>
              <w:top w:val="single" w:sz="6" w:color="9EB0B8"/>
              <w:left w:val="single" w:sz="6" w:color="9EB0B8"/>
              <w:bottom w:val="single" w:sz="6" w:color="9EB0B8"/>
              <w:right w:val="single" w:sz="6" w:color="9EB0B8"/>
            </w:tcBorders>
            <w:vAlign w:val="center"/>
          </w:tcPr>
          <w:p>
            <w:pPr>
              <w:spacing w:after="0"/>
            </w:pPr>
            <w:r>
              <w:rPr>
                <w:rFonts w:ascii="Arial" w:hAnsi="Arial" w:eastAsia="Arial"/>
                <w:b/>
                <w:color w:val="FFFFFF"/>
                <w:sz w:val="16"/>
              </w:rPr>
              <w:t>Initial behavior</w:t>
            </w:r>
          </w:p>
        </w:tc>
      </w:tr>
      <w:tr>
        <w:tc>
          <w:tcPr>
            <w:tcW w:type="dxa" w:w="1800"/>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BALANCED</w:t>
            </w:r>
          </w:p>
        </w:tc>
        <w:tc>
          <w:tcPr>
            <w:tcW w:type="dxa" w:w="3600"/>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Default gaming PC; Hytale and Chatterbox share GPU.</w:t>
            </w:r>
          </w:p>
        </w:tc>
        <w:tc>
          <w:tcPr>
            <w:tcW w:type="dxa" w:w="4824"/>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Start from the current connected-safe Orbis layer profile at implementation time (six layers on the present 12 GB target). Calibrate n_ctx, batch/microbatch and threads against Ollama.</w:t>
            </w:r>
          </w:p>
        </w:tc>
      </w:tr>
      <w:tr>
        <w:tc>
          <w:tcPr>
            <w:tcW w:type="dxa" w:w="1800"/>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CPU_FIRST</w:t>
            </w:r>
          </w:p>
        </w:tc>
        <w:tc>
          <w:tcPr>
            <w:tcW w:type="dxa" w:w="3600"/>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Protect a weak/shared GPU or recover from sustained pressure.</w:t>
            </w:r>
          </w:p>
        </w:tc>
        <w:tc>
          <w:tcPr>
            <w:tcW w:type="dxa" w:w="4824"/>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Zero or low GPU layers; CPU generation. Functional fallback, not the primary latency target.</w:t>
            </w:r>
          </w:p>
        </w:tc>
      </w:tr>
      <w:tr>
        <w:tc>
          <w:tcPr>
            <w:tcW w:type="dxa" w:w="1800"/>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GPU_HEAVY</w:t>
            </w:r>
          </w:p>
        </w:tc>
        <w:tc>
          <w:tcPr>
            <w:tcW w:type="dxa" w:w="3600"/>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Dedicated AI GPU or abundant headroom.</w:t>
            </w:r>
          </w:p>
        </w:tc>
        <w:tc>
          <w:tcPr>
            <w:tcW w:type="dxa" w:w="4824"/>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More/all layers only after scheduler proves Hytale/Chatterbox safety.</w:t>
            </w:r>
          </w:p>
        </w:tc>
      </w:tr>
    </w:tbl>
    <w:p>
      <w:pPr>
        <w:spacing w:after="0"/>
      </w:pPr>
    </w:p>
    <w:p>
      <w:pPr>
        <w:pStyle w:val="ListBullet"/>
        <w:spacing w:after="30" w:line="240" w:lineRule="auto"/>
      </w:pPr>
      <w:r>
        <w:rPr>
          <w:rFonts w:ascii="Arial" w:hAnsi="Arial" w:eastAsia="Arial"/>
          <w:color w:val="1D2730"/>
          <w:sz w:val="19"/>
        </w:rPr>
        <w:t>Map profile fields to libllama model/context settings such as `n_gpu_layers`, main device, n_ctx, n_batch, n_ubatch, generation/batch threads, Flash Attention choice and KV cache types. [S2]</w:t>
      </w:r>
    </w:p>
    <w:p>
      <w:pPr>
        <w:pStyle w:val="ListBullet"/>
        <w:spacing w:after="30" w:line="240" w:lineRule="auto"/>
      </w:pPr>
      <w:r>
        <w:rPr>
          <w:rFonts w:ascii="Arial" w:hAnsi="Arial" w:eastAsia="Arial"/>
          <w:color w:val="1D2730"/>
          <w:sz w:val="19"/>
        </w:rPr>
        <w:t>Do not let the sidecar auto-escalate GPU layers because it sees free VRAM. Only Orbis owns admission and future-load profile changes.</w:t>
      </w:r>
    </w:p>
    <w:p>
      <w:pPr>
        <w:pStyle w:val="ListBullet"/>
        <w:spacing w:after="30" w:line="240" w:lineRule="auto"/>
      </w:pPr>
      <w:r>
        <w:rPr>
          <w:rFonts w:ascii="Arial" w:hAnsi="Arial" w:eastAsia="Arial"/>
          <w:color w:val="1D2730"/>
          <w:sz w:val="19"/>
        </w:rPr>
        <w:t>Use a pinned, measured default rather than `n_gpu_layers=-1` or “all layers” on consumer systems.</w:t>
      </w:r>
    </w:p>
    <w:p>
      <w:pPr>
        <w:pStyle w:val="Heading2"/>
        <w:keepNext/>
      </w:pPr>
      <w:r>
        <w:t>9.3 Load and warmup sequence</w:t>
      </w:r>
    </w:p>
    <w:p>
      <w:pPr>
        <w:spacing w:after="40"/>
        <w:ind w:left="29" w:hanging="29"/>
      </w:pPr>
      <w:r>
        <w:rPr>
          <w:rFonts w:ascii="Arial" w:hAnsi="Arial" w:eastAsia="Arial"/>
          <w:color w:val="1D2730"/>
          <w:sz w:val="19"/>
        </w:rPr>
        <w:t>1.  Orbis verifies runtime/model manifests and starts the sidecar asynchronously during the supported world-loading phase.</w:t>
      </w:r>
    </w:p>
    <w:p>
      <w:pPr>
        <w:spacing w:after="40"/>
        <w:ind w:left="29" w:hanging="29"/>
      </w:pPr>
      <w:r>
        <w:rPr>
          <w:rFonts w:ascii="Arial" w:hAnsi="Arial" w:eastAsia="Arial"/>
          <w:color w:val="1D2730"/>
          <w:sz w:val="19"/>
        </w:rPr>
        <w:t>2.  Sidecar handshakes, initializes the selected backend, loads model weights with progress events, then creates the bounded context.</w:t>
      </w:r>
    </w:p>
    <w:p>
      <w:pPr>
        <w:spacing w:after="40"/>
        <w:ind w:left="29" w:hanging="29"/>
      </w:pPr>
      <w:r>
        <w:rPr>
          <w:rFonts w:ascii="Arial" w:hAnsi="Arial" w:eastAsia="Arial"/>
          <w:color w:val="1D2730"/>
          <w:sz w:val="19"/>
        </w:rPr>
        <w:t>3.  Run one discarded representative tokenization/prefill/generation warmup using the same template and reasoning-off FAST path.</w:t>
      </w:r>
    </w:p>
    <w:p>
      <w:pPr>
        <w:spacing w:after="40"/>
        <w:ind w:left="29" w:hanging="29"/>
      </w:pPr>
      <w:r>
        <w:rPr>
          <w:rFonts w:ascii="Arial" w:hAnsi="Arial" w:eastAsia="Arial"/>
          <w:color w:val="1D2730"/>
          <w:sz w:val="19"/>
        </w:rPr>
        <w:t>4.  Report fresh resource snapshots and wait for OrbisResourceScheduler to prove the required Hytale/Nemotron/Chatterbox headroom before declaring READY.</w:t>
      </w:r>
    </w:p>
    <w:p>
      <w:pPr>
        <w:spacing w:after="40"/>
        <w:ind w:left="29" w:hanging="29"/>
      </w:pPr>
      <w:r>
        <w:rPr>
          <w:rFonts w:ascii="Arial" w:hAnsi="Arial" w:eastAsia="Arial"/>
          <w:color w:val="1D2730"/>
          <w:sz w:val="19"/>
        </w:rPr>
        <w:t>5.  If READY cannot be proven by the bounded startup deadline, report DEGRADED rather than false readiness. Capture/STT remain usable; LLM requests fail or queue according to current Orbis policy.</w:t>
      </w:r>
    </w:p>
    <w:p>
      <w:pPr>
        <w:pStyle w:val="Heading1"/>
        <w:keepNext/>
      </w:pPr>
      <w:r>
        <w:t>10. Prompt, Reasoning, Sampling and Structured Output</w:t>
      </w:r>
    </w:p>
    <w:p>
      <w:pPr>
        <w:pStyle w:val="Heading2"/>
        <w:keepNext/>
      </w:pPr>
      <w:r>
        <w:t>10.1 Prompt and template authority</w:t>
      </w:r>
    </w:p>
    <w:p>
      <w:pPr>
        <w:pStyle w:val="ListBullet"/>
        <w:spacing w:after="30" w:line="240" w:lineRule="auto"/>
      </w:pPr>
      <w:r>
        <w:rPr>
          <w:rFonts w:ascii="Arial" w:hAnsi="Arial" w:eastAsia="Arial"/>
          <w:color w:val="1D2730"/>
          <w:sz w:val="19"/>
        </w:rPr>
        <w:t>TurnPlanCompiler and ContextProfileBuilder remain authoritative for message content, evidence, route and budgets.</w:t>
      </w:r>
    </w:p>
    <w:p>
      <w:pPr>
        <w:pStyle w:val="ListBullet"/>
        <w:spacing w:after="30" w:line="240" w:lineRule="auto"/>
      </w:pPr>
      <w:r>
        <w:rPr>
          <w:rFonts w:ascii="Arial" w:hAnsi="Arial" w:eastAsia="Arial"/>
          <w:color w:val="1D2730"/>
          <w:sz w:val="19"/>
        </w:rPr>
        <w:t>Use one pinned Nemotron chat-template adapter owned by Orbis/runtime manifest. Compare rendered token IDs and token counts against the current Ollama path before A/B benchmarking.</w:t>
      </w:r>
    </w:p>
    <w:p>
      <w:pPr>
        <w:pStyle w:val="ListBullet"/>
        <w:spacing w:after="30" w:line="240" w:lineRule="auto"/>
      </w:pPr>
      <w:r>
        <w:rPr>
          <w:rFonts w:ascii="Arial" w:hAnsi="Arial" w:eastAsia="Arial"/>
          <w:color w:val="1D2730"/>
          <w:sz w:val="19"/>
        </w:rPr>
        <w:t>Prefer canonical chat messages plus explicit template/reasoning parameters over unconstrained raw prompt strings. The sidecar returns rendered prompt hash, prompt token count and template hash for trace parity.</w:t>
      </w:r>
    </w:p>
    <w:p>
      <w:pPr>
        <w:pStyle w:val="ListBullet"/>
        <w:spacing w:after="30" w:line="240" w:lineRule="auto"/>
      </w:pPr>
      <w:r>
        <w:rPr>
          <w:rFonts w:ascii="Arial" w:hAnsi="Arial" w:eastAsia="Arial"/>
          <w:color w:val="1D2730"/>
          <w:sz w:val="19"/>
        </w:rPr>
        <w:t>The embedded GGUF chat template may be used only if its hash matches the approved manifest. libllama exposes model chat-template metadata. [S2]</w:t>
      </w:r>
    </w:p>
    <w:p>
      <w:pPr>
        <w:pStyle w:val="ListBullet"/>
        <w:spacing w:after="30" w:line="240" w:lineRule="auto"/>
      </w:pPr>
      <w:r>
        <w:rPr>
          <w:rFonts w:ascii="Arial" w:hAnsi="Arial" w:eastAsia="Arial"/>
          <w:color w:val="1D2730"/>
          <w:sz w:val="19"/>
        </w:rPr>
        <w:t>Reasoning mode comes only from TurnExecutionPlan. The worker never reclassifies a turn or enables thinking independently.</w:t>
      </w:r>
    </w:p>
    <w:p>
      <w:pPr>
        <w:pStyle w:val="Heading2"/>
        <w:keepNext/>
      </w:pPr>
      <w:r>
        <w:t>10.2 Sampling parity</w:t>
      </w:r>
    </w:p>
    <w:p>
      <w:pPr>
        <w:pStyle w:val="ListBullet"/>
        <w:spacing w:after="30" w:line="240" w:lineRule="auto"/>
      </w:pPr>
      <w:r>
        <w:rPr>
          <w:rFonts w:ascii="Arial" w:hAnsi="Arial" w:eastAsia="Arial"/>
          <w:color w:val="1D2730"/>
          <w:sz w:val="19"/>
        </w:rPr>
        <w:t>Phase 1 uses the same temperature, top-p/min-p, repetition controls, seed policy, stop tokens and final-answer budget as the Ollama control.</w:t>
      </w:r>
    </w:p>
    <w:p>
      <w:pPr>
        <w:pStyle w:val="ListBullet"/>
        <w:spacing w:after="30" w:line="240" w:lineRule="auto"/>
      </w:pPr>
      <w:r>
        <w:rPr>
          <w:rFonts w:ascii="Arial" w:hAnsi="Arial" w:eastAsia="Arial"/>
          <w:color w:val="1D2730"/>
          <w:sz w:val="19"/>
        </w:rPr>
        <w:t>Record the exact sampler chain and runtime build in every A/B report. A runtime improvement that changes contract validity or NPC behavior materially is a failure.</w:t>
      </w:r>
    </w:p>
    <w:p>
      <w:pPr>
        <w:pStyle w:val="ListBullet"/>
        <w:spacing w:after="30" w:line="240" w:lineRule="auto"/>
      </w:pPr>
      <w:r>
        <w:rPr>
          <w:rFonts w:ascii="Arial" w:hAnsi="Arial" w:eastAsia="Arial"/>
          <w:color w:val="1D2730"/>
          <w:sz w:val="19"/>
        </w:rPr>
        <w:t>Plain FAST/GROUNDED/action-result dialogue streams text. Structured choice/deliberative/autonomous contracts remain buffered until complete and Java-validated.</w:t>
      </w:r>
    </w:p>
    <w:p>
      <w:pPr>
        <w:pStyle w:val="Heading2"/>
        <w:keepNext/>
      </w:pPr>
      <w:r>
        <w:t>10.3 Structured output and grammar registry</w:t>
      </w:r>
    </w:p>
    <w:p>
      <w:pPr>
        <w:spacing w:after="80"/>
      </w:pPr>
      <w:r>
        <w:rPr>
          <w:rFonts w:ascii="Arial" w:hAnsi="Arial" w:eastAsia="Arial"/>
          <w:i w:val="0"/>
          <w:color w:val="1D2730"/>
          <w:sz w:val="20"/>
        </w:rPr>
        <w:t>llama.cpp supports GBNF grammars and JSON-schema conversion, but the supported JSON Schema subset and converter behavior must be treated as a compatibility boundary, not a guarantee. [S3]</w:t>
      </w:r>
    </w:p>
    <w:p>
      <w:pPr>
        <w:pStyle w:val="ListBullet"/>
        <w:spacing w:after="30" w:line="240" w:lineRule="auto"/>
      </w:pPr>
      <w:r>
        <w:rPr>
          <w:rFonts w:ascii="Arial" w:hAnsi="Arial" w:eastAsia="Arial"/>
          <w:color w:val="1D2730"/>
          <w:sz w:val="19"/>
        </w:rPr>
        <w:t>Compile only the bounded route-specific Hardening Matrix schemas. No giant union schema.</w:t>
      </w:r>
    </w:p>
    <w:p>
      <w:pPr>
        <w:pStyle w:val="ListBullet"/>
        <w:spacing w:after="30" w:line="240" w:lineRule="auto"/>
      </w:pPr>
      <w:r>
        <w:rPr>
          <w:rFonts w:ascii="Arial" w:hAnsi="Arial" w:eastAsia="Arial"/>
          <w:color w:val="1D2730"/>
          <w:sz w:val="19"/>
        </w:rPr>
        <w:t>Assign each approved contract a versioned `OutputContractId` and precompile/parse its grammar at sidecar startup or build time. A gameplay request references the immutable ID; it does not send arbitrary schema text.</w:t>
      </w:r>
    </w:p>
    <w:p>
      <w:pPr>
        <w:pStyle w:val="ListBullet"/>
        <w:spacing w:after="30" w:line="240" w:lineRule="auto"/>
      </w:pPr>
      <w:r>
        <w:rPr>
          <w:rFonts w:ascii="Arial" w:hAnsi="Arial" w:eastAsia="Arial"/>
          <w:color w:val="1D2730"/>
          <w:sz w:val="19"/>
        </w:rPr>
        <w:t>Restrict schemas to explicitly tested objects, enums, bounded arrays/strings and `additionalProperties=false`. Reject unsupported regex/schema constructs before runtime.</w:t>
      </w:r>
    </w:p>
    <w:p>
      <w:pPr>
        <w:pStyle w:val="ListBullet"/>
        <w:spacing w:after="30" w:line="240" w:lineRule="auto"/>
      </w:pPr>
      <w:r>
        <w:rPr>
          <w:rFonts w:ascii="Arial" w:hAnsi="Arial" w:eastAsia="Arial"/>
          <w:color w:val="1D2730"/>
          <w:sz w:val="19"/>
        </w:rPr>
        <w:t>Run grammar conformance fixtures for minimum, typical, maximum and adversarial values. A grammar converter that silently omits unsupported constraints must fail the manifest build.</w:t>
      </w:r>
    </w:p>
    <w:p>
      <w:pPr>
        <w:pStyle w:val="ListBullet"/>
        <w:spacing w:after="30" w:line="240" w:lineRule="auto"/>
      </w:pPr>
      <w:r>
        <w:rPr>
          <w:rFonts w:ascii="Arial" w:hAnsi="Arial" w:eastAsia="Arial"/>
          <w:color w:val="1D2730"/>
          <w:sz w:val="19"/>
        </w:rPr>
        <w:t>Structured output is never executed inside the sidecar. The complete text returns to existing Java contract validation and action authority.</w:t>
      </w:r>
    </w:p>
    <w:p>
      <w:pPr>
        <w:pStyle w:val="ListBullet"/>
        <w:spacing w:after="30" w:line="240" w:lineRule="auto"/>
      </w:pPr>
      <w:r>
        <w:rPr>
          <w:rFonts w:ascii="Arial" w:hAnsi="Arial" w:eastAsia="Arial"/>
          <w:color w:val="1D2730"/>
          <w:sz w:val="19"/>
        </w:rPr>
        <w:t>A grammar initialization failure, length stop, EOF or schema mismatch is a classified provider failure and follows the existing one-recovery policy.</w:t>
      </w:r>
    </w:p>
    <w:tbl>
      <w:tblPr>
        <w:tblW w:type="auto" w:w="0"/>
        <w:jc w:val="center"/>
        <w:tblLayout w:type="fixed"/>
        <w:tblLook w:firstColumn="1" w:firstRow="1" w:lastColumn="0" w:lastRow="0" w:noHBand="0" w:noVBand="1" w:val="04A0"/>
      </w:tblPr>
      <w:tblGrid>
        <w:gridCol w:w="10224"/>
      </w:tblGrid>
      <w:tr>
        <w:tc>
          <w:tcPr>
            <w:tcW w:type="dxa" w:w="10282"/>
            <w:shd w:fill="F7F1DF"/>
            <w:tcMar>
              <w:top w:w="75" w:type="dxa"/>
              <w:start w:w="95" w:type="dxa"/>
              <w:bottom w:w="75" w:type="dxa"/>
              <w:end w:w="95" w:type="dxa"/>
            </w:tcMar>
            <w:tcBorders>
              <w:top w:val="single" w:sz="12" w:color="8B6618"/>
              <w:left w:val="single" w:sz="12" w:color="8B6618"/>
              <w:bottom w:val="single" w:sz="6" w:color="9EB0B8"/>
              <w:right w:val="single" w:sz="6" w:color="9EB0B8"/>
            </w:tcBorders>
          </w:tcPr>
          <w:p>
            <w:pPr>
              <w:spacing w:after="0"/>
            </w:pPr>
            <w:r>
              <w:rPr>
                <w:rFonts w:ascii="Arial" w:hAnsi="Arial" w:eastAsia="Arial"/>
                <w:b/>
                <w:color w:val="8B6618"/>
                <w:sz w:val="19"/>
              </w:rPr>
              <w:t xml:space="preserve">STRUCTURED-OUTPUT SAFETY. </w:t>
            </w:r>
            <w:r>
              <w:rPr>
                <w:rFonts w:ascii="Arial" w:hAnsi="Arial" w:eastAsia="Arial"/>
                <w:color w:val="1D2730"/>
                <w:sz w:val="19"/>
              </w:rPr>
              <w:t>Recent upstream reports show valid-looking JSON schemas and grammars can still fail conversion or destabilize a generic server. OrbisLLM limits this surface by accepting only a prevalidated registry of project-owned contracts and restarting the isolated process on unrecoverable grammar/runtime faults. [S8][S9]</w:t>
            </w:r>
          </w:p>
        </w:tc>
        <w:trPr>
          <w:tblHeader/>
        </w:trPr>
      </w:tr>
    </w:tbl>
    <w:p>
      <w:pPr>
        <w:spacing w:after="0"/>
      </w:pPr>
    </w:p>
    <w:p>
      <w:pPr>
        <w:pStyle w:val="Heading1"/>
        <w:keepNext/>
      </w:pPr>
      <w:r>
        <w:t>11. Cancellation, Preemption and Watchdogs</w:t>
      </w:r>
    </w:p>
    <w:p>
      <w:pPr>
        <w:spacing w:after="80"/>
      </w:pPr>
      <w:r>
        <w:rPr>
          <w:rFonts w:ascii="Arial" w:hAnsi="Arial" w:eastAsia="Arial"/>
          <w:i w:val="0"/>
          <w:color w:val="1D2730"/>
          <w:sz w:val="20"/>
        </w:rPr>
        <w:t>Direct lifecycle ownership is a primary reason for this migration. Cancellation must nevertheless reflect libllama and GPU reality: current libllama documentation states the in-call abort callback works only for CPU execution. [S2]</w:t>
      </w:r>
    </w:p>
    <w:p>
      <w:pPr>
        <w:pStyle w:val="Heading2"/>
        <w:keepNext/>
      </w:pPr>
      <w:r>
        <w:t>11.1 Cooperative cancellation</w:t>
      </w:r>
    </w:p>
    <w:p>
      <w:pPr>
        <w:spacing w:after="40"/>
        <w:ind w:left="29" w:hanging="29"/>
      </w:pPr>
      <w:r>
        <w:rPr>
          <w:rFonts w:ascii="Arial" w:hAnsi="Arial" w:eastAsia="Arial"/>
          <w:color w:val="1D2730"/>
          <w:sz w:val="19"/>
        </w:rPr>
        <w:t>1.  Orbis sends CANCEL with requestId, branch epoch and reason; local branch/output becomes stale immediately under existing Orbis rules.</w:t>
      </w:r>
    </w:p>
    <w:p>
      <w:pPr>
        <w:spacing w:after="40"/>
        <w:ind w:left="29" w:hanging="29"/>
      </w:pPr>
      <w:r>
        <w:rPr>
          <w:rFonts w:ascii="Arial" w:hAnsi="Arial" w:eastAsia="Arial"/>
          <w:color w:val="1D2730"/>
          <w:sz w:val="19"/>
        </w:rPr>
        <w:t>2.  Sidecar sets an atomic cancel flag and acknowledges `CANCEL_REQUESTED` immediately.</w:t>
      </w:r>
    </w:p>
    <w:p>
      <w:pPr>
        <w:spacing w:after="40"/>
        <w:ind w:left="29" w:hanging="29"/>
      </w:pPr>
      <w:r>
        <w:rPr>
          <w:rFonts w:ascii="Arial" w:hAnsi="Arial" w:eastAsia="Arial"/>
          <w:color w:val="1D2730"/>
          <w:sz w:val="19"/>
        </w:rPr>
        <w:t>3.  Prompt prefill is split into calibrated microbatches (initial test set: 64/128/256 tokens). Check cancellation before and after every microbatch.</w:t>
      </w:r>
    </w:p>
    <w:p>
      <w:pPr>
        <w:spacing w:after="40"/>
        <w:ind w:left="29" w:hanging="29"/>
      </w:pPr>
      <w:r>
        <w:rPr>
          <w:rFonts w:ascii="Arial" w:hAnsi="Arial" w:eastAsia="Arial"/>
          <w:color w:val="1D2730"/>
          <w:sz w:val="19"/>
        </w:rPr>
        <w:t>4.  Generation checks cancellation before and after every token decode/sample cycle.</w:t>
      </w:r>
    </w:p>
    <w:p>
      <w:pPr>
        <w:spacing w:after="40"/>
        <w:ind w:left="29" w:hanging="29"/>
      </w:pPr>
      <w:r>
        <w:rPr>
          <w:rFonts w:ascii="Arial" w:hAnsi="Arial" w:eastAsia="Arial"/>
          <w:color w:val="1D2730"/>
          <w:sz w:val="19"/>
        </w:rPr>
        <w:t>5.  When the loop regains control, discard unsent deltas, clear request-specific sampler/context state as policy requires, emit `CANCEL_ACK`, and return READY only after temporary work is actually released.</w:t>
      </w:r>
    </w:p>
    <w:p>
      <w:pPr>
        <w:pStyle w:val="Heading2"/>
        <w:keepNext/>
      </w:pPr>
      <w:r>
        <w:t>11.2 GPU decode limitation and forced recovery</w:t>
      </w:r>
    </w:p>
    <w:p>
      <w:pPr>
        <w:pStyle w:val="ListBullet"/>
        <w:spacing w:after="30" w:line="240" w:lineRule="auto"/>
      </w:pPr>
      <w:r>
        <w:rPr>
          <w:rFonts w:ascii="Arial" w:hAnsi="Arial" w:eastAsia="Arial"/>
          <w:color w:val="1D2730"/>
          <w:sz w:val="19"/>
        </w:rPr>
        <w:t>Do not claim an in-flight CUDA `llama_decode()` call can always be interrupted. The worst normal cancel latency is bounded by the duration of one active prefill microbatch or one token decode call.</w:t>
      </w:r>
    </w:p>
    <w:p>
      <w:pPr>
        <w:pStyle w:val="ListBullet"/>
        <w:spacing w:after="30" w:line="240" w:lineRule="auto"/>
      </w:pPr>
      <w:r>
        <w:rPr>
          <w:rFonts w:ascii="Arial" w:hAnsi="Arial" w:eastAsia="Arial"/>
          <w:color w:val="1D2730"/>
          <w:sz w:val="19"/>
        </w:rPr>
        <w:t>If cancel acknowledgement exceeds the soft deadline, emit `CANCEL_STALLED`; Orbis prevents another request from entering that process generation while the old decode is unresolved.</w:t>
      </w:r>
    </w:p>
    <w:p>
      <w:pPr>
        <w:pStyle w:val="ListBullet"/>
        <w:spacing w:after="30" w:line="240" w:lineRule="auto"/>
      </w:pPr>
      <w:r>
        <w:rPr>
          <w:rFonts w:ascii="Arial" w:hAnsi="Arial" w:eastAsia="Arial"/>
          <w:color w:val="1D2730"/>
          <w:sz w:val="19"/>
        </w:rPr>
        <w:t>If the hard deadline expires, OrbisLlmProcessManager terminates the sidecar asynchronously, fails the old request as cancelled/provider-restarted, starts a fresh process generation and rejects all late events from the old generation.</w:t>
      </w:r>
    </w:p>
    <w:p>
      <w:pPr>
        <w:pStyle w:val="ListBullet"/>
        <w:spacing w:after="30" w:line="240" w:lineRule="auto"/>
      </w:pPr>
      <w:r>
        <w:rPr>
          <w:rFonts w:ascii="Arial" w:hAnsi="Arial" w:eastAsia="Arial"/>
          <w:color w:val="1D2730"/>
          <w:sz w:val="19"/>
        </w:rPr>
        <w:t>Process restart is the last-resort recovery, not ordinary barge-in behavior. Calibrate microbatch size to keep normal cancellation below the hard threshold.</w:t>
      </w:r>
    </w:p>
    <w:p>
      <w:pPr>
        <w:pStyle w:val="ListBullet"/>
        <w:spacing w:after="30" w:line="240" w:lineRule="auto"/>
      </w:pPr>
      <w:r>
        <w:rPr>
          <w:rFonts w:ascii="Arial" w:hAnsi="Arial" w:eastAsia="Arial"/>
          <w:color w:val="1D2730"/>
          <w:sz w:val="19"/>
        </w:rPr>
        <w:t>The next microphone utterance may still be captured/transcribed while the LLM worker drains/restarts; it must not disappear or create a competing turn.</w:t>
      </w:r>
    </w:p>
    <w:tbl>
      <w:tblPr>
        <w:tblW w:type="auto" w:w="0"/>
        <w:jc w:val="center"/>
        <w:tblLayout w:type="fixed"/>
        <w:tblLook w:firstColumn="1" w:firstRow="1" w:lastColumn="0" w:lastRow="0" w:noHBand="0" w:noVBand="1" w:val="04A0"/>
      </w:tblPr>
      <w:tblGrid>
        <w:gridCol w:w="2952"/>
        <w:gridCol w:w="2448"/>
        <w:gridCol w:w="4824"/>
      </w:tblGrid>
      <w:tr>
        <w:trPr>
          <w:tblHeader w:val="true"/>
        </w:trPr>
        <w:tc>
          <w:tcPr>
            <w:tcW w:type="dxa" w:w="2952"/>
            <w:shd w:fill="0E4856"/>
            <w:tcMar>
              <w:top w:w="55" w:type="dxa"/>
              <w:start w:w="60" w:type="dxa"/>
              <w:bottom w:w="55" w:type="dxa"/>
              <w:end w:w="60" w:type="dxa"/>
            </w:tcMar>
            <w:tcBorders>
              <w:top w:val="single" w:sz="6" w:color="9EB0B8"/>
              <w:left w:val="single" w:sz="6" w:color="9EB0B8"/>
              <w:bottom w:val="single" w:sz="6" w:color="9EB0B8"/>
              <w:right w:val="single" w:sz="6" w:color="9EB0B8"/>
            </w:tcBorders>
            <w:vAlign w:val="center"/>
          </w:tcPr>
          <w:p>
            <w:pPr>
              <w:spacing w:after="0"/>
            </w:pPr>
            <w:r>
              <w:rPr>
                <w:rFonts w:ascii="Arial" w:hAnsi="Arial" w:eastAsia="Arial"/>
                <w:b/>
                <w:color w:val="FFFFFF"/>
                <w:sz w:val="16"/>
              </w:rPr>
              <w:t>Condition</w:t>
            </w:r>
          </w:p>
        </w:tc>
        <w:tc>
          <w:tcPr>
            <w:tcW w:type="dxa" w:w="2448"/>
            <w:shd w:fill="0E4856"/>
            <w:tcMar>
              <w:top w:w="55" w:type="dxa"/>
              <w:start w:w="60" w:type="dxa"/>
              <w:bottom w:w="55" w:type="dxa"/>
              <w:end w:w="60" w:type="dxa"/>
            </w:tcMar>
            <w:tcBorders>
              <w:top w:val="single" w:sz="6" w:color="9EB0B8"/>
              <w:left w:val="single" w:sz="6" w:color="9EB0B8"/>
              <w:bottom w:val="single" w:sz="6" w:color="9EB0B8"/>
              <w:right w:val="single" w:sz="6" w:color="9EB0B8"/>
            </w:tcBorders>
            <w:vAlign w:val="center"/>
          </w:tcPr>
          <w:p>
            <w:pPr>
              <w:spacing w:after="0"/>
            </w:pPr>
            <w:r>
              <w:rPr>
                <w:rFonts w:ascii="Arial" w:hAnsi="Arial" w:eastAsia="Arial"/>
                <w:b/>
                <w:color w:val="FFFFFF"/>
                <w:sz w:val="16"/>
              </w:rPr>
              <w:t>Initial target</w:t>
            </w:r>
          </w:p>
        </w:tc>
        <w:tc>
          <w:tcPr>
            <w:tcW w:type="dxa" w:w="4824"/>
            <w:shd w:fill="0E4856"/>
            <w:tcMar>
              <w:top w:w="55" w:type="dxa"/>
              <w:start w:w="60" w:type="dxa"/>
              <w:bottom w:w="55" w:type="dxa"/>
              <w:end w:w="60" w:type="dxa"/>
            </w:tcMar>
            <w:tcBorders>
              <w:top w:val="single" w:sz="6" w:color="9EB0B8"/>
              <w:left w:val="single" w:sz="6" w:color="9EB0B8"/>
              <w:bottom w:val="single" w:sz="6" w:color="9EB0B8"/>
              <w:right w:val="single" w:sz="6" w:color="9EB0B8"/>
            </w:tcBorders>
            <w:vAlign w:val="center"/>
          </w:tcPr>
          <w:p>
            <w:pPr>
              <w:spacing w:after="0"/>
            </w:pPr>
            <w:r>
              <w:rPr>
                <w:rFonts w:ascii="Arial" w:hAnsi="Arial" w:eastAsia="Arial"/>
                <w:b/>
                <w:color w:val="FFFFFF"/>
                <w:sz w:val="16"/>
              </w:rPr>
              <w:t>Required behavior</w:t>
            </w:r>
          </w:p>
        </w:tc>
      </w:tr>
      <w:tr>
        <w:tc>
          <w:tcPr>
            <w:tcW w:type="dxa" w:w="2952"/>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Cancel during token generation</w:t>
            </w:r>
          </w:p>
        </w:tc>
        <w:tc>
          <w:tcPr>
            <w:tcW w:type="dxa" w:w="2448"/>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&lt;=250 ms p95 acknowledgement</w:t>
            </w:r>
          </w:p>
        </w:tc>
        <w:tc>
          <w:tcPr>
            <w:tcW w:type="dxa" w:w="4824"/>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Stop between token cycles; no stale token reaches Orbis after epoch invalidation.</w:t>
            </w:r>
          </w:p>
        </w:tc>
      </w:tr>
      <w:tr>
        <w:tc>
          <w:tcPr>
            <w:tcW w:type="dxa" w:w="2952"/>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Cancel during representative prefill</w:t>
            </w:r>
          </w:p>
        </w:tc>
        <w:tc>
          <w:tcPr>
            <w:tcW w:type="dxa" w:w="2448"/>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&lt;=500 ms p95 or one measured microbatch + 100 ms</w:t>
            </w:r>
          </w:p>
        </w:tc>
        <w:tc>
          <w:tcPr>
            <w:tcW w:type="dxa" w:w="4824"/>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Stop at next microbatch boundary.</w:t>
            </w:r>
          </w:p>
        </w:tc>
      </w:tr>
      <w:tr>
        <w:tc>
          <w:tcPr>
            <w:tcW w:type="dxa" w:w="2952"/>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No acknowledgement</w:t>
            </w:r>
          </w:p>
        </w:tc>
        <w:tc>
          <w:tcPr>
            <w:tcW w:type="dxa" w:w="2448"/>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1,000 ms soft warning</w:t>
            </w:r>
          </w:p>
        </w:tc>
        <w:tc>
          <w:tcPr>
            <w:tcW w:type="dxa" w:w="4824"/>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Mark CANCEL_STALLED; block new decode on that process generation.</w:t>
            </w:r>
          </w:p>
        </w:tc>
      </w:tr>
      <w:tr>
        <w:tc>
          <w:tcPr>
            <w:tcW w:type="dxa" w:w="2952"/>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Still unresolved</w:t>
            </w:r>
          </w:p>
        </w:tc>
        <w:tc>
          <w:tcPr>
            <w:tcW w:type="dxa" w:w="2448"/>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2,000 ms hard recovery target</w:t>
            </w:r>
          </w:p>
        </w:tc>
        <w:tc>
          <w:tcPr>
            <w:tcW w:type="dxa" w:w="4824"/>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Terminate/restart sidecar; next request ready within bounded restart/load policy.</w:t>
            </w:r>
          </w:p>
        </w:tc>
      </w:tr>
    </w:tbl>
    <w:p>
      <w:pPr>
        <w:spacing w:after="0"/>
      </w:pPr>
    </w:p>
    <w:p>
      <w:pPr>
        <w:spacing w:after="80"/>
      </w:pPr>
      <w:r>
        <w:rPr>
          <w:rFonts w:ascii="Arial" w:hAnsi="Arial" w:eastAsia="Arial"/>
          <w:i w:val="0"/>
          <w:color w:val="1D2730"/>
          <w:sz w:val="20"/>
        </w:rPr>
        <w:t>Targets are engineering goals for the target host, not API guarantees. Connected Hytale p50/p95 measurements determine final policy.</w:t>
      </w:r>
    </w:p>
    <w:p>
      <w:pPr>
        <w:pStyle w:val="Heading2"/>
        <w:keepNext/>
      </w:pPr>
      <w:r>
        <w:t>11.3 Priority and preemption</w:t>
      </w:r>
    </w:p>
    <w:p>
      <w:pPr>
        <w:pStyle w:val="ListBullet"/>
        <w:spacing w:after="30" w:line="240" w:lineRule="auto"/>
      </w:pPr>
      <w:r>
        <w:rPr>
          <w:rFonts w:ascii="Arial" w:hAnsi="Arial" w:eastAsia="Arial"/>
          <w:color w:val="1D2730"/>
          <w:sz w:val="19"/>
        </w:rPr>
        <w:t>Foreground player conversation outranks autonomous/background inference. Background requests receive cooperative cancel/yield when a foreground turn arrives.</w:t>
      </w:r>
    </w:p>
    <w:p>
      <w:pPr>
        <w:pStyle w:val="ListBullet"/>
        <w:spacing w:after="30" w:line="240" w:lineRule="auto"/>
      </w:pPr>
      <w:r>
        <w:rPr>
          <w:rFonts w:ascii="Arial" w:hAnsi="Arial" w:eastAsia="Arial"/>
          <w:color w:val="1D2730"/>
          <w:sz w:val="19"/>
        </w:rPr>
        <w:t>No concurrent inference in v1. This avoids slot contention and makes request ownership/cancellation unambiguous.</w:t>
      </w:r>
    </w:p>
    <w:p>
      <w:pPr>
        <w:pStyle w:val="ListBullet"/>
        <w:spacing w:after="30" w:line="240" w:lineRule="auto"/>
      </w:pPr>
      <w:r>
        <w:rPr>
          <w:rFonts w:ascii="Arial" w:hAnsi="Arial" w:eastAsia="Arial"/>
          <w:color w:val="1D2730"/>
          <w:sz w:val="19"/>
        </w:rPr>
        <w:t>Barge-in, focus/range loss, disconnect, stale epoch and Hytale resource pressure use the same provider-neutral cancellation lifecycle.</w:t>
      </w:r>
    </w:p>
    <w:p>
      <w:pPr>
        <w:pStyle w:val="Heading1"/>
        <w:keepNext/>
      </w:pPr>
      <w:r>
        <w:t>12. Memory, Residency and Orbis Resource Scheduling</w:t>
      </w:r>
    </w:p>
    <w:p>
      <w:pPr>
        <w:pStyle w:val="Heading2"/>
        <w:keepNext/>
      </w:pPr>
      <w:r>
        <w:t>12.1 Measured memory model</w:t>
      </w:r>
    </w:p>
    <w:tbl>
      <w:tblPr>
        <w:tblW w:type="auto" w:w="0"/>
        <w:jc w:val="center"/>
        <w:tblLayout w:type="fixed"/>
        <w:tblLook w:firstColumn="1" w:firstRow="1" w:lastColumn="0" w:lastRow="0" w:noHBand="0" w:noVBand="1" w:val="04A0"/>
      </w:tblPr>
      <w:tblGrid>
        <w:gridCol w:w="2088"/>
        <w:gridCol w:w="4320"/>
        <w:gridCol w:w="3816"/>
      </w:tblGrid>
      <w:tr>
        <w:trPr>
          <w:tblHeader w:val="true"/>
        </w:trPr>
        <w:tc>
          <w:tcPr>
            <w:tcW w:type="dxa" w:w="2088"/>
            <w:shd w:fill="0E4856"/>
            <w:tcMar>
              <w:top w:w="55" w:type="dxa"/>
              <w:start w:w="60" w:type="dxa"/>
              <w:bottom w:w="55" w:type="dxa"/>
              <w:end w:w="60" w:type="dxa"/>
            </w:tcMar>
            <w:tcBorders>
              <w:top w:val="single" w:sz="6" w:color="9EB0B8"/>
              <w:left w:val="single" w:sz="6" w:color="9EB0B8"/>
              <w:bottom w:val="single" w:sz="6" w:color="9EB0B8"/>
              <w:right w:val="single" w:sz="6" w:color="9EB0B8"/>
            </w:tcBorders>
            <w:vAlign w:val="center"/>
          </w:tcPr>
          <w:p>
            <w:pPr>
              <w:spacing w:after="0"/>
            </w:pPr>
            <w:r>
              <w:rPr>
                <w:rFonts w:ascii="Arial" w:hAnsi="Arial" w:eastAsia="Arial"/>
                <w:b/>
                <w:color w:val="FFFFFF"/>
                <w:sz w:val="16"/>
              </w:rPr>
              <w:t>Memory class</w:t>
            </w:r>
          </w:p>
        </w:tc>
        <w:tc>
          <w:tcPr>
            <w:tcW w:type="dxa" w:w="4320"/>
            <w:shd w:fill="0E4856"/>
            <w:tcMar>
              <w:top w:w="55" w:type="dxa"/>
              <w:start w:w="60" w:type="dxa"/>
              <w:bottom w:w="55" w:type="dxa"/>
              <w:end w:w="60" w:type="dxa"/>
            </w:tcMar>
            <w:tcBorders>
              <w:top w:val="single" w:sz="6" w:color="9EB0B8"/>
              <w:left w:val="single" w:sz="6" w:color="9EB0B8"/>
              <w:bottom w:val="single" w:sz="6" w:color="9EB0B8"/>
              <w:right w:val="single" w:sz="6" w:color="9EB0B8"/>
            </w:tcBorders>
            <w:vAlign w:val="center"/>
          </w:tcPr>
          <w:p>
            <w:pPr>
              <w:spacing w:after="0"/>
            </w:pPr>
            <w:r>
              <w:rPr>
                <w:rFonts w:ascii="Arial" w:hAnsi="Arial" w:eastAsia="Arial"/>
                <w:b/>
                <w:color w:val="FFFFFF"/>
                <w:sz w:val="16"/>
              </w:rPr>
              <w:t>Meaning</w:t>
            </w:r>
          </w:p>
        </w:tc>
        <w:tc>
          <w:tcPr>
            <w:tcW w:type="dxa" w:w="3816"/>
            <w:shd w:fill="0E4856"/>
            <w:tcMar>
              <w:top w:w="55" w:type="dxa"/>
              <w:start w:w="60" w:type="dxa"/>
              <w:bottom w:w="55" w:type="dxa"/>
              <w:end w:w="60" w:type="dxa"/>
            </w:tcMar>
            <w:tcBorders>
              <w:top w:val="single" w:sz="6" w:color="9EB0B8"/>
              <w:left w:val="single" w:sz="6" w:color="9EB0B8"/>
              <w:bottom w:val="single" w:sz="6" w:color="9EB0B8"/>
              <w:right w:val="single" w:sz="6" w:color="9EB0B8"/>
            </w:tcBorders>
            <w:vAlign w:val="center"/>
          </w:tcPr>
          <w:p>
            <w:pPr>
              <w:spacing w:after="0"/>
            </w:pPr>
            <w:r>
              <w:rPr>
                <w:rFonts w:ascii="Arial" w:hAnsi="Arial" w:eastAsia="Arial"/>
                <w:b/>
                <w:color w:val="FFFFFF"/>
                <w:sz w:val="16"/>
              </w:rPr>
              <w:t>Telemetry/source</w:t>
            </w:r>
          </w:p>
        </w:tc>
      </w:tr>
      <w:tr>
        <w:tc>
          <w:tcPr>
            <w:tcW w:type="dxa" w:w="2088"/>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Model tensors</w:t>
            </w:r>
          </w:p>
        </w:tc>
        <w:tc>
          <w:tcPr>
            <w:tcW w:type="dxa" w:w="4320"/>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Loaded GGUF weights across CPU/GPU.</w:t>
            </w:r>
          </w:p>
        </w:tc>
        <w:tc>
          <w:tcPr>
            <w:tcW w:type="dxa" w:w="3816"/>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libllama model tensor bytes plus measured process/VRAM deltas.</w:t>
            </w:r>
          </w:p>
        </w:tc>
      </w:tr>
      <w:tr>
        <w:tc>
          <w:tcPr>
            <w:tcW w:type="dxa" w:w="2088"/>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Context/KV/recurrent state</w:t>
            </w:r>
          </w:p>
        </w:tc>
        <w:tc>
          <w:tcPr>
            <w:tcW w:type="dxa" w:w="4320"/>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Context window and model state for the current sequence.</w:t>
            </w:r>
          </w:p>
        </w:tc>
        <w:tc>
          <w:tcPr>
            <w:tcW w:type="dxa" w:w="3816"/>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Context configuration, cache types, backend allocations and measured delta.</w:t>
            </w:r>
          </w:p>
        </w:tc>
      </w:tr>
      <w:tr>
        <w:tc>
          <w:tcPr>
            <w:tcW w:type="dxa" w:w="2088"/>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Request scratch/temporary</w:t>
            </w:r>
          </w:p>
        </w:tc>
        <w:tc>
          <w:tcPr>
            <w:tcW w:type="dxa" w:w="4320"/>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Prefill/decode workspace and transient backend allocations.</w:t>
            </w:r>
          </w:p>
        </w:tc>
        <w:tc>
          <w:tcPr>
            <w:tcW w:type="dxa" w:w="3816"/>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Before/peak/after request metrics.</w:t>
            </w:r>
          </w:p>
        </w:tc>
      </w:tr>
      <w:tr>
        <w:tc>
          <w:tcPr>
            <w:tcW w:type="dxa" w:w="2088"/>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Process/runtime overhead</w:t>
            </w:r>
          </w:p>
        </w:tc>
        <w:tc>
          <w:tcPr>
            <w:tcW w:type="dxa" w:w="4320"/>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Executable, libraries, backend contexts and allocators.</w:t>
            </w:r>
          </w:p>
        </w:tc>
        <w:tc>
          <w:tcPr>
            <w:tcW w:type="dxa" w:w="3816"/>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Process working set/private bytes and CUDA free/used deltas.</w:t>
            </w:r>
          </w:p>
        </w:tc>
      </w:tr>
      <w:tr>
        <w:tc>
          <w:tcPr>
            <w:tcW w:type="dxa" w:w="2088"/>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Hytale reserve</w:t>
            </w:r>
          </w:p>
        </w:tc>
        <w:tc>
          <w:tcPr>
            <w:tcW w:type="dxa" w:w="4320"/>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GPU headroom protected for rendering and client variance.</w:t>
            </w:r>
          </w:p>
        </w:tc>
        <w:tc>
          <w:tcPr>
            <w:tcW w:type="dxa" w:w="3816"/>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OrbisResourceScheduler; initially retain current 512 MiB reserve.</w:t>
            </w:r>
          </w:p>
        </w:tc>
      </w:tr>
    </w:tbl>
    <w:p>
      <w:pPr>
        <w:spacing w:after="0"/>
      </w:pPr>
    </w:p>
    <w:p>
      <w:pPr>
        <w:pStyle w:val="ListBullet"/>
        <w:spacing w:after="30" w:line="240" w:lineRule="auto"/>
      </w:pPr>
      <w:r>
        <w:rPr>
          <w:rFonts w:ascii="Arial" w:hAnsi="Arial" w:eastAsia="Arial"/>
          <w:color w:val="1D2730"/>
          <w:sz w:val="19"/>
        </w:rPr>
        <w:t>`llama_model_size` reports tensor bytes, not total process or VRAM residency; trace both separately. [S2]</w:t>
      </w:r>
    </w:p>
    <w:p>
      <w:pPr>
        <w:pStyle w:val="ListBullet"/>
        <w:spacing w:after="30" w:line="240" w:lineRule="auto"/>
      </w:pPr>
      <w:r>
        <w:rPr>
          <w:rFonts w:ascii="Arial" w:hAnsi="Arial" w:eastAsia="Arial"/>
          <w:color w:val="1D2730"/>
          <w:sz w:val="19"/>
        </w:rPr>
        <w:t>On CUDA builds, collect `cudaMemGetInfo` before/after load, context creation, prefill, generation, context sleep and unload. If unavailable, report UNKNOWN rather than infer.</w:t>
      </w:r>
    </w:p>
    <w:p>
      <w:pPr>
        <w:pStyle w:val="ListBullet"/>
        <w:spacing w:after="30" w:line="240" w:lineRule="auto"/>
      </w:pPr>
      <w:r>
        <w:rPr>
          <w:rFonts w:ascii="Arial" w:hAnsi="Arial" w:eastAsia="Arial"/>
          <w:color w:val="1D2730"/>
          <w:sz w:val="19"/>
        </w:rPr>
        <w:t>Report process RSS/private working set and backend device identity. Do not depend on WDDM per-process VRAM being available.</w:t>
      </w:r>
    </w:p>
    <w:p>
      <w:pPr>
        <w:pStyle w:val="Heading2"/>
        <w:keepNext/>
      </w:pPr>
      <w:r>
        <w:t>12.2 Model, context and request lifetimes</w:t>
      </w:r>
    </w:p>
    <w:p>
      <w:pPr>
        <w:pStyle w:val="ListBullet"/>
        <w:spacing w:after="30" w:line="240" w:lineRule="auto"/>
      </w:pPr>
      <w:r>
        <w:rPr>
          <w:rFonts w:ascii="Arial" w:hAnsi="Arial" w:eastAsia="Arial"/>
          <w:color w:val="1D2730"/>
          <w:sz w:val="19"/>
        </w:rPr>
        <w:t>Weights may remain resident while the context is destroyed/recreated to free KV/context memory (`SLEEP_CONTEXT`). Full model unload is a separate, more expensive action.</w:t>
      </w:r>
    </w:p>
    <w:p>
      <w:pPr>
        <w:pStyle w:val="ListBullet"/>
        <w:spacing w:after="30" w:line="240" w:lineRule="auto"/>
      </w:pPr>
      <w:r>
        <w:rPr>
          <w:rFonts w:ascii="Arial" w:hAnsi="Arial" w:eastAsia="Arial"/>
          <w:color w:val="1D2730"/>
          <w:sz w:val="19"/>
        </w:rPr>
        <w:t>Use libllama context/memory APIs only behind an Orbis-owned context epoch. Clear/remove sequence state on terminal requests and reject cache reuse across incompatible epochs. [S2]</w:t>
      </w:r>
    </w:p>
    <w:p>
      <w:pPr>
        <w:pStyle w:val="ListBullet"/>
        <w:spacing w:after="30" w:line="240" w:lineRule="auto"/>
      </w:pPr>
      <w:r>
        <w:rPr>
          <w:rFonts w:ascii="Arial" w:hAnsi="Arial" w:eastAsia="Arial"/>
          <w:color w:val="1D2730"/>
          <w:sz w:val="19"/>
        </w:rPr>
        <w:t>The sidecar never unloads or sleeps itself because it observes pressure. Orbis issues explicit commands after resource admission/reclaim decisions.</w:t>
      </w:r>
    </w:p>
    <w:p>
      <w:pPr>
        <w:pStyle w:val="ListBullet"/>
        <w:spacing w:after="30" w:line="240" w:lineRule="auto"/>
      </w:pPr>
      <w:r>
        <w:rPr>
          <w:rFonts w:ascii="Arial" w:hAnsi="Arial" w:eastAsia="Arial"/>
          <w:color w:val="1D2730"/>
          <w:sz w:val="19"/>
        </w:rPr>
        <w:t>Prevent Nemotron/Chatterbox ping-pong: the scheduler chooses a measured steady-state residency plan and uses context sleep before full weight unload where that is sufficient.</w:t>
      </w:r>
    </w:p>
    <w:p>
      <w:pPr>
        <w:pStyle w:val="Heading2"/>
        <w:keepNext/>
      </w:pPr>
      <w:r>
        <w:t>12.3 Admission and runtime profiles</w:t>
      </w:r>
    </w:p>
    <w:p>
      <w:pPr>
        <w:pStyle w:val="ListBullet"/>
        <w:spacing w:after="30" w:line="240" w:lineRule="auto"/>
      </w:pPr>
      <w:r>
        <w:rPr>
          <w:rFonts w:ascii="Arial" w:hAnsi="Arial" w:eastAsia="Arial"/>
          <w:color w:val="1D2730"/>
          <w:sz w:val="19"/>
        </w:rPr>
        <w:t>OrbisResourceScheduler evaluates measured resident memory, incremental prefill/decode need, Chatterbox need and Hytale reserve before GENERATE.</w:t>
      </w:r>
    </w:p>
    <w:p>
      <w:pPr>
        <w:pStyle w:val="ListBullet"/>
        <w:spacing w:after="30" w:line="240" w:lineRule="auto"/>
      </w:pPr>
      <w:r>
        <w:rPr>
          <w:rFonts w:ascii="Arial" w:hAnsi="Arial" w:eastAsia="Arial"/>
          <w:color w:val="1D2730"/>
          <w:sz w:val="19"/>
        </w:rPr>
        <w:t>The sidecar returns a capability/resource descriptor for the current profile but cannot override admission.</w:t>
      </w:r>
    </w:p>
    <w:p>
      <w:pPr>
        <w:pStyle w:val="ListBullet"/>
        <w:spacing w:after="30" w:line="240" w:lineRule="auto"/>
      </w:pPr>
      <w:r>
        <w:rPr>
          <w:rFonts w:ascii="Arial" w:hAnsi="Arial" w:eastAsia="Arial"/>
          <w:color w:val="1D2730"/>
          <w:sz w:val="19"/>
        </w:rPr>
        <w:t>Changing GPU layers requires a bounded model reload and is never performed inside an active turn.</w:t>
      </w:r>
    </w:p>
    <w:p>
      <w:pPr>
        <w:pStyle w:val="ListBullet"/>
        <w:spacing w:after="30" w:line="240" w:lineRule="auto"/>
      </w:pPr>
      <w:r>
        <w:rPr>
          <w:rFonts w:ascii="Arial" w:hAnsi="Arial" w:eastAsia="Arial"/>
          <w:color w:val="1D2730"/>
          <w:sz w:val="19"/>
        </w:rPr>
        <w:t>A resource-starved request follows existing bounded reclaim/timeout behavior. Do not force the sidecar into VRAM emergency.</w:t>
      </w:r>
    </w:p>
    <w:p>
      <w:pPr>
        <w:pStyle w:val="ListBullet"/>
        <w:spacing w:after="30" w:line="240" w:lineRule="auto"/>
      </w:pPr>
      <w:r>
        <w:rPr>
          <w:rFonts w:ascii="Arial" w:hAnsi="Arial" w:eastAsia="Arial"/>
          <w:color w:val="1D2730"/>
          <w:sz w:val="19"/>
        </w:rPr>
        <w:t>Warmup during world loading remains asynchronous and READY requires fresh safe telemetry samples under the current Hytale workload.</w:t>
      </w:r>
    </w:p>
    <w:p>
      <w:pPr>
        <w:pStyle w:val="Heading1"/>
        <w:keepNext/>
      </w:pPr>
      <w:r>
        <w:t>13. Performance Optimization Plan</w:t>
      </w:r>
    </w:p>
    <w:p>
      <w:pPr>
        <w:pStyle w:val="Heading2"/>
        <w:keepNext/>
      </w:pPr>
      <w:r>
        <w:t>13.1 Baseline parity first</w:t>
      </w:r>
    </w:p>
    <w:p>
      <w:pPr>
        <w:pStyle w:val="ListBullet"/>
        <w:spacing w:after="30" w:line="240" w:lineRule="auto"/>
      </w:pPr>
      <w:r>
        <w:rPr>
          <w:rFonts w:ascii="Arial" w:hAnsi="Arial" w:eastAsia="Arial"/>
          <w:color w:val="1D2730"/>
          <w:sz w:val="19"/>
        </w:rPr>
        <w:t>Phase 1 begins with the exact model file/hash, current Orbis BALANCED GPU-layer profile, context size, prompt/template, sampling, reasoning mode and output budgets used by Ollama.</w:t>
      </w:r>
    </w:p>
    <w:p>
      <w:pPr>
        <w:pStyle w:val="ListBullet"/>
        <w:spacing w:after="30" w:line="240" w:lineRule="auto"/>
      </w:pPr>
      <w:r>
        <w:rPr>
          <w:rFonts w:ascii="Arial" w:hAnsi="Arial" w:eastAsia="Arial"/>
          <w:color w:val="1D2730"/>
          <w:sz w:val="19"/>
        </w:rPr>
        <w:t>Compare rendered prompt token IDs/token counts before comparing inference performance.</w:t>
      </w:r>
    </w:p>
    <w:p>
      <w:pPr>
        <w:pStyle w:val="ListBullet"/>
        <w:spacing w:after="30" w:line="240" w:lineRule="auto"/>
      </w:pPr>
      <w:r>
        <w:rPr>
          <w:rFonts w:ascii="Arial" w:hAnsi="Arial" w:eastAsia="Arial"/>
          <w:color w:val="1D2730"/>
          <w:sz w:val="19"/>
        </w:rPr>
        <w:t>Disable new prefix caching, alternate KV types, speculative decoding and unrelated sampler changes until correctness and resource parity pass.</w:t>
      </w:r>
    </w:p>
    <w:p>
      <w:pPr>
        <w:pStyle w:val="Heading2"/>
        <w:keepNext/>
      </w:pPr>
      <w:r>
        <w:t>13.2 Bounded tuning matrix</w:t>
      </w:r>
    </w:p>
    <w:tbl>
      <w:tblPr>
        <w:tblW w:type="auto" w:w="0"/>
        <w:jc w:val="center"/>
        <w:tblLayout w:type="fixed"/>
        <w:tblLook w:firstColumn="1" w:firstRow="1" w:lastColumn="0" w:lastRow="0" w:noHBand="0" w:noVBand="1" w:val="04A0"/>
      </w:tblPr>
      <w:tblGrid>
        <w:gridCol w:w="2088"/>
        <w:gridCol w:w="4536"/>
        <w:gridCol w:w="3600"/>
      </w:tblGrid>
      <w:tr>
        <w:trPr>
          <w:tblHeader w:val="true"/>
        </w:trPr>
        <w:tc>
          <w:tcPr>
            <w:tcW w:type="dxa" w:w="2088"/>
            <w:shd w:fill="0E4856"/>
            <w:tcMar>
              <w:top w:w="55" w:type="dxa"/>
              <w:start w:w="60" w:type="dxa"/>
              <w:bottom w:w="55" w:type="dxa"/>
              <w:end w:w="60" w:type="dxa"/>
            </w:tcMar>
            <w:tcBorders>
              <w:top w:val="single" w:sz="6" w:color="9EB0B8"/>
              <w:left w:val="single" w:sz="6" w:color="9EB0B8"/>
              <w:bottom w:val="single" w:sz="6" w:color="9EB0B8"/>
              <w:right w:val="single" w:sz="6" w:color="9EB0B8"/>
            </w:tcBorders>
            <w:vAlign w:val="center"/>
          </w:tcPr>
          <w:p>
            <w:pPr>
              <w:spacing w:after="0"/>
            </w:pPr>
            <w:r>
              <w:rPr>
                <w:rFonts w:ascii="Arial" w:hAnsi="Arial" w:eastAsia="Arial"/>
                <w:b/>
                <w:color w:val="FFFFFF"/>
                <w:sz w:val="16"/>
              </w:rPr>
              <w:t>Knob</w:t>
            </w:r>
          </w:p>
        </w:tc>
        <w:tc>
          <w:tcPr>
            <w:tcW w:type="dxa" w:w="4536"/>
            <w:shd w:fill="0E4856"/>
            <w:tcMar>
              <w:top w:w="55" w:type="dxa"/>
              <w:start w:w="60" w:type="dxa"/>
              <w:bottom w:w="55" w:type="dxa"/>
              <w:end w:w="60" w:type="dxa"/>
            </w:tcMar>
            <w:tcBorders>
              <w:top w:val="single" w:sz="6" w:color="9EB0B8"/>
              <w:left w:val="single" w:sz="6" w:color="9EB0B8"/>
              <w:bottom w:val="single" w:sz="6" w:color="9EB0B8"/>
              <w:right w:val="single" w:sz="6" w:color="9EB0B8"/>
            </w:tcBorders>
            <w:vAlign w:val="center"/>
          </w:tcPr>
          <w:p>
            <w:pPr>
              <w:spacing w:after="0"/>
            </w:pPr>
            <w:r>
              <w:rPr>
                <w:rFonts w:ascii="Arial" w:hAnsi="Arial" w:eastAsia="Arial"/>
                <w:b/>
                <w:color w:val="FFFFFF"/>
                <w:sz w:val="16"/>
              </w:rPr>
              <w:t>Why it matters</w:t>
            </w:r>
          </w:p>
        </w:tc>
        <w:tc>
          <w:tcPr>
            <w:tcW w:type="dxa" w:w="3600"/>
            <w:shd w:fill="0E4856"/>
            <w:tcMar>
              <w:top w:w="55" w:type="dxa"/>
              <w:start w:w="60" w:type="dxa"/>
              <w:bottom w:w="55" w:type="dxa"/>
              <w:end w:w="60" w:type="dxa"/>
            </w:tcMar>
            <w:tcBorders>
              <w:top w:val="single" w:sz="6" w:color="9EB0B8"/>
              <w:left w:val="single" w:sz="6" w:color="9EB0B8"/>
              <w:bottom w:val="single" w:sz="6" w:color="9EB0B8"/>
              <w:right w:val="single" w:sz="6" w:color="9EB0B8"/>
            </w:tcBorders>
            <w:vAlign w:val="center"/>
          </w:tcPr>
          <w:p>
            <w:pPr>
              <w:spacing w:after="0"/>
            </w:pPr>
            <w:r>
              <w:rPr>
                <w:rFonts w:ascii="Arial" w:hAnsi="Arial" w:eastAsia="Arial"/>
                <w:b/>
                <w:color w:val="FFFFFF"/>
                <w:sz w:val="16"/>
              </w:rPr>
              <w:t>Rule</w:t>
            </w:r>
          </w:p>
        </w:tc>
      </w:tr>
      <w:tr>
        <w:tc>
          <w:tcPr>
            <w:tcW w:type="dxa" w:w="2088"/>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GPU layers</w:t>
            </w:r>
          </w:p>
        </w:tc>
        <w:tc>
          <w:tcPr>
            <w:tcW w:type="dxa" w:w="4536"/>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Balances Nemotron speed against Hytale/Chatterbox VRAM.</w:t>
            </w:r>
          </w:p>
        </w:tc>
        <w:tc>
          <w:tcPr>
            <w:tcW w:type="dxa" w:w="3600"/>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Test only a small neighborhood around the connected-safe profile.</w:t>
            </w:r>
          </w:p>
        </w:tc>
      </w:tr>
      <w:tr>
        <w:tc>
          <w:tcPr>
            <w:tcW w:type="dxa" w:w="2088"/>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n_ctx</w:t>
            </w:r>
          </w:p>
        </w:tc>
        <w:tc>
          <w:tcPr>
            <w:tcW w:type="dxa" w:w="4536"/>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Controls context/KV memory and maximum prompt.</w:t>
            </w:r>
          </w:p>
        </w:tc>
        <w:tc>
          <w:tcPr>
            <w:tcW w:type="dxa" w:w="3600"/>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Use Hardening Matrix route budgets; do not expose the model maximum by default.</w:t>
            </w:r>
          </w:p>
        </w:tc>
      </w:tr>
      <w:tr>
        <w:tc>
          <w:tcPr>
            <w:tcW w:type="dxa" w:w="2088"/>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n_batch / n_ubatch</w:t>
            </w:r>
          </w:p>
        </w:tc>
        <w:tc>
          <w:tcPr>
            <w:tcW w:type="dxa" w:w="4536"/>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Prompt throughput, temporary memory and cancel granularity.</w:t>
            </w:r>
          </w:p>
        </w:tc>
        <w:tc>
          <w:tcPr>
            <w:tcW w:type="dxa" w:w="3600"/>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Tune jointly with microbatch cancellation; never use a giant unbounded batch.</w:t>
            </w:r>
          </w:p>
        </w:tc>
      </w:tr>
      <w:tr>
        <w:tc>
          <w:tcPr>
            <w:tcW w:type="dxa" w:w="2088"/>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generation/batch threads</w:t>
            </w:r>
          </w:p>
        </w:tc>
        <w:tc>
          <w:tcPr>
            <w:tcW w:type="dxa" w:w="4536"/>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CPU prefill/generation cost and Hytale CPU contention.</w:t>
            </w:r>
          </w:p>
        </w:tc>
        <w:tc>
          <w:tcPr>
            <w:tcW w:type="dxa" w:w="3600"/>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Measure with server/client running.</w:t>
            </w:r>
          </w:p>
        </w:tc>
      </w:tr>
      <w:tr>
        <w:tc>
          <w:tcPr>
            <w:tcW w:type="dxa" w:w="2088"/>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Flash Attention</w:t>
            </w:r>
          </w:p>
        </w:tc>
        <w:tc>
          <w:tcPr>
            <w:tcW w:type="dxa" w:w="4536"/>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May affect speed/memory depending backend/model.</w:t>
            </w:r>
          </w:p>
        </w:tc>
        <w:tc>
          <w:tcPr>
            <w:tcW w:type="dxa" w:w="3600"/>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Retain only with connected benefit and no correctness regression.</w:t>
            </w:r>
          </w:p>
        </w:tc>
      </w:tr>
      <w:tr>
        <w:tc>
          <w:tcPr>
            <w:tcW w:type="dxa" w:w="2088"/>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KV types / KQV offload</w:t>
            </w:r>
          </w:p>
        </w:tc>
        <w:tc>
          <w:tcPr>
            <w:tcW w:type="dxa" w:w="4536"/>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Can reduce context memory or move pressure.</w:t>
            </w:r>
          </w:p>
        </w:tc>
        <w:tc>
          <w:tcPr>
            <w:tcW w:type="dxa" w:w="3600"/>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Treat experimental flags as benchmark candidates, not defaults.</w:t>
            </w:r>
          </w:p>
        </w:tc>
      </w:tr>
      <w:tr>
        <w:tc>
          <w:tcPr>
            <w:tcW w:type="dxa" w:w="2088"/>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load mode</w:t>
            </w:r>
          </w:p>
        </w:tc>
        <w:tc>
          <w:tcPr>
            <w:tcW w:type="dxa" w:w="4536"/>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Cold load and RAM/page-cache behavior.</w:t>
            </w:r>
          </w:p>
        </w:tc>
        <w:tc>
          <w:tcPr>
            <w:tcW w:type="dxa" w:w="3600"/>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Evaluate supported mmap/load modes on Windows; no gameplay-time experimentation.</w:t>
            </w:r>
          </w:p>
        </w:tc>
      </w:tr>
    </w:tbl>
    <w:p>
      <w:pPr>
        <w:spacing w:after="0"/>
      </w:pPr>
    </w:p>
    <w:p>
      <w:pPr>
        <w:pStyle w:val="Heading2"/>
        <w:keepNext/>
      </w:pPr>
      <w:r>
        <w:t>13.3 Prefix/context reuse</w:t>
      </w:r>
    </w:p>
    <w:p>
      <w:pPr>
        <w:spacing w:after="80"/>
      </w:pPr>
      <w:r>
        <w:rPr>
          <w:rFonts w:ascii="Arial" w:hAnsi="Arial" w:eastAsia="Arial"/>
          <w:i w:val="0"/>
          <w:color w:val="1D2730"/>
          <w:sz w:val="20"/>
        </w:rPr>
        <w:t>After baseline parity, OrbisLLM may cache a verified immutable prefix to reduce repeated system/profile prefill. Use libllama sequence/memory/state APIs rather than a second application-level dialogue history. [S2]</w:t>
      </w:r>
    </w:p>
    <w:p>
      <w:pPr>
        <w:pStyle w:val="ListBullet"/>
        <w:spacing w:after="30" w:line="240" w:lineRule="auto"/>
      </w:pPr>
      <w:r>
        <w:rPr>
          <w:rFonts w:ascii="Arial" w:hAnsi="Arial" w:eastAsia="Arial"/>
          <w:color w:val="1D2730"/>
          <w:sz w:val="19"/>
        </w:rPr>
        <w:t>Cache key includes model hash, runtime commit, template hash, runtime profile, reasoning mode, output contract, static-context epoch and exact token hash.</w:t>
      </w:r>
    </w:p>
    <w:p>
      <w:pPr>
        <w:pStyle w:val="ListBullet"/>
        <w:spacing w:after="30" w:line="240" w:lineRule="auto"/>
      </w:pPr>
      <w:r>
        <w:rPr>
          <w:rFonts w:ascii="Arial" w:hAnsi="Arial" w:eastAsia="Arial"/>
          <w:color w:val="1D2730"/>
          <w:sz w:val="19"/>
        </w:rPr>
        <w:t>Cache only immutable static prefixes. Current player text, recent dialogue, dynamic memory/world/task evidence and branch data are appended per request.</w:t>
      </w:r>
    </w:p>
    <w:p>
      <w:pPr>
        <w:pStyle w:val="ListBullet"/>
        <w:spacing w:after="30" w:line="240" w:lineRule="auto"/>
      </w:pPr>
      <w:r>
        <w:rPr>
          <w:rFonts w:ascii="Arial" w:hAnsi="Arial" w:eastAsia="Arial"/>
          <w:color w:val="1D2730"/>
          <w:sz w:val="19"/>
        </w:rPr>
        <w:t>Invalidate on profile/persona/relationship/context-contract revision or any mismatch.</w:t>
      </w:r>
    </w:p>
    <w:p>
      <w:pPr>
        <w:pStyle w:val="ListBullet"/>
        <w:spacing w:after="30" w:line="240" w:lineRule="auto"/>
      </w:pPr>
      <w:r>
        <w:rPr>
          <w:rFonts w:ascii="Arial" w:hAnsi="Arial" w:eastAsia="Arial"/>
          <w:color w:val="1D2730"/>
          <w:sz w:val="19"/>
        </w:rPr>
        <w:t>Disable reuse for strict structured output until deterministic grammar/contract tests prove parity.</w:t>
      </w:r>
    </w:p>
    <w:p>
      <w:pPr>
        <w:pStyle w:val="ListBullet"/>
        <w:spacing w:after="30" w:line="240" w:lineRule="auto"/>
      </w:pPr>
      <w:r>
        <w:rPr>
          <w:rFonts w:ascii="Arial" w:hAnsi="Arial" w:eastAsia="Arial"/>
          <w:color w:val="1D2730"/>
          <w:sz w:val="19"/>
        </w:rPr>
        <w:t>Trace cache hit, reused token count, invalidation reason and prefill savings.</w:t>
      </w:r>
    </w:p>
    <w:p>
      <w:pPr>
        <w:pStyle w:val="Heading2"/>
        <w:keepNext/>
      </w:pPr>
      <w:r>
        <w:t>13.4 Deferred optimizations</w:t>
      </w:r>
    </w:p>
    <w:p>
      <w:pPr>
        <w:pStyle w:val="ListBullet"/>
        <w:spacing w:after="30" w:line="240" w:lineRule="auto"/>
      </w:pPr>
      <w:r>
        <w:rPr>
          <w:rFonts w:ascii="Arial" w:hAnsi="Arial" w:eastAsia="Arial"/>
          <w:color w:val="1D2730"/>
          <w:sz w:val="19"/>
        </w:rPr>
        <w:t>No speculative decoding in v1; it adds another model/context and complicates the 12 GB resource budget.</w:t>
      </w:r>
    </w:p>
    <w:p>
      <w:pPr>
        <w:pStyle w:val="ListBullet"/>
        <w:spacing w:after="30" w:line="240" w:lineRule="auto"/>
      </w:pPr>
      <w:r>
        <w:rPr>
          <w:rFonts w:ascii="Arial" w:hAnsi="Arial" w:eastAsia="Arial"/>
          <w:color w:val="1D2730"/>
          <w:sz w:val="19"/>
        </w:rPr>
        <w:t>No multiple parallel slots/contexts in v1; Orbis prioritization and cancellation are more important than throughput.</w:t>
      </w:r>
    </w:p>
    <w:p>
      <w:pPr>
        <w:pStyle w:val="ListBullet"/>
        <w:spacing w:after="30" w:line="240" w:lineRule="auto"/>
      </w:pPr>
      <w:r>
        <w:rPr>
          <w:rFonts w:ascii="Arial" w:hAnsi="Arial" w:eastAsia="Arial"/>
          <w:color w:val="1D2730"/>
          <w:sz w:val="19"/>
        </w:rPr>
        <w:t>No custom CUDA kernels or deep llama.cpp fork unless profiling later proves a specific upstream bottleneck and a small patch has a clear maintenance case.</w:t>
      </w:r>
    </w:p>
    <w:p>
      <w:pPr>
        <w:pStyle w:val="Heading1"/>
        <w:keepNext/>
      </w:pPr>
      <w:r>
        <w:t>14. Failure Handling and Recovery</w:t>
      </w:r>
    </w:p>
    <w:tbl>
      <w:tblPr>
        <w:tblW w:type="auto" w:w="0"/>
        <w:jc w:val="center"/>
        <w:tblLayout w:type="fixed"/>
        <w:tblLook w:firstColumn="1" w:firstRow="1" w:lastColumn="0" w:lastRow="0" w:noHBand="0" w:noVBand="1" w:val="04A0"/>
      </w:tblPr>
      <w:tblGrid>
        <w:gridCol w:w="3096"/>
        <w:gridCol w:w="7128"/>
      </w:tblGrid>
      <w:tr>
        <w:trPr>
          <w:tblHeader w:val="true"/>
        </w:trPr>
        <w:tc>
          <w:tcPr>
            <w:tcW w:type="dxa" w:w="3096"/>
            <w:shd w:fill="0E4856"/>
            <w:tcMar>
              <w:top w:w="55" w:type="dxa"/>
              <w:start w:w="60" w:type="dxa"/>
              <w:bottom w:w="55" w:type="dxa"/>
              <w:end w:w="60" w:type="dxa"/>
            </w:tcMar>
            <w:tcBorders>
              <w:top w:val="single" w:sz="6" w:color="9EB0B8"/>
              <w:left w:val="single" w:sz="6" w:color="9EB0B8"/>
              <w:bottom w:val="single" w:sz="6" w:color="9EB0B8"/>
              <w:right w:val="single" w:sz="6" w:color="9EB0B8"/>
            </w:tcBorders>
            <w:vAlign w:val="center"/>
          </w:tcPr>
          <w:p>
            <w:pPr>
              <w:spacing w:after="0"/>
            </w:pPr>
            <w:r>
              <w:rPr>
                <w:rFonts w:ascii="Arial" w:hAnsi="Arial" w:eastAsia="Arial"/>
                <w:b/>
                <w:color w:val="FFFFFF"/>
                <w:sz w:val="16"/>
              </w:rPr>
              <w:t>Failure</w:t>
            </w:r>
          </w:p>
        </w:tc>
        <w:tc>
          <w:tcPr>
            <w:tcW w:type="dxa" w:w="7128"/>
            <w:shd w:fill="0E4856"/>
            <w:tcMar>
              <w:top w:w="55" w:type="dxa"/>
              <w:start w:w="60" w:type="dxa"/>
              <w:bottom w:w="55" w:type="dxa"/>
              <w:end w:w="60" w:type="dxa"/>
            </w:tcMar>
            <w:tcBorders>
              <w:top w:val="single" w:sz="6" w:color="9EB0B8"/>
              <w:left w:val="single" w:sz="6" w:color="9EB0B8"/>
              <w:bottom w:val="single" w:sz="6" w:color="9EB0B8"/>
              <w:right w:val="single" w:sz="6" w:color="9EB0B8"/>
            </w:tcBorders>
            <w:vAlign w:val="center"/>
          </w:tcPr>
          <w:p>
            <w:pPr>
              <w:spacing w:after="0"/>
            </w:pPr>
            <w:r>
              <w:rPr>
                <w:rFonts w:ascii="Arial" w:hAnsi="Arial" w:eastAsia="Arial"/>
                <w:b/>
                <w:color w:val="FFFFFF"/>
                <w:sz w:val="16"/>
              </w:rPr>
              <w:t>Required behavior</w:t>
            </w:r>
          </w:p>
        </w:tc>
      </w:tr>
      <w:tr>
        <w:tc>
          <w:tcPr>
            <w:tcW w:type="dxa" w:w="3096"/>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Runtime missing/hash mismatch</w:t>
            </w:r>
          </w:p>
        </w:tc>
        <w:tc>
          <w:tcPr>
            <w:tcW w:type="dxa" w:w="7128"/>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Provider UNAVAILABLE; offer operator install/repair. No arbitrary binary execution.</w:t>
            </w:r>
          </w:p>
        </w:tc>
      </w:tr>
      <w:tr>
        <w:tc>
          <w:tcPr>
            <w:tcW w:type="dxa" w:w="3096"/>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Protocol/version mismatch</w:t>
            </w:r>
          </w:p>
        </w:tc>
        <w:tc>
          <w:tcPr>
            <w:tcW w:type="dxa" w:w="7128"/>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Reject handshake, terminate process, retain Ollama for future turns during migration.</w:t>
            </w:r>
          </w:p>
        </w:tc>
      </w:tr>
      <w:tr>
        <w:tc>
          <w:tcPr>
            <w:tcW w:type="dxa" w:w="3096"/>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Model missing/hash/license failure</w:t>
            </w:r>
          </w:p>
        </w:tc>
        <w:tc>
          <w:tcPr>
            <w:tcW w:type="dxa" w:w="7128"/>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Do not load; explicit model-manager status.</w:t>
            </w:r>
          </w:p>
        </w:tc>
      </w:tr>
      <w:tr>
        <w:tc>
          <w:tcPr>
            <w:tcW w:type="dxa" w:w="3096"/>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Model load OOM/CUDA failure</w:t>
            </w:r>
          </w:p>
        </w:tc>
        <w:tc>
          <w:tcPr>
            <w:tcW w:type="dxa" w:w="7128"/>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Fail load, capture measurements, optionally retry one lower approved profile for future readiness; no active-turn silent switch.</w:t>
            </w:r>
          </w:p>
        </w:tc>
      </w:tr>
      <w:tr>
        <w:tc>
          <w:tcPr>
            <w:tcW w:type="dxa" w:w="3096"/>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Invalid prompt/template/contract ID</w:t>
            </w:r>
          </w:p>
        </w:tc>
        <w:tc>
          <w:tcPr>
            <w:tcW w:type="dxa" w:w="7128"/>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Reject before decode as PLAN/PROTOCOL incompatibility.</w:t>
            </w:r>
          </w:p>
        </w:tc>
      </w:tr>
      <w:tr>
        <w:tc>
          <w:tcPr>
            <w:tcW w:type="dxa" w:w="3096"/>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Grammar initialization failure</w:t>
            </w:r>
          </w:p>
        </w:tc>
        <w:tc>
          <w:tcPr>
            <w:tcW w:type="dxa" w:w="7128"/>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Fail structured request; restart process if grammar subsystem integrity is uncertain.</w:t>
            </w:r>
          </w:p>
        </w:tc>
      </w:tr>
      <w:tr>
        <w:tc>
          <w:tcPr>
            <w:tcW w:type="dxa" w:w="3096"/>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Request timeout</w:t>
            </w:r>
          </w:p>
        </w:tc>
        <w:tc>
          <w:tcPr>
            <w:tcW w:type="dxa" w:w="7128"/>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Issue cancel; if not acknowledged, apply cancel-stall restart policy.</w:t>
            </w:r>
          </w:p>
        </w:tc>
      </w:tr>
      <w:tr>
        <w:tc>
          <w:tcPr>
            <w:tcW w:type="dxa" w:w="3096"/>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Sidecar crash/EOF</w:t>
            </w:r>
          </w:p>
        </w:tc>
        <w:tc>
          <w:tcPr>
            <w:tcW w:type="dxa" w:w="7128"/>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Fail active request, invalidate process generation, release scheduler state exactly once, apply circuit breaker and restart asynchronously.</w:t>
            </w:r>
          </w:p>
        </w:tc>
      </w:tr>
      <w:tr>
        <w:tc>
          <w:tcPr>
            <w:tcW w:type="dxa" w:w="3096"/>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Malformed/out-of-order IPC</w:t>
            </w:r>
          </w:p>
        </w:tc>
        <w:tc>
          <w:tcPr>
            <w:tcW w:type="dxa" w:w="7128"/>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Reject affected stream; restart when event order cannot be trusted.</w:t>
            </w:r>
          </w:p>
        </w:tc>
      </w:tr>
      <w:tr>
        <w:tc>
          <w:tcPr>
            <w:tcW w:type="dxa" w:w="3096"/>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Resource pressure</w:t>
            </w:r>
          </w:p>
        </w:tc>
        <w:tc>
          <w:tcPr>
            <w:tcW w:type="dxa" w:w="7128"/>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Orbis denies/queues, sleeps context or unloads model through explicit lifecycle; never self-evict in sidecar.</w:t>
            </w:r>
          </w:p>
        </w:tc>
      </w:tr>
      <w:tr>
        <w:tc>
          <w:tcPr>
            <w:tcW w:type="dxa" w:w="3096"/>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Structured truncation/invalid output</w:t>
            </w:r>
          </w:p>
        </w:tc>
        <w:tc>
          <w:tcPr>
            <w:tcW w:type="dxa" w:w="7128"/>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Return classified provider result to existing RecoverySupervisor; never execute partial output.</w:t>
            </w:r>
          </w:p>
        </w:tc>
      </w:tr>
    </w:tbl>
    <w:p>
      <w:pPr>
        <w:spacing w:after="0"/>
      </w:pPr>
    </w:p>
    <w:p>
      <w:pPr>
        <w:pStyle w:val="Heading2"/>
        <w:keepNext/>
      </w:pPr>
      <w:r>
        <w:t>14.1 Circuit breaker and rollback</w:t>
      </w:r>
    </w:p>
    <w:p>
      <w:pPr>
        <w:pStyle w:val="ListBullet"/>
        <w:spacing w:after="30" w:line="240" w:lineRule="auto"/>
      </w:pPr>
      <w:r>
        <w:rPr>
          <w:rFonts w:ascii="Arial" w:hAnsi="Arial" w:eastAsia="Arial"/>
          <w:color w:val="1D2730"/>
          <w:sz w:val="19"/>
        </w:rPr>
        <w:t>After repeated crashes/stalls within a bounded window, mark the llama.cpp provider unhealthy for future selection until operator reset or cooldown.</w:t>
      </w:r>
    </w:p>
    <w:p>
      <w:pPr>
        <w:pStyle w:val="ListBullet"/>
        <w:spacing w:after="30" w:line="240" w:lineRule="auto"/>
      </w:pPr>
      <w:r>
        <w:rPr>
          <w:rFonts w:ascii="Arial" w:hAnsi="Arial" w:eastAsia="Arial"/>
          <w:color w:val="1D2730"/>
          <w:sz w:val="19"/>
        </w:rPr>
        <w:t>During experimental/transition releases, future turns may use Ollama only through explicit provider policy and a new branch/epoch. The failed active turn is not silently repeated.</w:t>
      </w:r>
    </w:p>
    <w:p>
      <w:pPr>
        <w:pStyle w:val="ListBullet"/>
        <w:spacing w:after="30" w:line="240" w:lineRule="auto"/>
      </w:pPr>
      <w:r>
        <w:rPr>
          <w:rFonts w:ascii="Arial" w:hAnsi="Arial" w:eastAsia="Arial"/>
          <w:color w:val="1D2730"/>
          <w:sz w:val="19"/>
        </w:rPr>
        <w:t>Keep a last-known-good runtime manifest and production JAR rollback. Runtime auto-update is prohibited.</w:t>
      </w:r>
    </w:p>
    <w:p>
      <w:pPr>
        <w:pStyle w:val="Heading2"/>
        <w:keepNext/>
      </w:pPr>
      <w:r>
        <w:t>14.2 Runtime log</w:t>
      </w:r>
    </w:p>
    <w:p>
      <w:pPr>
        <w:pStyle w:val="ListBullet"/>
        <w:spacing w:after="30" w:line="240" w:lineRule="auto"/>
      </w:pPr>
      <w:r>
        <w:rPr>
          <w:rFonts w:ascii="Arial" w:hAnsi="Arial" w:eastAsia="Arial"/>
          <w:color w:val="1D2730"/>
          <w:sz w:val="19"/>
        </w:rPr>
        <w:t>Write a bounded rotating `orbisllm-runtime.log` for process startup, model load, backend errors, crashes, restarts and manifest state.</w:t>
      </w:r>
    </w:p>
    <w:p>
      <w:pPr>
        <w:pStyle w:val="ListBullet"/>
        <w:spacing w:after="30" w:line="240" w:lineRule="auto"/>
      </w:pPr>
      <w:r>
        <w:rPr>
          <w:rFonts w:ascii="Arial" w:hAnsi="Arial" w:eastAsia="Arial"/>
          <w:color w:val="1D2730"/>
          <w:sz w:val="19"/>
        </w:rPr>
        <w:t>Do not duplicate full per-turn trace, raw prompts, hidden reasoning, tokens or player audio into the runtime log by default.</w:t>
      </w:r>
    </w:p>
    <w:p>
      <w:pPr>
        <w:pStyle w:val="ListBullet"/>
        <w:spacing w:after="30" w:line="240" w:lineRule="auto"/>
      </w:pPr>
      <w:r>
        <w:rPr>
          <w:rFonts w:ascii="Arial" w:hAnsi="Arial" w:eastAsia="Arial"/>
          <w:color w:val="1D2730"/>
          <w:sz w:val="19"/>
        </w:rPr>
        <w:t>Every runtime log event carries process generation and requestId when applicable so it can be correlated with the existing NPC trace.</w:t>
      </w:r>
    </w:p>
    <w:p>
      <w:pPr>
        <w:pStyle w:val="Heading1"/>
        <w:keepNext/>
      </w:pPr>
      <w:r>
        <w:t>15. Packaging, Distribution, Licensing and Updates</w:t>
      </w:r>
    </w:p>
    <w:p>
      <w:pPr>
        <w:pStyle w:val="Heading2"/>
        <w:keepNext/>
      </w:pPr>
      <w:r>
        <w:t>15.1 Distribution layout</w:t>
      </w:r>
    </w:p>
    <w:p>
      <w:pPr>
        <w:pStyle w:val="CodeBlock"/>
        <w:keepLines/>
        <w:shd w:fill="EEF2F4"/>
      </w:pPr>
      <w:r>
        <w:rPr>
          <w:rFonts w:ascii="Consolas" w:hAnsi="Consolas" w:eastAsia="Consolas"/>
          <w:color w:val="1D2730"/>
          <w:sz w:val="17"/>
        </w:rPr>
        <w:t>ImmersiveNPCs.jar</w:t>
        <w:br/>
        <w:t>ImmersiveNPCs data root/</w:t>
        <w:br/>
        <w:t xml:space="preserve">  runtime/</w:t>
        <w:br/>
        <w:t xml:space="preserve">    manifests/orbisllm-windows-x64-cuda.json</w:t>
        <w:br/>
        <w:t xml:space="preserve">    windows-x64-cuda/OrbisLLM.exe</w:t>
        <w:br/>
        <w:t xml:space="preserve">    windows-x64-cuda/llama.dll</w:t>
        <w:br/>
        <w:t xml:space="preserve">    windows-x64-cuda/ggml*.dll</w:t>
        <w:br/>
        <w:t xml:space="preserve">    windows-x64-cpu/...</w:t>
        <w:br/>
        <w:t xml:space="preserve">    licenses/llama.cpp-MIT.txt</w:t>
        <w:br/>
        <w:t xml:space="preserve">  models/</w:t>
        <w:br/>
        <w:t xml:space="preserve">    nemotron-3-nano-4b-q4_k_m.gguf</w:t>
        <w:br/>
        <w:t xml:space="preserve">    nemotron-3-nano-4b-q4_k_m.manifest.json</w:t>
        <w:br/>
        <w:t xml:space="preserve">  logs/orbisllm-runtime.log</w:t>
      </w:r>
    </w:p>
    <w:p>
      <w:pPr>
        <w:pStyle w:val="ListBullet"/>
        <w:spacing w:after="30" w:line="240" w:lineRule="auto"/>
      </w:pPr>
      <w:r>
        <w:rPr>
          <w:rFonts w:ascii="Arial" w:hAnsi="Arial" w:eastAsia="Arial"/>
          <w:color w:val="1D2730"/>
          <w:sz w:val="19"/>
        </w:rPr>
        <w:t>Exact filenames/DLL set come from the pinned build; the manifest lists every shipped file and SHA-256.</w:t>
      </w:r>
    </w:p>
    <w:p>
      <w:pPr>
        <w:pStyle w:val="ListBullet"/>
        <w:spacing w:after="30" w:line="240" w:lineRule="auto"/>
      </w:pPr>
      <w:r>
        <w:rPr>
          <w:rFonts w:ascii="Arial" w:hAnsi="Arial" w:eastAsia="Arial"/>
          <w:color w:val="1D2730"/>
          <w:sz w:val="19"/>
        </w:rPr>
        <w:t>Prefer a CUDA runtime build plus CPU fallback. Select at startup from detected capabilities and verified manifest, not by downloading arbitrary executables.</w:t>
      </w:r>
    </w:p>
    <w:p>
      <w:pPr>
        <w:pStyle w:val="ListBullet"/>
        <w:spacing w:after="30" w:line="240" w:lineRule="auto"/>
      </w:pPr>
      <w:r>
        <w:rPr>
          <w:rFonts w:ascii="Arial" w:hAnsi="Arial" w:eastAsia="Arial"/>
          <w:color w:val="1D2730"/>
          <w:sz w:val="19"/>
        </w:rPr>
        <w:t>The model manager downloads the official approved GGUF only after explicit operator consent/license acknowledgement, to a temporary file, verifies hash, then atomically moves it into place.</w:t>
      </w:r>
    </w:p>
    <w:p>
      <w:pPr>
        <w:pStyle w:val="ListBullet"/>
        <w:spacing w:after="30" w:line="240" w:lineRule="auto"/>
      </w:pPr>
      <w:r>
        <w:rPr>
          <w:rFonts w:ascii="Arial" w:hAnsi="Arial" w:eastAsia="Arial"/>
          <w:color w:val="1D2730"/>
          <w:sz w:val="19"/>
        </w:rPr>
        <w:t>Never download model/runtime assets during Hytale world loading. Installation/repair is an operator workflow outside active gameplay.</w:t>
      </w:r>
    </w:p>
    <w:p>
      <w:pPr>
        <w:pStyle w:val="ListBullet"/>
        <w:spacing w:after="30" w:line="240" w:lineRule="auto"/>
      </w:pPr>
      <w:r>
        <w:rPr>
          <w:rFonts w:ascii="Arial" w:hAnsi="Arial" w:eastAsia="Arial"/>
          <w:color w:val="1D2730"/>
          <w:sz w:val="19"/>
        </w:rPr>
        <w:t>Support an advanced operator-provided model path only when the exact model identity/metadata/hash is approved; otherwise mark unsupported.</w:t>
      </w:r>
    </w:p>
    <w:p>
      <w:pPr>
        <w:pStyle w:val="Heading2"/>
        <w:keepNext/>
      </w:pPr>
      <w:r>
        <w:t>15.2 Licensing</w:t>
      </w:r>
    </w:p>
    <w:p>
      <w:pPr>
        <w:pStyle w:val="ListBullet"/>
        <w:spacing w:after="30" w:line="240" w:lineRule="auto"/>
      </w:pPr>
      <w:r>
        <w:rPr>
          <w:rFonts w:ascii="Arial" w:hAnsi="Arial" w:eastAsia="Arial"/>
          <w:color w:val="1D2730"/>
          <w:sz w:val="19"/>
        </w:rPr>
        <w:t>llama.cpp is MIT licensed; ship the required notice and preserve the pinned source/commit attribution. [S1][S4]</w:t>
      </w:r>
    </w:p>
    <w:p>
      <w:pPr>
        <w:pStyle w:val="ListBullet"/>
        <w:spacing w:after="30" w:line="240" w:lineRule="auto"/>
      </w:pPr>
      <w:r>
        <w:rPr>
          <w:rFonts w:ascii="Arial" w:hAnsi="Arial" w:eastAsia="Arial"/>
          <w:color w:val="1D2730"/>
          <w:sz w:val="19"/>
        </w:rPr>
        <w:t>Nemotron weights remain governed by the NVIDIA Nemotron Open Model License. Present/store the applicable terms and do not imply the model is part of the mod code license. [S5]</w:t>
      </w:r>
    </w:p>
    <w:p>
      <w:pPr>
        <w:pStyle w:val="ListBullet"/>
        <w:spacing w:after="30" w:line="240" w:lineRule="auto"/>
      </w:pPr>
      <w:r>
        <w:rPr>
          <w:rFonts w:ascii="Arial" w:hAnsi="Arial" w:eastAsia="Arial"/>
          <w:color w:val="1D2730"/>
          <w:sz w:val="19"/>
        </w:rPr>
        <w:t>Review redistribution terms for CUDA/runtime DLLs before public packaging. If redistribution is not permitted or desirable, use a documented local prerequisite/installer path rather than silently copying system files.</w:t>
      </w:r>
    </w:p>
    <w:p>
      <w:pPr>
        <w:pStyle w:val="Heading2"/>
        <w:keepNext/>
      </w:pPr>
      <w:r>
        <w:t>15.3 Updates</w:t>
      </w:r>
    </w:p>
    <w:p>
      <w:pPr>
        <w:pStyle w:val="ListBullet"/>
        <w:spacing w:after="30" w:line="240" w:lineRule="auto"/>
      </w:pPr>
      <w:r>
        <w:rPr>
          <w:rFonts w:ascii="Arial" w:hAnsi="Arial" w:eastAsia="Arial"/>
          <w:color w:val="1D2730"/>
          <w:sz w:val="19"/>
        </w:rPr>
        <w:t>No automatic llama.cpp/model update. Each new runtime/model revision is a candidate with its own manifest, matrix tests and connected A/B report.</w:t>
      </w:r>
    </w:p>
    <w:p>
      <w:pPr>
        <w:pStyle w:val="ListBullet"/>
        <w:spacing w:after="30" w:line="240" w:lineRule="auto"/>
      </w:pPr>
      <w:r>
        <w:rPr>
          <w:rFonts w:ascii="Arial" w:hAnsi="Arial" w:eastAsia="Arial"/>
          <w:color w:val="1D2730"/>
          <w:sz w:val="19"/>
        </w:rPr>
        <w:t>Runtime and model can be rolled back independently from the JAR when protocol compatibility permits; manifests record supported ranges.</w:t>
      </w:r>
    </w:p>
    <w:p>
      <w:pPr>
        <w:pStyle w:val="ListBullet"/>
        <w:spacing w:after="30" w:line="240" w:lineRule="auto"/>
      </w:pPr>
      <w:r>
        <w:rPr>
          <w:rFonts w:ascii="Arial" w:hAnsi="Arial" w:eastAsia="Arial"/>
          <w:color w:val="1D2730"/>
          <w:sz w:val="19"/>
        </w:rPr>
        <w:t>A protocol major mismatch requires coordinated JAR/runtime update and refuses startup safely.</w:t>
      </w:r>
    </w:p>
    <w:p>
      <w:pPr>
        <w:pStyle w:val="Heading1"/>
        <w:keepNext/>
      </w:pPr>
      <w:r>
        <w:t>16. Native Hytale UI, Trace and Runtime Logs</w:t>
      </w:r>
    </w:p>
    <w:p>
      <w:pPr>
        <w:spacing w:after="80"/>
      </w:pPr>
      <w:r>
        <w:rPr>
          <w:rFonts w:ascii="Arial" w:hAnsi="Arial" w:eastAsia="Arial"/>
          <w:i w:val="0"/>
          <w:color w:val="1D2730"/>
          <w:sz w:val="20"/>
        </w:rPr>
        <w:t>Extend only the existing native Cognition Inspector and compact NPC trace. No browser dashboard or generic sidecar UI.</w:t>
      </w:r>
    </w:p>
    <w:p>
      <w:pPr>
        <w:pStyle w:val="Heading2"/>
        <w:keepNext/>
      </w:pPr>
      <w:r>
        <w:t>16.1 Inspector fields and controls</w:t>
      </w:r>
    </w:p>
    <w:tbl>
      <w:tblPr>
        <w:tblW w:type="auto" w:w="0"/>
        <w:jc w:val="center"/>
        <w:tblLayout w:type="fixed"/>
        <w:tblLook w:firstColumn="1" w:firstRow="1" w:lastColumn="0" w:lastRow="0" w:noHBand="0" w:noVBand="1" w:val="04A0"/>
      </w:tblPr>
      <w:tblGrid>
        <w:gridCol w:w="2088"/>
        <w:gridCol w:w="8136"/>
      </w:tblGrid>
      <w:tr>
        <w:trPr>
          <w:tblHeader w:val="true"/>
        </w:trPr>
        <w:tc>
          <w:tcPr>
            <w:tcW w:type="dxa" w:w="2088"/>
            <w:shd w:fill="0E4856"/>
            <w:tcMar>
              <w:top w:w="55" w:type="dxa"/>
              <w:start w:w="60" w:type="dxa"/>
              <w:bottom w:w="55" w:type="dxa"/>
              <w:end w:w="60" w:type="dxa"/>
            </w:tcMar>
            <w:tcBorders>
              <w:top w:val="single" w:sz="6" w:color="9EB0B8"/>
              <w:left w:val="single" w:sz="6" w:color="9EB0B8"/>
              <w:bottom w:val="single" w:sz="6" w:color="9EB0B8"/>
              <w:right w:val="single" w:sz="6" w:color="9EB0B8"/>
            </w:tcBorders>
            <w:vAlign w:val="center"/>
          </w:tcPr>
          <w:p>
            <w:pPr>
              <w:spacing w:after="0"/>
            </w:pPr>
            <w:r>
              <w:rPr>
                <w:rFonts w:ascii="Arial" w:hAnsi="Arial" w:eastAsia="Arial"/>
                <w:b/>
                <w:color w:val="FFFFFF"/>
                <w:sz w:val="16"/>
              </w:rPr>
              <w:t>Section</w:t>
            </w:r>
          </w:p>
        </w:tc>
        <w:tc>
          <w:tcPr>
            <w:tcW w:type="dxa" w:w="8136"/>
            <w:shd w:fill="0E4856"/>
            <w:tcMar>
              <w:top w:w="55" w:type="dxa"/>
              <w:start w:w="60" w:type="dxa"/>
              <w:bottom w:w="55" w:type="dxa"/>
              <w:end w:w="60" w:type="dxa"/>
            </w:tcMar>
            <w:tcBorders>
              <w:top w:val="single" w:sz="6" w:color="9EB0B8"/>
              <w:left w:val="single" w:sz="6" w:color="9EB0B8"/>
              <w:bottom w:val="single" w:sz="6" w:color="9EB0B8"/>
              <w:right w:val="single" w:sz="6" w:color="9EB0B8"/>
            </w:tcBorders>
            <w:vAlign w:val="center"/>
          </w:tcPr>
          <w:p>
            <w:pPr>
              <w:spacing w:after="0"/>
            </w:pPr>
            <w:r>
              <w:rPr>
                <w:rFonts w:ascii="Arial" w:hAnsi="Arial" w:eastAsia="Arial"/>
                <w:b/>
                <w:color w:val="FFFFFF"/>
                <w:sz w:val="16"/>
              </w:rPr>
              <w:t>Fields / controls</w:t>
            </w:r>
          </w:p>
        </w:tc>
      </w:tr>
      <w:tr>
        <w:tc>
          <w:tcPr>
            <w:tcW w:type="dxa" w:w="2088"/>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Provider</w:t>
            </w:r>
          </w:p>
        </w:tc>
        <w:tc>
          <w:tcPr>
            <w:tcW w:type="dxa" w:w="8136"/>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Selected provider; Ollama/llama.cpp availability; branch-pinned active provider; future-turn selector.</w:t>
            </w:r>
          </w:p>
        </w:tc>
      </w:tr>
      <w:tr>
        <w:tc>
          <w:tcPr>
            <w:tcW w:type="dxa" w:w="2088"/>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Runtime</w:t>
            </w:r>
          </w:p>
        </w:tc>
        <w:tc>
          <w:tcPr>
            <w:tcW w:type="dxa" w:w="8136"/>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OrbisLLM state, PID, process generation, protocol, llama.cpp commit/build, backend/device, crash/restart count.</w:t>
            </w:r>
          </w:p>
        </w:tc>
      </w:tr>
      <w:tr>
        <w:tc>
          <w:tcPr>
            <w:tcW w:type="dxa" w:w="2088"/>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Model</w:t>
            </w:r>
          </w:p>
        </w:tc>
        <w:tc>
          <w:tcPr>
            <w:tcW w:type="dxa" w:w="8136"/>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Model/quantization/hash, template hash, GPU layers, model/context state, cold/warm, active profile.</w:t>
            </w:r>
          </w:p>
        </w:tc>
      </w:tr>
      <w:tr>
        <w:tc>
          <w:tcPr>
            <w:tcW w:type="dxa" w:w="2088"/>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Request</w:t>
            </w:r>
          </w:p>
        </w:tc>
        <w:tc>
          <w:tcPr>
            <w:tcW w:type="dxa" w:w="8136"/>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requestId, TurnId/ResponseId/epoch, prompt/prefill/generation state, reasoning mode, output contract, deadline.</w:t>
            </w:r>
          </w:p>
        </w:tc>
      </w:tr>
      <w:tr>
        <w:tc>
          <w:tcPr>
            <w:tcW w:type="dxa" w:w="2088"/>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Cancellation</w:t>
            </w:r>
          </w:p>
        </w:tc>
        <w:tc>
          <w:tcPr>
            <w:tcW w:type="dxa" w:w="8136"/>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cancel requested/ack/stalled, acknowledgement latency, forced restart, next-request readiness.</w:t>
            </w:r>
          </w:p>
        </w:tc>
      </w:tr>
      <w:tr>
        <w:tc>
          <w:tcPr>
            <w:tcW w:type="dxa" w:w="2088"/>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Performance</w:t>
            </w:r>
          </w:p>
        </w:tc>
        <w:tc>
          <w:tcPr>
            <w:tcW w:type="dxa" w:w="8136"/>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prompt tokens/s, decode tokens/s, TTFT, first phrase, full completion, cache hit/reused tokens.</w:t>
            </w:r>
          </w:p>
        </w:tc>
      </w:tr>
      <w:tr>
        <w:tc>
          <w:tcPr>
            <w:tcW w:type="dxa" w:w="2088"/>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Resources</w:t>
            </w:r>
          </w:p>
        </w:tc>
        <w:tc>
          <w:tcPr>
            <w:tcW w:type="dxa" w:w="8136"/>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model/context/request estimates, process RAM, free/used VRAM, Hytale reserve, scheduler decision.</w:t>
            </w:r>
          </w:p>
        </w:tc>
      </w:tr>
      <w:tr>
        <w:tc>
          <w:tcPr>
            <w:tcW w:type="dxa" w:w="2088"/>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Controls (OP)</w:t>
            </w:r>
          </w:p>
        </w:tc>
        <w:tc>
          <w:tcPr>
            <w:tcW w:type="dxa" w:w="8136"/>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health probe, warm, sleep context, unload model, restart worker, run A/B benchmark, trace toggle.</w:t>
            </w:r>
          </w:p>
        </w:tc>
      </w:tr>
    </w:tbl>
    <w:p>
      <w:pPr>
        <w:spacing w:after="0"/>
      </w:pPr>
    </w:p>
    <w:p>
      <w:pPr>
        <w:pStyle w:val="ListBullet"/>
        <w:spacing w:after="30" w:line="240" w:lineRule="auto"/>
      </w:pPr>
      <w:r>
        <w:rPr>
          <w:rFonts w:ascii="Arial" w:hAnsi="Arial" w:eastAsia="Arial"/>
          <w:color w:val="1D2730"/>
          <w:sz w:val="19"/>
        </w:rPr>
        <w:t>UI renders from cached telemetry. UI callbacks do not call the sidecar, query GPU state, access disk/network or wait on futures.</w:t>
      </w:r>
    </w:p>
    <w:p>
      <w:pPr>
        <w:pStyle w:val="ListBullet"/>
        <w:spacing w:after="30" w:line="240" w:lineRule="auto"/>
      </w:pPr>
      <w:r>
        <w:rPr>
          <w:rFonts w:ascii="Arial" w:hAnsi="Arial" w:eastAsia="Arial"/>
          <w:color w:val="1D2730"/>
          <w:sz w:val="19"/>
        </w:rPr>
        <w:t>Model/provider changes affect future turns. Active branches remain pinned.</w:t>
      </w:r>
    </w:p>
    <w:p>
      <w:pPr>
        <w:pStyle w:val="ListBullet"/>
        <w:spacing w:after="30" w:line="240" w:lineRule="auto"/>
      </w:pPr>
      <w:r>
        <w:rPr>
          <w:rFonts w:ascii="Arial" w:hAnsi="Arial" w:eastAsia="Arial"/>
          <w:color w:val="1D2730"/>
          <w:sz w:val="19"/>
        </w:rPr>
        <w:t>Normal gameplay remains voice-first; no new transcript/subtitle UI is introduced by this runtime.</w:t>
      </w:r>
    </w:p>
    <w:p>
      <w:pPr>
        <w:pStyle w:val="Heading2"/>
        <w:keepNext/>
      </w:pPr>
      <w:r>
        <w:t>16.2 Trace events</w:t>
      </w:r>
    </w:p>
    <w:p>
      <w:pPr>
        <w:pStyle w:val="ListBullet"/>
        <w:spacing w:after="30" w:line="240" w:lineRule="auto"/>
      </w:pPr>
      <w:r>
        <w:rPr>
          <w:rFonts w:ascii="Arial" w:hAnsi="Arial" w:eastAsia="Arial"/>
          <w:color w:val="1D2730"/>
          <w:sz w:val="19"/>
        </w:rPr>
        <w:t>`LLAMA_RUNTIME_STARTING`, `LLAMA_HANDSHAKE`, `LLAMA_MODEL_LOAD_PROGRESS`, `LLAMA_READY`, `LLAMA_DEGRADED`, `LLAMA_PROCESS_EXITED`</w:t>
      </w:r>
    </w:p>
    <w:p>
      <w:pPr>
        <w:pStyle w:val="ListBullet"/>
        <w:spacing w:after="30" w:line="240" w:lineRule="auto"/>
      </w:pPr>
      <w:r>
        <w:rPr>
          <w:rFonts w:ascii="Arial" w:hAnsi="Arial" w:eastAsia="Arial"/>
          <w:color w:val="1D2730"/>
          <w:sz w:val="19"/>
        </w:rPr>
        <w:t>`LLAMA_REQUEST_ACCEPTED`, `LLAMA_PREFILL_PROGRESS`, `LLAMA_FIRST_TOKEN`, `LLAMA_FIRST_FINAL_TOKEN`, `LLAMA_REQUEST_COMPLETE`</w:t>
      </w:r>
    </w:p>
    <w:p>
      <w:pPr>
        <w:pStyle w:val="ListBullet"/>
        <w:spacing w:after="30" w:line="240" w:lineRule="auto"/>
      </w:pPr>
      <w:r>
        <w:rPr>
          <w:rFonts w:ascii="Arial" w:hAnsi="Arial" w:eastAsia="Arial"/>
          <w:color w:val="1D2730"/>
          <w:sz w:val="19"/>
        </w:rPr>
        <w:t>`LLAMA_CANCEL_REQUESTED`, `LLAMA_CANCEL_ACK`, `LLAMA_CANCEL_STALLED`, `LLAMA_FORCED_RESTART`</w:t>
      </w:r>
    </w:p>
    <w:p>
      <w:pPr>
        <w:pStyle w:val="ListBullet"/>
        <w:spacing w:after="30" w:line="240" w:lineRule="auto"/>
      </w:pPr>
      <w:r>
        <w:rPr>
          <w:rFonts w:ascii="Arial" w:hAnsi="Arial" w:eastAsia="Arial"/>
          <w:color w:val="1D2730"/>
          <w:sz w:val="19"/>
        </w:rPr>
        <w:t>`LLAMA_CONTEXT_SLEEP`, `LLAMA_CONTEXT_RESTORED`, `LLAMA_MODEL_UNLOADED`, `LLAMA_RESOURCE_SNAPSHOT`, `LLAMA_CACHE_HIT/MISS`</w:t>
      </w:r>
    </w:p>
    <w:p>
      <w:pPr>
        <w:pStyle w:val="ListBullet"/>
        <w:spacing w:after="30" w:line="240" w:lineRule="auto"/>
      </w:pPr>
      <w:r>
        <w:rPr>
          <w:rFonts w:ascii="Arial" w:hAnsi="Arial" w:eastAsia="Arial"/>
          <w:color w:val="1D2730"/>
          <w:sz w:val="19"/>
        </w:rPr>
        <w:t>`LLAMA_IPC_PROTOCOL_FAILURE`, `LLAMA_GRAMMAR_FAILURE`, `LLAMA_PROVIDER_FAILURE` with bounded non-sensitive category.</w:t>
      </w:r>
    </w:p>
    <w:tbl>
      <w:tblPr>
        <w:tblW w:type="auto" w:w="0"/>
        <w:jc w:val="center"/>
        <w:tblLayout w:type="fixed"/>
        <w:tblLook w:firstColumn="1" w:firstRow="1" w:lastColumn="0" w:lastRow="0" w:noHBand="0" w:noVBand="1" w:val="04A0"/>
      </w:tblPr>
      <w:tblGrid>
        <w:gridCol w:w="10224"/>
      </w:tblGrid>
      <w:tr>
        <w:tc>
          <w:tcPr>
            <w:tcW w:type="dxa" w:w="10282"/>
            <w:shd w:fill="DCE9ED"/>
            <w:tcMar>
              <w:top w:w="75" w:type="dxa"/>
              <w:start w:w="95" w:type="dxa"/>
              <w:bottom w:w="75" w:type="dxa"/>
              <w:end w:w="95" w:type="dxa"/>
            </w:tcMar>
            <w:tcBorders>
              <w:top w:val="single" w:sz="12" w:color="155666"/>
              <w:left w:val="single" w:sz="12" w:color="155666"/>
              <w:bottom w:val="single" w:sz="6" w:color="9EB0B8"/>
              <w:right w:val="single" w:sz="6" w:color="9EB0B8"/>
            </w:tcBorders>
          </w:tcPr>
          <w:p>
            <w:pPr>
              <w:spacing w:after="0"/>
            </w:pPr>
            <w:r>
              <w:rPr>
                <w:rFonts w:ascii="Arial" w:hAnsi="Arial" w:eastAsia="Arial"/>
                <w:b/>
                <w:color w:val="0E4856"/>
                <w:sz w:val="19"/>
              </w:rPr>
              <w:t xml:space="preserve">TRACE DISCIPLINE. </w:t>
            </w:r>
            <w:r>
              <w:rPr>
                <w:rFonts w:ascii="Arial" w:hAnsi="Arial" w:eastAsia="Arial"/>
                <w:color w:val="1D2730"/>
                <w:sz w:val="19"/>
              </w:rPr>
              <w:t>Do not log hidden reasoning content, raw prompts, raw audio or per-token events by default. Aggregate/coalesce deltas and preserve compact event-driven diagnostics.</w:t>
            </w:r>
          </w:p>
        </w:tc>
        <w:trPr>
          <w:tblHeader/>
        </w:trPr>
      </w:tr>
    </w:tbl>
    <w:p>
      <w:pPr>
        <w:spacing w:after="0"/>
      </w:pPr>
    </w:p>
    <w:p>
      <w:r>
        <w:br w:type="page"/>
      </w:r>
    </w:p>
    <w:p>
      <w:pPr>
        <w:pStyle w:val="Heading1"/>
        <w:keepNext/>
      </w:pPr>
      <w:r>
        <w:t>17. Benchmark-Gated Implementation Plan</w:t>
      </w:r>
    </w:p>
    <w:p>
      <w:pPr>
        <w:spacing w:after="80"/>
      </w:pPr>
      <w:r>
        <w:rPr>
          <w:rFonts w:ascii="Arial" w:hAnsi="Arial" w:eastAsia="Arial"/>
          <w:i w:val="0"/>
          <w:color w:val="1D2730"/>
          <w:sz w:val="20"/>
        </w:rPr>
        <w:t>Use two focused Codex phases. Phase 1 answers whether OrbisLLM is technically superior enough to justify productionization. Phase 2 removes the user-facing Ollama dependency only after that proof.</w:t>
      </w:r>
    </w:p>
    <w:p>
      <w:pPr>
        <w:pStyle w:val="Heading2"/>
        <w:keepNext/>
      </w:pPr>
      <w:r>
        <w:t>17.1 Phase 1 - Experimental sidecar and A/B gate</w:t>
      </w:r>
    </w:p>
    <w:tbl>
      <w:tblPr>
        <w:tblW w:type="auto" w:w="0"/>
        <w:jc w:val="center"/>
        <w:tblLayout w:type="fixed"/>
        <w:tblLook w:firstColumn="1" w:firstRow="1" w:lastColumn="0" w:lastRow="0" w:noHBand="0" w:noVBand="1" w:val="04A0"/>
      </w:tblPr>
      <w:tblGrid>
        <w:gridCol w:w="1656"/>
        <w:gridCol w:w="5832"/>
        <w:gridCol w:w="2736"/>
      </w:tblGrid>
      <w:tr>
        <w:trPr>
          <w:tblHeader w:val="true"/>
        </w:trPr>
        <w:tc>
          <w:tcPr>
            <w:tcW w:type="dxa" w:w="1656"/>
            <w:shd w:fill="0E4856"/>
            <w:tcMar>
              <w:top w:w="55" w:type="dxa"/>
              <w:start w:w="60" w:type="dxa"/>
              <w:bottom w:w="55" w:type="dxa"/>
              <w:end w:w="60" w:type="dxa"/>
            </w:tcMar>
            <w:tcBorders>
              <w:top w:val="single" w:sz="6" w:color="9EB0B8"/>
              <w:left w:val="single" w:sz="6" w:color="9EB0B8"/>
              <w:bottom w:val="single" w:sz="6" w:color="9EB0B8"/>
              <w:right w:val="single" w:sz="6" w:color="9EB0B8"/>
            </w:tcBorders>
            <w:vAlign w:val="center"/>
          </w:tcPr>
          <w:p>
            <w:pPr>
              <w:spacing w:after="0"/>
            </w:pPr>
            <w:r>
              <w:rPr>
                <w:rFonts w:ascii="Arial" w:hAnsi="Arial" w:eastAsia="Arial"/>
                <w:b/>
                <w:color w:val="FFFFFF"/>
                <w:sz w:val="15"/>
              </w:rPr>
              <w:t>Milestone</w:t>
            </w:r>
          </w:p>
        </w:tc>
        <w:tc>
          <w:tcPr>
            <w:tcW w:type="dxa" w:w="5832"/>
            <w:shd w:fill="0E4856"/>
            <w:tcMar>
              <w:top w:w="55" w:type="dxa"/>
              <w:start w:w="60" w:type="dxa"/>
              <w:bottom w:w="55" w:type="dxa"/>
              <w:end w:w="60" w:type="dxa"/>
            </w:tcMar>
            <w:tcBorders>
              <w:top w:val="single" w:sz="6" w:color="9EB0B8"/>
              <w:left w:val="single" w:sz="6" w:color="9EB0B8"/>
              <w:bottom w:val="single" w:sz="6" w:color="9EB0B8"/>
              <w:right w:val="single" w:sz="6" w:color="9EB0B8"/>
            </w:tcBorders>
            <w:vAlign w:val="center"/>
          </w:tcPr>
          <w:p>
            <w:pPr>
              <w:spacing w:after="0"/>
            </w:pPr>
            <w:r>
              <w:rPr>
                <w:rFonts w:ascii="Arial" w:hAnsi="Arial" w:eastAsia="Arial"/>
                <w:b/>
                <w:color w:val="FFFFFF"/>
                <w:sz w:val="15"/>
              </w:rPr>
              <w:t>Engineering work</w:t>
            </w:r>
          </w:p>
        </w:tc>
        <w:tc>
          <w:tcPr>
            <w:tcW w:type="dxa" w:w="2736"/>
            <w:shd w:fill="0E4856"/>
            <w:tcMar>
              <w:top w:w="55" w:type="dxa"/>
              <w:start w:w="60" w:type="dxa"/>
              <w:bottom w:w="55" w:type="dxa"/>
              <w:end w:w="60" w:type="dxa"/>
            </w:tcMar>
            <w:tcBorders>
              <w:top w:val="single" w:sz="6" w:color="9EB0B8"/>
              <w:left w:val="single" w:sz="6" w:color="9EB0B8"/>
              <w:bottom w:val="single" w:sz="6" w:color="9EB0B8"/>
              <w:right w:val="single" w:sz="6" w:color="9EB0B8"/>
            </w:tcBorders>
            <w:vAlign w:val="center"/>
          </w:tcPr>
          <w:p>
            <w:pPr>
              <w:spacing w:after="0"/>
            </w:pPr>
            <w:r>
              <w:rPr>
                <w:rFonts w:ascii="Arial" w:hAnsi="Arial" w:eastAsia="Arial"/>
                <w:b/>
                <w:color w:val="FFFFFF"/>
                <w:sz w:val="15"/>
              </w:rPr>
              <w:t>Exit condition</w:t>
            </w:r>
          </w:p>
        </w:tc>
      </w:tr>
      <w:tr>
        <w:tc>
          <w:tcPr>
            <w:tcW w:type="dxa" w:w="1656"/>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5"/>
              </w:rPr>
              <w:t>A. Audit/freeze</w:t>
            </w:r>
          </w:p>
        </w:tc>
        <w:tc>
          <w:tcPr>
            <w:tcW w:type="dxa" w:w="5832"/>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5"/>
              </w:rPr>
              <w:t>Map current provider contract, Ollama settings, prompt/template/sampler behavior, resource telemetry and cancellation path. Pin exact control artifacts.</w:t>
            </w:r>
          </w:p>
        </w:tc>
        <w:tc>
          <w:tcPr>
            <w:tcW w:type="dxa" w:w="2736"/>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5"/>
              </w:rPr>
              <w:t>Written parity manifest; no behavior change.</w:t>
            </w:r>
          </w:p>
        </w:tc>
      </w:tr>
      <w:tr>
        <w:tc>
          <w:tcPr>
            <w:tcW w:type="dxa" w:w="1656"/>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5"/>
              </w:rPr>
              <w:t>B. Native runtime</w:t>
            </w:r>
          </w:p>
        </w:tc>
        <w:tc>
          <w:tcPr>
            <w:tcW w:type="dxa" w:w="5832"/>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5"/>
              </w:rPr>
              <w:t>Vendor/link pinned llama.cpp; build minimal Windows CUDA and CPU OrbisLLM; model/context/generation state machine.</w:t>
            </w:r>
          </w:p>
        </w:tc>
        <w:tc>
          <w:tcPr>
            <w:tcW w:type="dxa" w:w="2736"/>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5"/>
              </w:rPr>
              <w:t>Standalone Nemotron FAST/GROUNDED/structured/reasoning probes pass.</w:t>
            </w:r>
          </w:p>
        </w:tc>
      </w:tr>
      <w:tr>
        <w:tc>
          <w:tcPr>
            <w:tcW w:type="dxa" w:w="1656"/>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5"/>
              </w:rPr>
              <w:t>C. IPC/provider</w:t>
            </w:r>
          </w:p>
        </w:tc>
        <w:tc>
          <w:tcPr>
            <w:tcW w:type="dxa" w:w="5832"/>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5"/>
              </w:rPr>
              <w:t>Implement versioned named-pipe protocol, process manager, provider adapter, immutable events and crash recovery.</w:t>
            </w:r>
          </w:p>
        </w:tc>
        <w:tc>
          <w:tcPr>
            <w:tcW w:type="dxa" w:w="2736"/>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5"/>
              </w:rPr>
              <w:t>Synthetic protocol/cancel/crash tests pass; no Hytale blocking.</w:t>
            </w:r>
          </w:p>
        </w:tc>
      </w:tr>
      <w:tr>
        <w:tc>
          <w:tcPr>
            <w:tcW w:type="dxa" w:w="1656"/>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5"/>
              </w:rPr>
              <w:t>D. Contract parity</w:t>
            </w:r>
          </w:p>
        </w:tc>
        <w:tc>
          <w:tcPr>
            <w:tcW w:type="dxa" w:w="5832"/>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5"/>
              </w:rPr>
              <w:t>Use TurnExecutionPlan, template/sampler parity, prevalidated grammars, structured buffering and Java validation.</w:t>
            </w:r>
          </w:p>
        </w:tc>
        <w:tc>
          <w:tcPr>
            <w:tcW w:type="dxa" w:w="2736"/>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5"/>
              </w:rPr>
              <w:t>All R001-current and Hardening Matrix cases pass on llama.cpp provider fixtures.</w:t>
            </w:r>
          </w:p>
        </w:tc>
      </w:tr>
      <w:tr>
        <w:tc>
          <w:tcPr>
            <w:tcW w:type="dxa" w:w="1656"/>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5"/>
              </w:rPr>
              <w:t>E. A/B calibration</w:t>
            </w:r>
          </w:p>
        </w:tc>
        <w:tc>
          <w:tcPr>
            <w:tcW w:type="dxa" w:w="5832"/>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5"/>
              </w:rPr>
              <w:t>Same model/hash/prompts/settings/Hytale scene: Ollama versus OrbisLLM. Measure latency, memory, cancellation, rapid-fire and stability.</w:t>
            </w:r>
          </w:p>
        </w:tc>
        <w:tc>
          <w:tcPr>
            <w:tcW w:type="dxa" w:w="2736"/>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5"/>
              </w:rPr>
              <w:t>Phase 1 Gate passes or project stops with rejection report.</w:t>
            </w:r>
          </w:p>
        </w:tc>
      </w:tr>
    </w:tbl>
    <w:p>
      <w:pPr>
        <w:spacing w:after="0"/>
      </w:pPr>
    </w:p>
    <w:p>
      <w:pPr>
        <w:pStyle w:val="ListBullet"/>
        <w:spacing w:after="30" w:line="240" w:lineRule="auto"/>
      </w:pPr>
      <w:r>
        <w:rPr>
          <w:rFonts w:ascii="Arial" w:hAnsi="Arial" w:eastAsia="Arial"/>
          <w:color w:val="1D2730"/>
          <w:sz w:val="19"/>
        </w:rPr>
        <w:t>Do not make llama.cpp the default and do not remove Ollama in Phase 1.</w:t>
      </w:r>
    </w:p>
    <w:p>
      <w:pPr>
        <w:pStyle w:val="ListBullet"/>
        <w:spacing w:after="30" w:line="240" w:lineRule="auto"/>
      </w:pPr>
      <w:r>
        <w:rPr>
          <w:rFonts w:ascii="Arial" w:hAnsi="Arial" w:eastAsia="Arial"/>
          <w:color w:val="1D2730"/>
          <w:sz w:val="19"/>
        </w:rPr>
        <w:t>Use llama-server/CLI only as an upstream conformance/control tool; the candidate path is direct libllama inside OrbisLLM.</w:t>
      </w:r>
    </w:p>
    <w:p>
      <w:pPr>
        <w:pStyle w:val="ListBullet"/>
        <w:spacing w:after="30" w:line="240" w:lineRule="auto"/>
      </w:pPr>
      <w:r>
        <w:rPr>
          <w:rFonts w:ascii="Arial" w:hAnsi="Arial" w:eastAsia="Arial"/>
          <w:color w:val="1D2730"/>
          <w:sz w:val="19"/>
        </w:rPr>
        <w:t>A failed benchmark is a valid engineering outcome. Preserve the experimental code behind a disabled provider only if it remains maintainable and non-invasive.</w:t>
      </w:r>
    </w:p>
    <w:p>
      <w:pPr>
        <w:pStyle w:val="Heading2"/>
        <w:keepNext/>
      </w:pPr>
      <w:r>
        <w:t>17.2 Phase 2 - Productionization and Ollama retirement</w:t>
      </w:r>
    </w:p>
    <w:tbl>
      <w:tblPr>
        <w:tblW w:type="auto" w:w="0"/>
        <w:jc w:val="center"/>
        <w:tblLayout w:type="fixed"/>
        <w:tblLook w:firstColumn="1" w:firstRow="1" w:lastColumn="0" w:lastRow="0" w:noHBand="0" w:noVBand="1" w:val="04A0"/>
      </w:tblPr>
      <w:tblGrid>
        <w:gridCol w:w="2088"/>
        <w:gridCol w:w="5760"/>
        <w:gridCol w:w="2376"/>
      </w:tblGrid>
      <w:tr>
        <w:trPr>
          <w:tblHeader w:val="true"/>
        </w:trPr>
        <w:tc>
          <w:tcPr>
            <w:tcW w:type="dxa" w:w="2088"/>
            <w:shd w:fill="0E4856"/>
            <w:tcMar>
              <w:top w:w="55" w:type="dxa"/>
              <w:start w:w="60" w:type="dxa"/>
              <w:bottom w:w="55" w:type="dxa"/>
              <w:end w:w="60" w:type="dxa"/>
            </w:tcMar>
            <w:tcBorders>
              <w:top w:val="single" w:sz="6" w:color="9EB0B8"/>
              <w:left w:val="single" w:sz="6" w:color="9EB0B8"/>
              <w:bottom w:val="single" w:sz="6" w:color="9EB0B8"/>
              <w:right w:val="single" w:sz="6" w:color="9EB0B8"/>
            </w:tcBorders>
            <w:vAlign w:val="center"/>
          </w:tcPr>
          <w:p>
            <w:pPr>
              <w:spacing w:after="0"/>
            </w:pPr>
            <w:r>
              <w:rPr>
                <w:rFonts w:ascii="Arial" w:hAnsi="Arial" w:eastAsia="Arial"/>
                <w:b/>
                <w:color w:val="FFFFFF"/>
                <w:sz w:val="16"/>
              </w:rPr>
              <w:t>Milestone</w:t>
            </w:r>
          </w:p>
        </w:tc>
        <w:tc>
          <w:tcPr>
            <w:tcW w:type="dxa" w:w="5760"/>
            <w:shd w:fill="0E4856"/>
            <w:tcMar>
              <w:top w:w="55" w:type="dxa"/>
              <w:start w:w="60" w:type="dxa"/>
              <w:bottom w:w="55" w:type="dxa"/>
              <w:end w:w="60" w:type="dxa"/>
            </w:tcMar>
            <w:tcBorders>
              <w:top w:val="single" w:sz="6" w:color="9EB0B8"/>
              <w:left w:val="single" w:sz="6" w:color="9EB0B8"/>
              <w:bottom w:val="single" w:sz="6" w:color="9EB0B8"/>
              <w:right w:val="single" w:sz="6" w:color="9EB0B8"/>
            </w:tcBorders>
            <w:vAlign w:val="center"/>
          </w:tcPr>
          <w:p>
            <w:pPr>
              <w:spacing w:after="0"/>
            </w:pPr>
            <w:r>
              <w:rPr>
                <w:rFonts w:ascii="Arial" w:hAnsi="Arial" w:eastAsia="Arial"/>
                <w:b/>
                <w:color w:val="FFFFFF"/>
                <w:sz w:val="16"/>
              </w:rPr>
              <w:t>Engineering work</w:t>
            </w:r>
          </w:p>
        </w:tc>
        <w:tc>
          <w:tcPr>
            <w:tcW w:type="dxa" w:w="2376"/>
            <w:shd w:fill="0E4856"/>
            <w:tcMar>
              <w:top w:w="55" w:type="dxa"/>
              <w:start w:w="60" w:type="dxa"/>
              <w:bottom w:w="55" w:type="dxa"/>
              <w:end w:w="60" w:type="dxa"/>
            </w:tcMar>
            <w:tcBorders>
              <w:top w:val="single" w:sz="6" w:color="9EB0B8"/>
              <w:left w:val="single" w:sz="6" w:color="9EB0B8"/>
              <w:bottom w:val="single" w:sz="6" w:color="9EB0B8"/>
              <w:right w:val="single" w:sz="6" w:color="9EB0B8"/>
            </w:tcBorders>
            <w:vAlign w:val="center"/>
          </w:tcPr>
          <w:p>
            <w:pPr>
              <w:spacing w:after="0"/>
            </w:pPr>
            <w:r>
              <w:rPr>
                <w:rFonts w:ascii="Arial" w:hAnsi="Arial" w:eastAsia="Arial"/>
                <w:b/>
                <w:color w:val="FFFFFF"/>
                <w:sz w:val="16"/>
              </w:rPr>
              <w:t>Exit condition</w:t>
            </w:r>
          </w:p>
        </w:tc>
      </w:tr>
      <w:tr>
        <w:tc>
          <w:tcPr>
            <w:tcW w:type="dxa" w:w="2088"/>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F. Packaging/model manager</w:t>
            </w:r>
          </w:p>
        </w:tc>
        <w:tc>
          <w:tcPr>
            <w:tcW w:type="dxa" w:w="5760"/>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Verified runtime manifests, model download/license flow, CPU fallback, clean install/uninstall and no-Ollama machine.</w:t>
            </w:r>
          </w:p>
        </w:tc>
        <w:tc>
          <w:tcPr>
            <w:tcW w:type="dxa" w:w="2376"/>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Fresh-machine startup succeeds without developer tools.</w:t>
            </w:r>
          </w:p>
        </w:tc>
      </w:tr>
      <w:tr>
        <w:tc>
          <w:tcPr>
            <w:tcW w:type="dxa" w:w="2088"/>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G. Lifecycle polish</w:t>
            </w:r>
          </w:p>
        </w:tc>
        <w:tc>
          <w:tcPr>
            <w:tcW w:type="dxa" w:w="5760"/>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Context sleep, circuit breaker, runtime log, native UI, last-known-good rollback and startup warmup integration.</w:t>
            </w:r>
          </w:p>
        </w:tc>
        <w:tc>
          <w:tcPr>
            <w:tcW w:type="dxa" w:w="2376"/>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Crash/cancel/resource tests recover without server restart.</w:t>
            </w:r>
          </w:p>
        </w:tc>
      </w:tr>
      <w:tr>
        <w:tc>
          <w:tcPr>
            <w:tcW w:type="dxa" w:w="2088"/>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H. Connected matrix</w:t>
            </w:r>
          </w:p>
        </w:tc>
        <w:tc>
          <w:tcPr>
            <w:tcW w:type="dxa" w:w="5760"/>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Cold/warm PTT, 30+ mixed turns, rapid-fire interruption, focus loss, structured routes, resource pressure and 100-turn soak.</w:t>
            </w:r>
          </w:p>
        </w:tc>
        <w:tc>
          <w:tcPr>
            <w:tcW w:type="dxa" w:w="2376"/>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No contract, latency, delivery or Hytale regression.</w:t>
            </w:r>
          </w:p>
        </w:tc>
      </w:tr>
      <w:tr>
        <w:tc>
          <w:tcPr>
            <w:tcW w:type="dxa" w:w="2088"/>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Gate 2 deployment</w:t>
            </w:r>
          </w:p>
        </w:tc>
        <w:tc>
          <w:tcPr>
            <w:tcW w:type="dxa" w:w="5760"/>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Promote OrbisLLM provider, build/hash/install one production JAR/runtime, preserve data; retain explicit Ollama rollback only if desired.</w:t>
            </w:r>
          </w:p>
        </w:tc>
        <w:tc>
          <w:tcPr>
            <w:tcW w:type="dxa" w:w="2376"/>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Definition of Done satisfied.</w:t>
            </w:r>
          </w:p>
        </w:tc>
      </w:tr>
    </w:tbl>
    <w:p>
      <w:pPr>
        <w:spacing w:after="0"/>
      </w:pPr>
    </w:p>
    <w:p>
      <w:pPr>
        <w:pStyle w:val="Heading1"/>
        <w:keepNext/>
      </w:pPr>
      <w:r>
        <w:t>18. Verification, Performance Budgets and Definition of Done</w:t>
      </w:r>
    </w:p>
    <w:p>
      <w:pPr>
        <w:pStyle w:val="Heading2"/>
        <w:keepNext/>
      </w:pPr>
      <w:r>
        <w:t>18.1 A/B methodology</w:t>
      </w:r>
    </w:p>
    <w:p>
      <w:pPr>
        <w:pStyle w:val="ListBullet"/>
        <w:spacing w:after="30" w:line="240" w:lineRule="auto"/>
      </w:pPr>
      <w:r>
        <w:rPr>
          <w:rFonts w:ascii="Arial" w:hAnsi="Arial" w:eastAsia="Arial"/>
          <w:color w:val="1D2730"/>
          <w:sz w:val="19"/>
        </w:rPr>
        <w:t>Use the exact same official Q4_K_M file/hash, chat template, route context, prompt tokens, output contract, seed/samplers, context window, GPU layers and Hytale scene.</w:t>
      </w:r>
    </w:p>
    <w:p>
      <w:pPr>
        <w:pStyle w:val="ListBullet"/>
        <w:spacing w:after="30" w:line="240" w:lineRule="auto"/>
      </w:pPr>
      <w:r>
        <w:rPr>
          <w:rFonts w:ascii="Arial" w:hAnsi="Arial" w:eastAsia="Arial"/>
          <w:color w:val="1D2730"/>
          <w:sz w:val="19"/>
        </w:rPr>
        <w:t>Run cold load, warm FAST, warm GROUNDED, deterministic action-result, compact structured decision, deliberative, autonomous and rapid-fire cancellation cases.</w:t>
      </w:r>
    </w:p>
    <w:p>
      <w:pPr>
        <w:pStyle w:val="ListBullet"/>
        <w:spacing w:after="30" w:line="240" w:lineRule="auto"/>
      </w:pPr>
      <w:r>
        <w:rPr>
          <w:rFonts w:ascii="Arial" w:hAnsi="Arial" w:eastAsia="Arial"/>
          <w:color w:val="1D2730"/>
          <w:sz w:val="19"/>
        </w:rPr>
        <w:t>Alternate backend order and repeat enough samples to avoid page-cache/thermal/order bias. Report p50, p95 and worst case where meaningful.</w:t>
      </w:r>
    </w:p>
    <w:p>
      <w:pPr>
        <w:pStyle w:val="ListBullet"/>
        <w:spacing w:after="30" w:line="240" w:lineRule="auto"/>
      </w:pPr>
      <w:r>
        <w:rPr>
          <w:rFonts w:ascii="Arial" w:hAnsi="Arial" w:eastAsia="Arial"/>
          <w:color w:val="1D2730"/>
          <w:sz w:val="19"/>
        </w:rPr>
        <w:t>Capture Hytale/client subjective hitching plus server frame telemetry; do not fabricate client FPS when unavailable.</w:t>
      </w:r>
    </w:p>
    <w:p>
      <w:pPr>
        <w:pStyle w:val="Heading2"/>
        <w:keepNext/>
      </w:pPr>
      <w:r>
        <w:t>18.2 Gate metrics</w:t>
      </w:r>
    </w:p>
    <w:tbl>
      <w:tblPr>
        <w:tblW w:type="auto" w:w="0"/>
        <w:jc w:val="center"/>
        <w:tblLayout w:type="fixed"/>
        <w:tblLook w:firstColumn="1" w:firstRow="1" w:lastColumn="0" w:lastRow="0" w:noHBand="0" w:noVBand="1" w:val="04A0"/>
      </w:tblPr>
      <w:tblGrid>
        <w:gridCol w:w="2952"/>
        <w:gridCol w:w="7272"/>
      </w:tblGrid>
      <w:tr>
        <w:trPr>
          <w:tblHeader w:val="true"/>
        </w:trPr>
        <w:tc>
          <w:tcPr>
            <w:tcW w:type="dxa" w:w="2952"/>
            <w:shd w:fill="0E4856"/>
            <w:tcMar>
              <w:top w:w="55" w:type="dxa"/>
              <w:start w:w="60" w:type="dxa"/>
              <w:bottom w:w="55" w:type="dxa"/>
              <w:end w:w="60" w:type="dxa"/>
            </w:tcMar>
            <w:tcBorders>
              <w:top w:val="single" w:sz="6" w:color="9EB0B8"/>
              <w:left w:val="single" w:sz="6" w:color="9EB0B8"/>
              <w:bottom w:val="single" w:sz="6" w:color="9EB0B8"/>
              <w:right w:val="single" w:sz="6" w:color="9EB0B8"/>
            </w:tcBorders>
            <w:vAlign w:val="center"/>
          </w:tcPr>
          <w:p>
            <w:pPr>
              <w:spacing w:after="0"/>
            </w:pPr>
            <w:r>
              <w:rPr>
                <w:rFonts w:ascii="Arial" w:hAnsi="Arial" w:eastAsia="Arial"/>
                <w:b/>
                <w:color w:val="FFFFFF"/>
                <w:sz w:val="16"/>
              </w:rPr>
              <w:t>Metric</w:t>
            </w:r>
          </w:p>
        </w:tc>
        <w:tc>
          <w:tcPr>
            <w:tcW w:type="dxa" w:w="7272"/>
            <w:shd w:fill="0E4856"/>
            <w:tcMar>
              <w:top w:w="55" w:type="dxa"/>
              <w:start w:w="60" w:type="dxa"/>
              <w:bottom w:w="55" w:type="dxa"/>
              <w:end w:w="60" w:type="dxa"/>
            </w:tcMar>
            <w:tcBorders>
              <w:top w:val="single" w:sz="6" w:color="9EB0B8"/>
              <w:left w:val="single" w:sz="6" w:color="9EB0B8"/>
              <w:bottom w:val="single" w:sz="6" w:color="9EB0B8"/>
              <w:right w:val="single" w:sz="6" w:color="9EB0B8"/>
            </w:tcBorders>
            <w:vAlign w:val="center"/>
          </w:tcPr>
          <w:p>
            <w:pPr>
              <w:spacing w:after="0"/>
            </w:pPr>
            <w:r>
              <w:rPr>
                <w:rFonts w:ascii="Arial" w:hAnsi="Arial" w:eastAsia="Arial"/>
                <w:b/>
                <w:color w:val="FFFFFF"/>
                <w:sz w:val="16"/>
              </w:rPr>
              <w:t>Initial Phase 1 gate</w:t>
            </w:r>
          </w:p>
        </w:tc>
      </w:tr>
      <w:tr>
        <w:tc>
          <w:tcPr>
            <w:tcW w:type="dxa" w:w="2952"/>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Prompt/token parity</w:t>
            </w:r>
          </w:p>
        </w:tc>
        <w:tc>
          <w:tcPr>
            <w:tcW w:type="dxa" w:w="7272"/>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Rendered prompt/token count and stop/reasoning semantics match the control or have an approved documented difference.</w:t>
            </w:r>
          </w:p>
        </w:tc>
      </w:tr>
      <w:tr>
        <w:tc>
          <w:tcPr>
            <w:tcW w:type="dxa" w:w="2952"/>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Contract quality</w:t>
            </w:r>
          </w:p>
        </w:tc>
        <w:tc>
          <w:tcPr>
            <w:tcW w:type="dxa" w:w="7272"/>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Zero new grounding/action/structured/canonical-speech failures across current deterministic matrix.</w:t>
            </w:r>
          </w:p>
        </w:tc>
      </w:tr>
      <w:tr>
        <w:tc>
          <w:tcPr>
            <w:tcW w:type="dxa" w:w="2952"/>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Warm TTFT / completion</w:t>
            </w:r>
          </w:p>
        </w:tc>
        <w:tc>
          <w:tcPr>
            <w:tcW w:type="dxa" w:w="7272"/>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No sustained &gt;10% regression versus Ollama for comparable FAST/GROUNDED requests.</w:t>
            </w:r>
          </w:p>
        </w:tc>
      </w:tr>
      <w:tr>
        <w:tc>
          <w:tcPr>
            <w:tcW w:type="dxa" w:w="2952"/>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Cold load/warmup</w:t>
            </w:r>
          </w:p>
        </w:tc>
        <w:tc>
          <w:tcPr>
            <w:tcW w:type="dxa" w:w="7272"/>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No &gt;20% regression without an offsetting lifecycle benefit; startup remains asynchronous.</w:t>
            </w:r>
          </w:p>
        </w:tc>
      </w:tr>
      <w:tr>
        <w:tc>
          <w:tcPr>
            <w:tcW w:type="dxa" w:w="2952"/>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VRAM/RAM</w:t>
            </w:r>
          </w:p>
        </w:tc>
        <w:tc>
          <w:tcPr>
            <w:tcW w:type="dxa" w:w="7272"/>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No material increase that breaks Hytale/Chatterbox co-residency; preserve Hytale reserve.</w:t>
            </w:r>
          </w:p>
        </w:tc>
      </w:tr>
      <w:tr>
        <w:tc>
          <w:tcPr>
            <w:tcW w:type="dxa" w:w="2952"/>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Cancellation</w:t>
            </w:r>
          </w:p>
        </w:tc>
        <w:tc>
          <w:tcPr>
            <w:tcW w:type="dxa" w:w="7272"/>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Generation cancel &lt;=250 ms p95 target; representative prefill &lt;=500 ms p95 target or measured one-microbatch bound; no stale provider capacity after ACK.</w:t>
            </w:r>
          </w:p>
        </w:tc>
      </w:tr>
      <w:tr>
        <w:tc>
          <w:tcPr>
            <w:tcW w:type="dxa" w:w="2952"/>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Forced recovery</w:t>
            </w:r>
          </w:p>
        </w:tc>
        <w:tc>
          <w:tcPr>
            <w:tcW w:type="dxa" w:w="7272"/>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Cancel stall/crash restart returns provider to usable state within &lt;=3 s when weights remain reloadable under current profile, or reports the measured cold-load bound honestly.</w:t>
            </w:r>
          </w:p>
        </w:tc>
      </w:tr>
      <w:tr>
        <w:tc>
          <w:tcPr>
            <w:tcW w:type="dxa" w:w="2952"/>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Rapid-fire stability</w:t>
            </w:r>
          </w:p>
        </w:tc>
        <w:tc>
          <w:tcPr>
            <w:tcW w:type="dxa" w:w="7272"/>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No immediate post-cancel provider failures, slot corruption, stale output, queue leak or residency ping-pong.</w:t>
            </w:r>
          </w:p>
        </w:tc>
      </w:tr>
      <w:tr>
        <w:tc>
          <w:tcPr>
            <w:tcW w:type="dxa" w:w="2952"/>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Hytale performance</w:t>
            </w:r>
          </w:p>
        </w:tc>
        <w:tc>
          <w:tcPr>
            <w:tcW w:type="dxa" w:w="7272"/>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&lt;=10% sustained p95 frame-time degradation where measurable; &gt;15% sustained or recurring &gt;50 ms AI-correlated hitches block migration.</w:t>
            </w:r>
          </w:p>
        </w:tc>
      </w:tr>
      <w:tr>
        <w:tc>
          <w:tcPr>
            <w:tcW w:type="dxa" w:w="2952"/>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Material advantage</w:t>
            </w:r>
          </w:p>
        </w:tc>
        <w:tc>
          <w:tcPr>
            <w:tcW w:type="dxa" w:w="7272"/>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At least one verified advantage in cancellation, residency/resource predictability, latency/memory, rapid-fire stability or installation, with no critical regression.</w:t>
            </w:r>
          </w:p>
        </w:tc>
      </w:tr>
    </w:tbl>
    <w:p>
      <w:pPr>
        <w:spacing w:after="0"/>
      </w:pPr>
    </w:p>
    <w:p>
      <w:pPr>
        <w:pStyle w:val="Heading2"/>
        <w:keepNext/>
      </w:pPr>
      <w:r>
        <w:t>18.3 Automated validation</w:t>
      </w:r>
    </w:p>
    <w:p>
      <w:pPr>
        <w:pStyle w:val="ListBullet"/>
        <w:spacing w:after="30" w:line="240" w:lineRule="auto"/>
      </w:pPr>
      <w:r>
        <w:rPr>
          <w:rFonts w:ascii="Arial" w:hAnsi="Arial" w:eastAsia="Arial"/>
          <w:color w:val="1D2730"/>
          <w:sz w:val="19"/>
        </w:rPr>
        <w:t>Full R001-current deterministic suite and ConversationMatrixHarness for both provider adapters.</w:t>
      </w:r>
    </w:p>
    <w:p>
      <w:pPr>
        <w:pStyle w:val="ListBullet"/>
        <w:spacing w:after="30" w:line="240" w:lineRule="auto"/>
      </w:pPr>
      <w:r>
        <w:rPr>
          <w:rFonts w:ascii="Arial" w:hAnsi="Arial" w:eastAsia="Arial"/>
          <w:color w:val="1D2730"/>
          <w:sz w:val="19"/>
        </w:rPr>
        <w:t>Protocol framing/version/correlation/fuzz bounds; process-generation stale-event rejection.</w:t>
      </w:r>
    </w:p>
    <w:p>
      <w:pPr>
        <w:pStyle w:val="ListBullet"/>
        <w:spacing w:after="30" w:line="240" w:lineRule="auto"/>
      </w:pPr>
      <w:r>
        <w:rPr>
          <w:rFonts w:ascii="Arial" w:hAnsi="Arial" w:eastAsia="Arial"/>
          <w:color w:val="1D2730"/>
          <w:sz w:val="19"/>
        </w:rPr>
        <w:t>Model/manifest/hash/template/grammar registry validation.</w:t>
      </w:r>
    </w:p>
    <w:p>
      <w:pPr>
        <w:pStyle w:val="ListBullet"/>
        <w:spacing w:after="30" w:line="240" w:lineRule="auto"/>
      </w:pPr>
      <w:r>
        <w:rPr>
          <w:rFonts w:ascii="Arial" w:hAnsi="Arial" w:eastAsia="Arial"/>
          <w:color w:val="1D2730"/>
          <w:sz w:val="19"/>
        </w:rPr>
        <w:t>Success, timeout, cancellation at every prefill/generation boundary, crash, malformed IPC and forced restart.</w:t>
      </w:r>
    </w:p>
    <w:p>
      <w:pPr>
        <w:pStyle w:val="ListBullet"/>
        <w:spacing w:after="30" w:line="240" w:lineRule="auto"/>
      </w:pPr>
      <w:r>
        <w:rPr>
          <w:rFonts w:ascii="Arial" w:hAnsi="Arial" w:eastAsia="Arial"/>
          <w:color w:val="1D2730"/>
          <w:sz w:val="19"/>
        </w:rPr>
        <w:t>Structured contract minimum/typical/maximum/truncation fixtures and no partial action execution.</w:t>
      </w:r>
    </w:p>
    <w:p>
      <w:pPr>
        <w:pStyle w:val="ListBullet"/>
        <w:spacing w:after="30" w:line="240" w:lineRule="auto"/>
      </w:pPr>
      <w:r>
        <w:rPr>
          <w:rFonts w:ascii="Arial" w:hAnsi="Arial" w:eastAsia="Arial"/>
          <w:color w:val="1D2730"/>
          <w:sz w:val="19"/>
        </w:rPr>
        <w:t>100-turn mixed deterministic soak with no queue/process/context/resource leak.</w:t>
      </w:r>
    </w:p>
    <w:p>
      <w:pPr>
        <w:pStyle w:val="Heading2"/>
        <w:keepNext/>
      </w:pPr>
      <w:r>
        <w:t>18.4 Connected Hytale validation</w:t>
      </w:r>
    </w:p>
    <w:p>
      <w:pPr>
        <w:pStyle w:val="ListBullet"/>
        <w:spacing w:after="30" w:line="240" w:lineRule="auto"/>
      </w:pPr>
      <w:r>
        <w:rPr>
          <w:rFonts w:ascii="Arial" w:hAnsi="Arial" w:eastAsia="Arial"/>
          <w:color w:val="1D2730"/>
          <w:sz w:val="19"/>
        </w:rPr>
        <w:t>Cold world load and immediate physical PTT after READY/DEGRADED reporting.</w:t>
      </w:r>
    </w:p>
    <w:p>
      <w:pPr>
        <w:pStyle w:val="ListBullet"/>
        <w:spacing w:after="30" w:line="240" w:lineRule="auto"/>
      </w:pPr>
      <w:r>
        <w:rPr>
          <w:rFonts w:ascii="Arial" w:hAnsi="Arial" w:eastAsia="Arial"/>
          <w:color w:val="1D2730"/>
          <w:sz w:val="19"/>
        </w:rPr>
        <w:t>At least 30 mixed FAST, GROUNDED, action, structured choice and deliberative turns.</w:t>
      </w:r>
    </w:p>
    <w:p>
      <w:pPr>
        <w:pStyle w:val="ListBullet"/>
        <w:spacing w:after="30" w:line="240" w:lineRule="auto"/>
      </w:pPr>
      <w:r>
        <w:rPr>
          <w:rFonts w:ascii="Arial" w:hAnsi="Arial" w:eastAsia="Arial"/>
          <w:color w:val="1D2730"/>
          <w:sz w:val="19"/>
        </w:rPr>
        <w:t>Interrupt during prefill, generation, early speech, Chatterbox synthesis and playback; immediate follow-up succeeds.</w:t>
      </w:r>
    </w:p>
    <w:p>
      <w:pPr>
        <w:pStyle w:val="ListBullet"/>
        <w:spacing w:after="30" w:line="240" w:lineRule="auto"/>
      </w:pPr>
      <w:r>
        <w:rPr>
          <w:rFonts w:ascii="Arial" w:hAnsi="Arial" w:eastAsia="Arial"/>
          <w:color w:val="1D2730"/>
          <w:sz w:val="19"/>
        </w:rPr>
        <w:t>Walk out of range/disconnect during inference; sidecar cancels/drains/restarts without stale response.</w:t>
      </w:r>
    </w:p>
    <w:p>
      <w:pPr>
        <w:pStyle w:val="ListBullet"/>
        <w:spacing w:after="30" w:line="240" w:lineRule="auto"/>
      </w:pPr>
      <w:r>
        <w:rPr>
          <w:rFonts w:ascii="Arial" w:hAnsi="Arial" w:eastAsia="Arial"/>
          <w:color w:val="1D2730"/>
          <w:sz w:val="19"/>
        </w:rPr>
        <w:t>Rapid-fire sequence matching the historical provider degradation pattern.</w:t>
      </w:r>
    </w:p>
    <w:p>
      <w:pPr>
        <w:pStyle w:val="ListBullet"/>
        <w:spacing w:after="30" w:line="240" w:lineRule="auto"/>
      </w:pPr>
      <w:r>
        <w:rPr>
          <w:rFonts w:ascii="Arial" w:hAnsi="Arial" w:eastAsia="Arial"/>
          <w:color w:val="1D2730"/>
          <w:sz w:val="19"/>
        </w:rPr>
        <w:t>Hytale resource pressure with Chatterbox resident and no accepted VRAM emergency.</w:t>
      </w:r>
    </w:p>
    <w:p>
      <w:pPr>
        <w:pStyle w:val="ListBullet"/>
        <w:spacing w:after="30" w:line="240" w:lineRule="auto"/>
      </w:pPr>
      <w:r>
        <w:rPr>
          <w:rFonts w:ascii="Arial" w:hAnsi="Arial" w:eastAsia="Arial"/>
          <w:color w:val="1D2730"/>
          <w:sz w:val="19"/>
        </w:rPr>
        <w:t>100-turn connected/real-provider soak where practical; otherwise operator-assisted evidence plus synthetic soak.</w:t>
      </w:r>
    </w:p>
    <w:p>
      <w:pPr>
        <w:pStyle w:val="Heading2"/>
        <w:keepNext/>
      </w:pPr>
      <w:r>
        <w:t>18.5 Definition of Done</w:t>
      </w:r>
    </w:p>
    <w:p>
      <w:pPr>
        <w:pStyle w:val="ListBullet"/>
        <w:spacing w:after="30" w:line="240" w:lineRule="auto"/>
      </w:pPr>
      <w:r>
        <w:rPr>
          <w:rFonts w:ascii="Arial" w:hAnsi="Arial" w:eastAsia="Arial"/>
          <w:color w:val="1D2730"/>
          <w:sz w:val="19"/>
        </w:rPr>
        <w:t>OrbisLLM is an Orbis-managed, versioned, local, isolated llama.cpp runtime; no production network listener exists.</w:t>
      </w:r>
    </w:p>
    <w:p>
      <w:pPr>
        <w:pStyle w:val="ListBullet"/>
        <w:spacing w:after="30" w:line="240" w:lineRule="auto"/>
      </w:pPr>
      <w:r>
        <w:rPr>
          <w:rFonts w:ascii="Arial" w:hAnsi="Arial" w:eastAsia="Arial"/>
          <w:color w:val="1D2730"/>
          <w:sz w:val="19"/>
        </w:rPr>
        <w:t>Every llama.cpp request uses the same TurnExecutionPlan, budget, recovery, grounding, action, canonical speech and delivery contracts as the hardened pipeline.</w:t>
      </w:r>
    </w:p>
    <w:p>
      <w:pPr>
        <w:pStyle w:val="ListBullet"/>
        <w:spacing w:after="30" w:line="240" w:lineRule="auto"/>
      </w:pPr>
      <w:r>
        <w:rPr>
          <w:rFonts w:ascii="Arial" w:hAnsi="Arial" w:eastAsia="Arial"/>
          <w:color w:val="1D2730"/>
          <w:sz w:val="19"/>
        </w:rPr>
        <w:t>Cancellation is acknowledged by the real inference loop; stalled GPU work is recovered by bounded process restart and never poisons later turns.</w:t>
      </w:r>
    </w:p>
    <w:p>
      <w:pPr>
        <w:pStyle w:val="ListBullet"/>
        <w:spacing w:after="30" w:line="240" w:lineRule="auto"/>
      </w:pPr>
      <w:r>
        <w:rPr>
          <w:rFonts w:ascii="Arial" w:hAnsi="Arial" w:eastAsia="Arial"/>
          <w:color w:val="1D2730"/>
          <w:sz w:val="19"/>
        </w:rPr>
        <w:t>Model, context and request memory are independently visible and controlled by OrbisResourceScheduler; no hidden runner lifecycle or provider ping-pong remains.</w:t>
      </w:r>
    </w:p>
    <w:p>
      <w:pPr>
        <w:pStyle w:val="ListBullet"/>
        <w:spacing w:after="30" w:line="240" w:lineRule="auto"/>
      </w:pPr>
      <w:r>
        <w:rPr>
          <w:rFonts w:ascii="Arial" w:hAnsi="Arial" w:eastAsia="Arial"/>
          <w:color w:val="1D2730"/>
          <w:sz w:val="19"/>
        </w:rPr>
        <w:t>The official Nemotron GGUF, runtime and all shipped binaries are hash-verified and license-attributed.</w:t>
      </w:r>
    </w:p>
    <w:p>
      <w:pPr>
        <w:pStyle w:val="ListBullet"/>
        <w:spacing w:after="30" w:line="240" w:lineRule="auto"/>
      </w:pPr>
      <w:r>
        <w:rPr>
          <w:rFonts w:ascii="Arial" w:hAnsi="Arial" w:eastAsia="Arial"/>
          <w:color w:val="1D2730"/>
          <w:sz w:val="19"/>
        </w:rPr>
        <w:t>A clean consumer Windows machine can install/start ImmersiveNPCs without Ollama and receive a valid local response.</w:t>
      </w:r>
    </w:p>
    <w:p>
      <w:pPr>
        <w:pStyle w:val="ListBullet"/>
        <w:spacing w:after="30" w:line="240" w:lineRule="auto"/>
      </w:pPr>
      <w:r>
        <w:rPr>
          <w:rFonts w:ascii="Arial" w:hAnsi="Arial" w:eastAsia="Arial"/>
          <w:color w:val="1D2730"/>
          <w:sz w:val="19"/>
        </w:rPr>
        <w:t>A/B and connected Hytale gates pass; otherwise Ollama remains production and the llama.cpp migration is rejected or deferred.</w:t>
      </w:r>
    </w:p>
    <w:p>
      <w:pPr>
        <w:pStyle w:val="ListBullet"/>
        <w:spacing w:after="30" w:line="240" w:lineRule="auto"/>
      </w:pPr>
      <w:r>
        <w:rPr>
          <w:rFonts w:ascii="Arial" w:hAnsi="Arial" w:eastAsia="Arial"/>
          <w:color w:val="1D2730"/>
          <w:sz w:val="19"/>
        </w:rPr>
        <w:t>Exactly one production JAR/runtime set is active; build/runtime/model hashes and rollback are documented.</w:t>
      </w:r>
    </w:p>
    <w:tbl>
      <w:tblPr>
        <w:tblW w:type="auto" w:w="0"/>
        <w:jc w:val="center"/>
        <w:tblLayout w:type="fixed"/>
        <w:tblLook w:firstColumn="1" w:firstRow="1" w:lastColumn="0" w:lastRow="0" w:noHBand="0" w:noVBand="1" w:val="04A0"/>
      </w:tblPr>
      <w:tblGrid>
        <w:gridCol w:w="10224"/>
      </w:tblGrid>
      <w:tr>
        <w:tc>
          <w:tcPr>
            <w:tcW w:type="dxa" w:w="10282"/>
            <w:shd w:fill="E7F1EC"/>
            <w:tcMar>
              <w:top w:w="75" w:type="dxa"/>
              <w:start w:w="95" w:type="dxa"/>
              <w:bottom w:w="75" w:type="dxa"/>
              <w:end w:w="95" w:type="dxa"/>
            </w:tcMar>
            <w:tcBorders>
              <w:top w:val="single" w:sz="12" w:color="2C6E55"/>
              <w:left w:val="single" w:sz="12" w:color="2C6E55"/>
              <w:bottom w:val="single" w:sz="6" w:color="9EB0B8"/>
              <w:right w:val="single" w:sz="6" w:color="9EB0B8"/>
            </w:tcBorders>
          </w:tcPr>
          <w:p>
            <w:pPr>
              <w:spacing w:after="0"/>
            </w:pPr>
            <w:r>
              <w:rPr>
                <w:rFonts w:ascii="Arial" w:hAnsi="Arial" w:eastAsia="Arial"/>
                <w:b/>
                <w:color w:val="2C6E55"/>
                <w:sz w:val="19"/>
              </w:rPr>
              <w:t xml:space="preserve">END STATE. </w:t>
            </w:r>
            <w:r>
              <w:rPr>
                <w:rFonts w:ascii="Arial" w:hAnsi="Arial" w:eastAsia="Arial"/>
                <w:color w:val="1D2730"/>
                <w:sz w:val="19"/>
              </w:rPr>
              <w:t>Players install ImmersiveNPCs and Orbis owns its local Nemotron runtime automatically. llama.cpp remains a pinned low-level inference dependency; Orbis owns everything that affects gameplay, authority, cancellation, resources, diagnostics and recovery.</w:t>
            </w:r>
          </w:p>
        </w:tc>
        <w:trPr>
          <w:tblHeader/>
        </w:trPr>
      </w:tr>
    </w:tbl>
    <w:p>
      <w:pPr>
        <w:spacing w:after="0"/>
      </w:pPr>
    </w:p>
    <w:p>
      <w:r>
        <w:br w:type="page"/>
      </w:r>
    </w:p>
    <w:p>
      <w:pPr>
        <w:pStyle w:val="Heading1"/>
        <w:keepNext/>
      </w:pPr>
      <w:r>
        <w:t>Appendix A. Proposed Component Map</w:t>
      </w:r>
    </w:p>
    <w:tbl>
      <w:tblPr>
        <w:tblW w:type="auto" w:w="0"/>
        <w:jc w:val="center"/>
        <w:tblLayout w:type="fixed"/>
        <w:tblLook w:firstColumn="1" w:firstRow="1" w:lastColumn="0" w:lastRow="0" w:noHBand="0" w:noVBand="1" w:val="04A0"/>
      </w:tblPr>
      <w:tblGrid>
        <w:gridCol w:w="1440"/>
        <w:gridCol w:w="3240"/>
        <w:gridCol w:w="5544"/>
      </w:tblGrid>
      <w:tr>
        <w:trPr>
          <w:tblHeader w:val="true"/>
        </w:trPr>
        <w:tc>
          <w:tcPr>
            <w:tcW w:type="dxa" w:w="1440"/>
            <w:shd w:fill="0E4856"/>
            <w:tcMar>
              <w:top w:w="55" w:type="dxa"/>
              <w:start w:w="60" w:type="dxa"/>
              <w:bottom w:w="55" w:type="dxa"/>
              <w:end w:w="60" w:type="dxa"/>
            </w:tcMar>
            <w:tcBorders>
              <w:top w:val="single" w:sz="6" w:color="9EB0B8"/>
              <w:left w:val="single" w:sz="6" w:color="9EB0B8"/>
              <w:bottom w:val="single" w:sz="6" w:color="9EB0B8"/>
              <w:right w:val="single" w:sz="6" w:color="9EB0B8"/>
            </w:tcBorders>
            <w:vAlign w:val="center"/>
          </w:tcPr>
          <w:p>
            <w:pPr>
              <w:spacing w:after="0"/>
            </w:pPr>
            <w:r>
              <w:rPr>
                <w:rFonts w:ascii="Arial" w:hAnsi="Arial" w:eastAsia="Arial"/>
                <w:b/>
                <w:color w:val="FFFFFF"/>
                <w:sz w:val="16"/>
              </w:rPr>
              <w:t>Layer</w:t>
            </w:r>
          </w:p>
        </w:tc>
        <w:tc>
          <w:tcPr>
            <w:tcW w:type="dxa" w:w="3240"/>
            <w:shd w:fill="0E4856"/>
            <w:tcMar>
              <w:top w:w="55" w:type="dxa"/>
              <w:start w:w="60" w:type="dxa"/>
              <w:bottom w:w="55" w:type="dxa"/>
              <w:end w:w="60" w:type="dxa"/>
            </w:tcMar>
            <w:tcBorders>
              <w:top w:val="single" w:sz="6" w:color="9EB0B8"/>
              <w:left w:val="single" w:sz="6" w:color="9EB0B8"/>
              <w:bottom w:val="single" w:sz="6" w:color="9EB0B8"/>
              <w:right w:val="single" w:sz="6" w:color="9EB0B8"/>
            </w:tcBorders>
            <w:vAlign w:val="center"/>
          </w:tcPr>
          <w:p>
            <w:pPr>
              <w:spacing w:after="0"/>
            </w:pPr>
            <w:r>
              <w:rPr>
                <w:rFonts w:ascii="Arial" w:hAnsi="Arial" w:eastAsia="Arial"/>
                <w:b/>
                <w:color w:val="FFFFFF"/>
                <w:sz w:val="16"/>
              </w:rPr>
              <w:t>Component</w:t>
            </w:r>
          </w:p>
        </w:tc>
        <w:tc>
          <w:tcPr>
            <w:tcW w:type="dxa" w:w="5544"/>
            <w:shd w:fill="0E4856"/>
            <w:tcMar>
              <w:top w:w="55" w:type="dxa"/>
              <w:start w:w="60" w:type="dxa"/>
              <w:bottom w:w="55" w:type="dxa"/>
              <w:end w:w="60" w:type="dxa"/>
            </w:tcMar>
            <w:tcBorders>
              <w:top w:val="single" w:sz="6" w:color="9EB0B8"/>
              <w:left w:val="single" w:sz="6" w:color="9EB0B8"/>
              <w:bottom w:val="single" w:sz="6" w:color="9EB0B8"/>
              <w:right w:val="single" w:sz="6" w:color="9EB0B8"/>
            </w:tcBorders>
            <w:vAlign w:val="center"/>
          </w:tcPr>
          <w:p>
            <w:pPr>
              <w:spacing w:after="0"/>
            </w:pPr>
            <w:r>
              <w:rPr>
                <w:rFonts w:ascii="Arial" w:hAnsi="Arial" w:eastAsia="Arial"/>
                <w:b/>
                <w:color w:val="FFFFFF"/>
                <w:sz w:val="16"/>
              </w:rPr>
              <w:t>Responsibility</w:t>
            </w:r>
          </w:p>
        </w:tc>
      </w:tr>
      <w:tr>
        <w:tc>
          <w:tcPr>
            <w:tcW w:type="dxa" w:w="1440"/>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Java/Orbis</w:t>
            </w:r>
          </w:p>
        </w:tc>
        <w:tc>
          <w:tcPr>
            <w:tcW w:type="dxa" w:w="3240"/>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OrbisLlamaCppProvider</w:t>
            </w:r>
          </w:p>
        </w:tc>
        <w:tc>
          <w:tcPr>
            <w:tcW w:type="dxa" w:w="5544"/>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Provider contract, TurnExecutionPlan translation, immutable event sink.</w:t>
            </w:r>
          </w:p>
        </w:tc>
      </w:tr>
      <w:tr>
        <w:tc>
          <w:tcPr>
            <w:tcW w:type="dxa" w:w="1440"/>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Java/Orbis</w:t>
            </w:r>
          </w:p>
        </w:tc>
        <w:tc>
          <w:tcPr>
            <w:tcW w:type="dxa" w:w="3240"/>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OrbisLlmProcessManager</w:t>
            </w:r>
          </w:p>
        </w:tc>
        <w:tc>
          <w:tcPr>
            <w:tcW w:type="dxa" w:w="5544"/>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Manifest verification, process/job lifecycle, crash circuit breaker.</w:t>
            </w:r>
          </w:p>
        </w:tc>
      </w:tr>
      <w:tr>
        <w:tc>
          <w:tcPr>
            <w:tcW w:type="dxa" w:w="1440"/>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Java/Orbis</w:t>
            </w:r>
          </w:p>
        </w:tc>
        <w:tc>
          <w:tcPr>
            <w:tcW w:type="dxa" w:w="3240"/>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OrbisLlmIpcClient</w:t>
            </w:r>
          </w:p>
        </w:tc>
        <w:tc>
          <w:tcPr>
            <w:tcW w:type="dxa" w:w="5544"/>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Named-pipe handshake/framing/backpressure/correlation.</w:t>
            </w:r>
          </w:p>
        </w:tc>
      </w:tr>
      <w:tr>
        <w:tc>
          <w:tcPr>
            <w:tcW w:type="dxa" w:w="1440"/>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Java/Orbis</w:t>
            </w:r>
          </w:p>
        </w:tc>
        <w:tc>
          <w:tcPr>
            <w:tcW w:type="dxa" w:w="3240"/>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OrbisLlmRuntimeManifest</w:t>
            </w:r>
          </w:p>
        </w:tc>
        <w:tc>
          <w:tcPr>
            <w:tcW w:type="dxa" w:w="5544"/>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Protocol/build/backend/binary/model compatibility and hashes.</w:t>
            </w:r>
          </w:p>
        </w:tc>
      </w:tr>
      <w:tr>
        <w:tc>
          <w:tcPr>
            <w:tcW w:type="dxa" w:w="1440"/>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Java/Orbis</w:t>
            </w:r>
          </w:p>
        </w:tc>
        <w:tc>
          <w:tcPr>
            <w:tcW w:type="dxa" w:w="3240"/>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OrbisLlmModelManager</w:t>
            </w:r>
          </w:p>
        </w:tc>
        <w:tc>
          <w:tcPr>
            <w:tcW w:type="dxa" w:w="5544"/>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Approved model acquisition/license/hash/atomic installation.</w:t>
            </w:r>
          </w:p>
        </w:tc>
      </w:tr>
      <w:tr>
        <w:tc>
          <w:tcPr>
            <w:tcW w:type="dxa" w:w="1440"/>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Native</w:t>
            </w:r>
          </w:p>
        </w:tc>
        <w:tc>
          <w:tcPr>
            <w:tcW w:type="dxa" w:w="3240"/>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OrbisLlmMain</w:t>
            </w:r>
          </w:p>
        </w:tc>
        <w:tc>
          <w:tcPr>
            <w:tcW w:type="dxa" w:w="5544"/>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Bootstrap, manifest, parent/session security, control loop.</w:t>
            </w:r>
          </w:p>
        </w:tc>
      </w:tr>
      <w:tr>
        <w:tc>
          <w:tcPr>
            <w:tcW w:type="dxa" w:w="1440"/>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Native</w:t>
            </w:r>
          </w:p>
        </w:tc>
        <w:tc>
          <w:tcPr>
            <w:tcW w:type="dxa" w:w="3240"/>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IpcServer</w:t>
            </w:r>
          </w:p>
        </w:tc>
        <w:tc>
          <w:tcPr>
            <w:tcW w:type="dxa" w:w="5544"/>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Private protocol parsing/emission and bounded queues.</w:t>
            </w:r>
          </w:p>
        </w:tc>
      </w:tr>
      <w:tr>
        <w:tc>
          <w:tcPr>
            <w:tcW w:type="dxa" w:w="1440"/>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Native</w:t>
            </w:r>
          </w:p>
        </w:tc>
        <w:tc>
          <w:tcPr>
            <w:tcW w:type="dxa" w:w="3240"/>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ModelHost</w:t>
            </w:r>
          </w:p>
        </w:tc>
        <w:tc>
          <w:tcPr>
            <w:tcW w:type="dxa" w:w="5544"/>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libllama backend/model load/unload/metadata.</w:t>
            </w:r>
          </w:p>
        </w:tc>
      </w:tr>
      <w:tr>
        <w:tc>
          <w:tcPr>
            <w:tcW w:type="dxa" w:w="1440"/>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Native</w:t>
            </w:r>
          </w:p>
        </w:tc>
        <w:tc>
          <w:tcPr>
            <w:tcW w:type="dxa" w:w="3240"/>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ContextHost</w:t>
            </w:r>
          </w:p>
        </w:tc>
        <w:tc>
          <w:tcPr>
            <w:tcW w:type="dxa" w:w="5544"/>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Context/KV lifetime and approved cache operations.</w:t>
            </w:r>
          </w:p>
        </w:tc>
      </w:tr>
      <w:tr>
        <w:tc>
          <w:tcPr>
            <w:tcW w:type="dxa" w:w="1440"/>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Native</w:t>
            </w:r>
          </w:p>
        </w:tc>
        <w:tc>
          <w:tcPr>
            <w:tcW w:type="dxa" w:w="3240"/>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GenerationSession</w:t>
            </w:r>
          </w:p>
        </w:tc>
        <w:tc>
          <w:tcPr>
            <w:tcW w:type="dxa" w:w="5544"/>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Tokenization, prefill microbatches, decode/sampling/cancel/deadlines.</w:t>
            </w:r>
          </w:p>
        </w:tc>
      </w:tr>
      <w:tr>
        <w:tc>
          <w:tcPr>
            <w:tcW w:type="dxa" w:w="1440"/>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Native</w:t>
            </w:r>
          </w:p>
        </w:tc>
        <w:tc>
          <w:tcPr>
            <w:tcW w:type="dxa" w:w="3240"/>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ChatTemplateAdapter</w:t>
            </w:r>
          </w:p>
        </w:tc>
        <w:tc>
          <w:tcPr>
            <w:tcW w:type="dxa" w:w="5544"/>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Pinned Nemotron template/reasoning rendering and token parity.</w:t>
            </w:r>
          </w:p>
        </w:tc>
      </w:tr>
      <w:tr>
        <w:tc>
          <w:tcPr>
            <w:tcW w:type="dxa" w:w="1440"/>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Native</w:t>
            </w:r>
          </w:p>
        </w:tc>
        <w:tc>
          <w:tcPr>
            <w:tcW w:type="dxa" w:w="3240"/>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GrammarRegistry</w:t>
            </w:r>
          </w:p>
        </w:tc>
        <w:tc>
          <w:tcPr>
            <w:tcW w:type="dxa" w:w="5544"/>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Prevalidated route-specific GBNF contracts.</w:t>
            </w:r>
          </w:p>
        </w:tc>
      </w:tr>
      <w:tr>
        <w:tc>
          <w:tcPr>
            <w:tcW w:type="dxa" w:w="1440"/>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Native</w:t>
            </w:r>
          </w:p>
        </w:tc>
        <w:tc>
          <w:tcPr>
            <w:tcW w:type="dxa" w:w="3240"/>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MetricsCollector</w:t>
            </w:r>
          </w:p>
        </w:tc>
        <w:tc>
          <w:tcPr>
            <w:tcW w:type="dxa" w:w="5544"/>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Perf counters, process memory, backend/VRAM snapshots.</w:t>
            </w:r>
          </w:p>
        </w:tc>
      </w:tr>
      <w:tr>
        <w:tc>
          <w:tcPr>
            <w:tcW w:type="dxa" w:w="1440"/>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Tests</w:t>
            </w:r>
          </w:p>
        </w:tc>
        <w:tc>
          <w:tcPr>
            <w:tcW w:type="dxa" w:w="3240"/>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OrbisLlamaCppProviderTest / Protocol fixtures</w:t>
            </w:r>
          </w:p>
        </w:tc>
        <w:tc>
          <w:tcPr>
            <w:tcW w:type="dxa" w:w="5544"/>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Lifecycle, ordering, cancellation, restart and parity.</w:t>
            </w:r>
          </w:p>
        </w:tc>
      </w:tr>
      <w:tr>
        <w:tc>
          <w:tcPr>
            <w:tcW w:type="dxa" w:w="1440"/>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Tests</w:t>
            </w:r>
          </w:p>
        </w:tc>
        <w:tc>
          <w:tcPr>
            <w:tcW w:type="dxa" w:w="3240"/>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LlamaCppAbBenchmark</w:t>
            </w:r>
          </w:p>
        </w:tc>
        <w:tc>
          <w:tcPr>
            <w:tcW w:type="dxa" w:w="5544"/>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Ollama vs OrbisLLM same-workload report.</w:t>
            </w:r>
          </w:p>
        </w:tc>
      </w:tr>
    </w:tbl>
    <w:p>
      <w:pPr>
        <w:spacing w:after="0"/>
      </w:pPr>
    </w:p>
    <w:p>
      <w:pPr>
        <w:pStyle w:val="Heading1"/>
        <w:keepNext/>
      </w:pPr>
      <w:r>
        <w:t>Appendix B. IPC Message Contract</w:t>
      </w:r>
    </w:p>
    <w:tbl>
      <w:tblPr>
        <w:tblW w:type="auto" w:w="0"/>
        <w:jc w:val="center"/>
        <w:tblLayout w:type="fixed"/>
        <w:tblLook w:firstColumn="1" w:firstRow="1" w:lastColumn="0" w:lastRow="0" w:noHBand="0" w:noVBand="1" w:val="04A0"/>
      </w:tblPr>
      <w:tblGrid>
        <w:gridCol w:w="2952"/>
        <w:gridCol w:w="7272"/>
      </w:tblGrid>
      <w:tr>
        <w:trPr>
          <w:tblHeader w:val="true"/>
        </w:trPr>
        <w:tc>
          <w:tcPr>
            <w:tcW w:type="dxa" w:w="2952"/>
            <w:shd w:fill="0E4856"/>
            <w:tcMar>
              <w:top w:w="55" w:type="dxa"/>
              <w:start w:w="60" w:type="dxa"/>
              <w:bottom w:w="55" w:type="dxa"/>
              <w:end w:w="60" w:type="dxa"/>
            </w:tcMar>
            <w:tcBorders>
              <w:top w:val="single" w:sz="6" w:color="9EB0B8"/>
              <w:left w:val="single" w:sz="6" w:color="9EB0B8"/>
              <w:bottom w:val="single" w:sz="6" w:color="9EB0B8"/>
              <w:right w:val="single" w:sz="6" w:color="9EB0B8"/>
            </w:tcBorders>
            <w:vAlign w:val="center"/>
          </w:tcPr>
          <w:p>
            <w:pPr>
              <w:spacing w:after="0"/>
            </w:pPr>
            <w:r>
              <w:rPr>
                <w:rFonts w:ascii="Arial" w:hAnsi="Arial" w:eastAsia="Arial"/>
                <w:b/>
                <w:color w:val="FFFFFF"/>
                <w:sz w:val="16"/>
              </w:rPr>
              <w:t>Message</w:t>
            </w:r>
          </w:p>
        </w:tc>
        <w:tc>
          <w:tcPr>
            <w:tcW w:type="dxa" w:w="7272"/>
            <w:shd w:fill="0E4856"/>
            <w:tcMar>
              <w:top w:w="55" w:type="dxa"/>
              <w:start w:w="60" w:type="dxa"/>
              <w:bottom w:w="55" w:type="dxa"/>
              <w:end w:w="60" w:type="dxa"/>
            </w:tcMar>
            <w:tcBorders>
              <w:top w:val="single" w:sz="6" w:color="9EB0B8"/>
              <w:left w:val="single" w:sz="6" w:color="9EB0B8"/>
              <w:bottom w:val="single" w:sz="6" w:color="9EB0B8"/>
              <w:right w:val="single" w:sz="6" w:color="9EB0B8"/>
            </w:tcBorders>
            <w:vAlign w:val="center"/>
          </w:tcPr>
          <w:p>
            <w:pPr>
              <w:spacing w:after="0"/>
            </w:pPr>
            <w:r>
              <w:rPr>
                <w:rFonts w:ascii="Arial" w:hAnsi="Arial" w:eastAsia="Arial"/>
                <w:b/>
                <w:color w:val="FFFFFF"/>
                <w:sz w:val="16"/>
              </w:rPr>
              <w:t>Required fields / semantics</w:t>
            </w:r>
          </w:p>
        </w:tc>
      </w:tr>
      <w:tr>
        <w:tc>
          <w:tcPr>
            <w:tcW w:type="dxa" w:w="2952"/>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HELLO / HELLO_ACK</w:t>
            </w:r>
          </w:p>
        </w:tc>
        <w:tc>
          <w:tcPr>
            <w:tcW w:type="dxa" w:w="7272"/>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protocol, processGeneration, nonce proof, runtime manifest hash, llama.cpp commit/build, backends/capabilities.</w:t>
            </w:r>
          </w:p>
        </w:tc>
      </w:tr>
      <w:tr>
        <w:tc>
          <w:tcPr>
            <w:tcW w:type="dxa" w:w="2952"/>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LOAD_MODEL</w:t>
            </w:r>
          </w:p>
        </w:tc>
        <w:tc>
          <w:tcPr>
            <w:tcW w:type="dxa" w:w="7272"/>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approved model ID/path from manifest, model hash, runtime profile, load deadline.</w:t>
            </w:r>
          </w:p>
        </w:tc>
      </w:tr>
      <w:tr>
        <w:tc>
          <w:tcPr>
            <w:tcW w:type="dxa" w:w="2952"/>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CREATE_CONTEXT</w:t>
            </w:r>
          </w:p>
        </w:tc>
        <w:tc>
          <w:tcPr>
            <w:tcW w:type="dxa" w:w="7272"/>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n_ctx, batch/microbatch, threads, Flash Attention/KV/offload settings.</w:t>
            </w:r>
          </w:p>
        </w:tc>
      </w:tr>
      <w:tr>
        <w:tc>
          <w:tcPr>
            <w:tcW w:type="dxa" w:w="2952"/>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GENERATE</w:t>
            </w:r>
          </w:p>
        </w:tc>
        <w:tc>
          <w:tcPr>
            <w:tcW w:type="dxa" w:w="7272"/>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correlation IDs/epoch, canonical messages, reasoning mode, output contract ID, sampler settings, budgets/deadlines/cache directive.</w:t>
            </w:r>
          </w:p>
        </w:tc>
      </w:tr>
      <w:tr>
        <w:tc>
          <w:tcPr>
            <w:tcW w:type="dxa" w:w="2952"/>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REQUEST_ACCEPTED</w:t>
            </w:r>
          </w:p>
        </w:tc>
        <w:tc>
          <w:tcPr>
            <w:tcW w:type="dxa" w:w="7272"/>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request/process generation, model/context epoch, prompt hash/token count.</w:t>
            </w:r>
          </w:p>
        </w:tc>
      </w:tr>
      <w:tr>
        <w:tc>
          <w:tcPr>
            <w:tcW w:type="dxa" w:w="2952"/>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PROMPT_PROGRESS</w:t>
            </w:r>
          </w:p>
        </w:tc>
        <w:tc>
          <w:tcPr>
            <w:tcW w:type="dxa" w:w="7272"/>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processed/total tokens, elapsed, cancellation-safe boundary.</w:t>
            </w:r>
          </w:p>
        </w:tc>
      </w:tr>
      <w:tr>
        <w:tc>
          <w:tcPr>
            <w:tcW w:type="dxa" w:w="2952"/>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REASONING_DELTA / FINAL_DELTA</w:t>
            </w:r>
          </w:p>
        </w:tc>
        <w:tc>
          <w:tcPr>
            <w:tcW w:type="dxa" w:w="7272"/>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strict sequence, bounded UTF-8 text, token counts; no hidden reasoning persistence by Orbis.</w:t>
            </w:r>
          </w:p>
        </w:tc>
      </w:tr>
      <w:tr>
        <w:tc>
          <w:tcPr>
            <w:tcW w:type="dxa" w:w="2952"/>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CONTRACT_COMPLETE</w:t>
            </w:r>
          </w:p>
        </w:tc>
        <w:tc>
          <w:tcPr>
            <w:tcW w:type="dxa" w:w="7272"/>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complete structured text, finish reason, token/perf metrics.</w:t>
            </w:r>
          </w:p>
        </w:tc>
      </w:tr>
      <w:tr>
        <w:tc>
          <w:tcPr>
            <w:tcW w:type="dxa" w:w="2952"/>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CANCEL / CANCEL_ACK</w:t>
            </w:r>
          </w:p>
        </w:tc>
        <w:tc>
          <w:tcPr>
            <w:tcW w:type="dxa" w:w="7272"/>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request/epoch/reason, acknowledge actual loop stop and resource release state.</w:t>
            </w:r>
          </w:p>
        </w:tc>
      </w:tr>
      <w:tr>
        <w:tc>
          <w:tcPr>
            <w:tcW w:type="dxa" w:w="2952"/>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RESOURCE_SNAPSHOT</w:t>
            </w:r>
          </w:p>
        </w:tc>
        <w:tc>
          <w:tcPr>
            <w:tcW w:type="dxa" w:w="7272"/>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measured/estimated/unknown model/context/request RAM/VRAM, backend/device, timestamp.</w:t>
            </w:r>
          </w:p>
        </w:tc>
      </w:tr>
      <w:tr>
        <w:tc>
          <w:tcPr>
            <w:tcW w:type="dxa" w:w="2952"/>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ERROR</w:t>
            </w:r>
          </w:p>
        </w:tc>
        <w:tc>
          <w:tcPr>
            <w:tcW w:type="dxa" w:w="7272"/>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bounded category, retriable, request/process generation, no raw secret/prompt by default.</w:t>
            </w:r>
          </w:p>
        </w:tc>
      </w:tr>
    </w:tbl>
    <w:p>
      <w:pPr>
        <w:spacing w:after="0"/>
      </w:pPr>
    </w:p>
    <w:p>
      <w:pPr>
        <w:pStyle w:val="Heading1"/>
        <w:keepNext/>
      </w:pPr>
      <w:r>
        <w:t>Appendix C. A/B Benchmark Matrix</w:t>
      </w:r>
    </w:p>
    <w:tbl>
      <w:tblPr>
        <w:tblW w:type="auto" w:w="0"/>
        <w:jc w:val="center"/>
        <w:tblLayout w:type="fixed"/>
        <w:tblLook w:firstColumn="1" w:firstRow="1" w:lastColumn="0" w:lastRow="0" w:noHBand="0" w:noVBand="1" w:val="04A0"/>
      </w:tblPr>
      <w:tblGrid>
        <w:gridCol w:w="2880"/>
        <w:gridCol w:w="7344"/>
      </w:tblGrid>
      <w:tr>
        <w:trPr>
          <w:tblHeader w:val="true"/>
        </w:trPr>
        <w:tc>
          <w:tcPr>
            <w:tcW w:type="dxa" w:w="2880"/>
            <w:shd w:fill="0E4856"/>
            <w:tcMar>
              <w:top w:w="55" w:type="dxa"/>
              <w:start w:w="60" w:type="dxa"/>
              <w:bottom w:w="55" w:type="dxa"/>
              <w:end w:w="60" w:type="dxa"/>
            </w:tcMar>
            <w:tcBorders>
              <w:top w:val="single" w:sz="6" w:color="9EB0B8"/>
              <w:left w:val="single" w:sz="6" w:color="9EB0B8"/>
              <w:bottom w:val="single" w:sz="6" w:color="9EB0B8"/>
              <w:right w:val="single" w:sz="6" w:color="9EB0B8"/>
            </w:tcBorders>
            <w:vAlign w:val="center"/>
          </w:tcPr>
          <w:p>
            <w:pPr>
              <w:spacing w:after="0"/>
            </w:pPr>
            <w:r>
              <w:rPr>
                <w:rFonts w:ascii="Arial" w:hAnsi="Arial" w:eastAsia="Arial"/>
                <w:b/>
                <w:color w:val="FFFFFF"/>
                <w:sz w:val="16"/>
              </w:rPr>
              <w:t>Scenario</w:t>
            </w:r>
          </w:p>
        </w:tc>
        <w:tc>
          <w:tcPr>
            <w:tcW w:type="dxa" w:w="7344"/>
            <w:shd w:fill="0E4856"/>
            <w:tcMar>
              <w:top w:w="55" w:type="dxa"/>
              <w:start w:w="60" w:type="dxa"/>
              <w:bottom w:w="55" w:type="dxa"/>
              <w:end w:w="60" w:type="dxa"/>
            </w:tcMar>
            <w:tcBorders>
              <w:top w:val="single" w:sz="6" w:color="9EB0B8"/>
              <w:left w:val="single" w:sz="6" w:color="9EB0B8"/>
              <w:bottom w:val="single" w:sz="6" w:color="9EB0B8"/>
              <w:right w:val="single" w:sz="6" w:color="9EB0B8"/>
            </w:tcBorders>
            <w:vAlign w:val="center"/>
          </w:tcPr>
          <w:p>
            <w:pPr>
              <w:spacing w:after="0"/>
            </w:pPr>
            <w:r>
              <w:rPr>
                <w:rFonts w:ascii="Arial" w:hAnsi="Arial" w:eastAsia="Arial"/>
                <w:b/>
                <w:color w:val="FFFFFF"/>
                <w:sz w:val="16"/>
              </w:rPr>
              <w:t>Required comparison</w:t>
            </w:r>
          </w:p>
        </w:tc>
      </w:tr>
      <w:tr>
        <w:tc>
          <w:tcPr>
            <w:tcW w:type="dxa" w:w="2880"/>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Cold load</w:t>
            </w:r>
          </w:p>
        </w:tc>
        <w:tc>
          <w:tcPr>
            <w:tcW w:type="dxa" w:w="7344"/>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Process start, model load, context create, warmup, READY, RAM/VRAM.</w:t>
            </w:r>
          </w:p>
        </w:tc>
      </w:tr>
      <w:tr>
        <w:tc>
          <w:tcPr>
            <w:tcW w:type="dxa" w:w="2880"/>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Warm FAST</w:t>
            </w:r>
          </w:p>
        </w:tc>
        <w:tc>
          <w:tcPr>
            <w:tcW w:type="dxa" w:w="7344"/>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Prompt eval, TTFT, first phrase, full completion, tokens/s, first audible with Chatterbox.</w:t>
            </w:r>
          </w:p>
        </w:tc>
      </w:tr>
      <w:tr>
        <w:tc>
          <w:tcPr>
            <w:tcW w:type="dxa" w:w="2880"/>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Warm GROUNDED</w:t>
            </w:r>
          </w:p>
        </w:tc>
        <w:tc>
          <w:tcPr>
            <w:tcW w:type="dxa" w:w="7344"/>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Relevant context/prompt parity and claim correctness.</w:t>
            </w:r>
          </w:p>
        </w:tc>
      </w:tr>
      <w:tr>
        <w:tc>
          <w:tcPr>
            <w:tcW w:type="dxa" w:w="2880"/>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Deterministic action result</w:t>
            </w:r>
          </w:p>
        </w:tc>
        <w:tc>
          <w:tcPr>
            <w:tcW w:type="dxa" w:w="7344"/>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Server-first action then plain speech; no structured regression.</w:t>
            </w:r>
          </w:p>
        </w:tc>
      </w:tr>
      <w:tr>
        <w:tc>
          <w:tcPr>
            <w:tcW w:type="dxa" w:w="2880"/>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Compact structured choice</w:t>
            </w:r>
          </w:p>
        </w:tc>
        <w:tc>
          <w:tcPr>
            <w:tcW w:type="dxa" w:w="7344"/>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Grammar/JSON validity, latency, bounded output, Java validation.</w:t>
            </w:r>
          </w:p>
        </w:tc>
      </w:tr>
      <w:tr>
        <w:tc>
          <w:tcPr>
            <w:tcW w:type="dxa" w:w="2880"/>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Deliberative</w:t>
            </w:r>
          </w:p>
        </w:tc>
        <w:tc>
          <w:tcPr>
            <w:tcW w:type="dxa" w:w="7344"/>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Reasoning memo/final separation, cancellation and wall-clock bound.</w:t>
            </w:r>
          </w:p>
        </w:tc>
      </w:tr>
      <w:tr>
        <w:tc>
          <w:tcPr>
            <w:tcW w:type="dxa" w:w="2880"/>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Autonomous background</w:t>
            </w:r>
          </w:p>
        </w:tc>
        <w:tc>
          <w:tcPr>
            <w:tcW w:type="dxa" w:w="7344"/>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Lower priority/preemption by foreground turn.</w:t>
            </w:r>
          </w:p>
        </w:tc>
      </w:tr>
      <w:tr>
        <w:tc>
          <w:tcPr>
            <w:tcW w:type="dxa" w:w="2880"/>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Cancel during prefill</w:t>
            </w:r>
          </w:p>
        </w:tc>
        <w:tc>
          <w:tcPr>
            <w:tcW w:type="dxa" w:w="7344"/>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Ack/stop latency, no stale result, immediate next-turn readiness.</w:t>
            </w:r>
          </w:p>
        </w:tc>
      </w:tr>
      <w:tr>
        <w:tc>
          <w:tcPr>
            <w:tcW w:type="dxa" w:w="2880"/>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Cancel during generation</w:t>
            </w:r>
          </w:p>
        </w:tc>
        <w:tc>
          <w:tcPr>
            <w:tcW w:type="dxa" w:w="7344"/>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Ack/stop latency and temporary resource release.</w:t>
            </w:r>
          </w:p>
        </w:tc>
      </w:tr>
      <w:tr>
        <w:tc>
          <w:tcPr>
            <w:tcW w:type="dxa" w:w="2880"/>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Forced crash/stall</w:t>
            </w:r>
          </w:p>
        </w:tc>
        <w:tc>
          <w:tcPr>
            <w:tcW w:type="dxa" w:w="7344"/>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Process-generation invalidation, restart, circuit breaker.</w:t>
            </w:r>
          </w:p>
        </w:tc>
      </w:tr>
      <w:tr>
        <w:tc>
          <w:tcPr>
            <w:tcW w:type="dxa" w:w="2880"/>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Resource pressure</w:t>
            </w:r>
          </w:p>
        </w:tc>
        <w:tc>
          <w:tcPr>
            <w:tcW w:type="dxa" w:w="7344"/>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Hytale reserve, context sleep/full unload and no provider ping-pong.</w:t>
            </w:r>
          </w:p>
        </w:tc>
      </w:tr>
      <w:tr>
        <w:tc>
          <w:tcPr>
            <w:tcW w:type="dxa" w:w="2880"/>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Rapid-fire 20 turns</w:t>
            </w:r>
          </w:p>
        </w:tc>
        <w:tc>
          <w:tcPr>
            <w:tcW w:type="dxa" w:w="7344"/>
            <w:shd w:fill="EEF2F4"/>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No stale slots, provider failures, queue growth or increasing latency.</w:t>
            </w:r>
          </w:p>
        </w:tc>
      </w:tr>
      <w:tr>
        <w:tc>
          <w:tcPr>
            <w:tcW w:type="dxa" w:w="2880"/>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Connected 30+ turns</w:t>
            </w:r>
          </w:p>
        </w:tc>
        <w:tc>
          <w:tcPr>
            <w:tcW w:type="dxa" w:w="7344"/>
            <w:shd w:fill="FFFFFF"/>
            <w:tcMar>
              <w:top w:w="50" w:type="dxa"/>
              <w:start w:w="60" w:type="dxa"/>
              <w:bottom w:w="50" w:type="dxa"/>
              <w:end w:w="60" w:type="dxa"/>
            </w:tcMar>
            <w:tcBorders>
              <w:top w:val="single" w:sz="4" w:color="9EB0B8"/>
              <w:left w:val="single" w:sz="4" w:color="9EB0B8"/>
              <w:bottom w:val="single" w:sz="4" w:color="9EB0B8"/>
              <w:right w:val="single" w:sz="4" w:color="9EB0B8"/>
            </w:tcBorders>
            <w:vAlign w:val="top"/>
          </w:tcPr>
          <w:p>
            <w:pPr>
              <w:spacing w:after="0"/>
            </w:pPr>
            <w:r>
              <w:rPr>
                <w:rFonts w:ascii="Arial" w:hAnsi="Arial" w:eastAsia="Arial"/>
                <w:color w:val="1D2730"/>
                <w:sz w:val="16"/>
              </w:rPr>
              <w:t>Subjective/trace latency, voice delivery, Hytale impact and route correctness.</w:t>
            </w:r>
          </w:p>
        </w:tc>
      </w:tr>
    </w:tbl>
    <w:p>
      <w:pPr>
        <w:spacing w:after="0"/>
      </w:pPr>
    </w:p>
    <w:p>
      <w:pPr>
        <w:pStyle w:val="Heading1"/>
        <w:keepNext/>
      </w:pPr>
      <w:r>
        <w:t>Appendix D. Sources</w:t>
      </w:r>
    </w:p>
    <w:p>
      <w:pPr>
        <w:spacing w:after="80"/>
      </w:pPr>
      <w:r>
        <w:rPr>
          <w:rFonts w:ascii="Arial" w:hAnsi="Arial" w:eastAsia="Arial"/>
          <w:b/>
          <w:color w:val="0E4856"/>
          <w:sz w:val="18"/>
        </w:rPr>
        <w:t xml:space="preserve">[P1] Orbis Conversational Pipeline Hardening Matrix.md. </w:t>
      </w:r>
      <w:r>
        <w:rPr>
          <w:rFonts w:ascii="Arial" w:hAnsi="Arial" w:eastAsia="Arial"/>
          <w:color w:val="1D2730"/>
          <w:sz w:val="18"/>
        </w:rPr>
        <w:t>Local authoritative project specification for TurnExecutionPlan, budgets, canonical speech, recovery, resource safety and matrix testing.</w:t>
      </w:r>
    </w:p>
    <w:p>
      <w:pPr>
        <w:spacing w:after="80"/>
      </w:pPr>
      <w:r>
        <w:rPr>
          <w:rFonts w:ascii="Arial" w:hAnsi="Arial" w:eastAsia="Arial"/>
          <w:b/>
          <w:color w:val="0E4856"/>
          <w:sz w:val="18"/>
        </w:rPr>
        <w:t xml:space="preserve">[P2] Orbis Technical Design and current ownership/Phase 2 reports. </w:t>
      </w:r>
      <w:r>
        <w:rPr>
          <w:rFonts w:ascii="Arial" w:hAnsi="Arial" w:eastAsia="Arial"/>
          <w:color w:val="1D2730"/>
          <w:sz w:val="18"/>
        </w:rPr>
        <w:t>Local authoritative project sources for provider interfaces, lifecycle ownership, Hytale threading and resource policy.</w:t>
      </w:r>
    </w:p>
    <w:p>
      <w:pPr>
        <w:spacing w:after="80"/>
      </w:pPr>
      <w:r>
        <w:rPr>
          <w:rFonts w:ascii="Arial" w:hAnsi="Arial" w:eastAsia="Arial"/>
          <w:b/>
          <w:color w:val="0E4856"/>
          <w:sz w:val="18"/>
        </w:rPr>
        <w:t xml:space="preserve">[S1] llama.cpp official repository. </w:t>
      </w:r>
      <w:r>
        <w:rPr>
          <w:rFonts w:ascii="Arial" w:hAnsi="Arial" w:eastAsia="Arial"/>
          <w:color w:val="1D2730"/>
          <w:sz w:val="18"/>
        </w:rPr>
        <w:t>Official project description, C/C++ inference, quantization, CUDA and CPU+GPU hybrid backends, documentation and MIT license.</w:t>
      </w:r>
      <w:r>
        <w:t xml:space="preserve"> </w:t>
      </w:r>
      <w:hyperlink r:id="rId28">
        <w:r>
          <w:rPr>
            <w:color w:val="0563C1"/>
            <w:u w:val="single"/>
            <w:rFonts w:ascii="Arial" w:hAnsi="Arial"/>
          </w:rPr>
          <w:t>https://github.com/ggml-org/llama.cpp</w:t>
        </w:r>
      </w:hyperlink>
    </w:p>
    <w:p>
      <w:pPr>
        <w:spacing w:after="80"/>
      </w:pPr>
      <w:r>
        <w:rPr>
          <w:rFonts w:ascii="Arial" w:hAnsi="Arial" w:eastAsia="Arial"/>
          <w:b/>
          <w:color w:val="0E4856"/>
          <w:sz w:val="18"/>
        </w:rPr>
        <w:t xml:space="preserve">[S2] llama.cpp public libllama header. </w:t>
      </w:r>
      <w:r>
        <w:rPr>
          <w:rFonts w:ascii="Arial" w:hAnsi="Arial" w:eastAsia="Arial"/>
          <w:color w:val="1D2730"/>
          <w:sz w:val="18"/>
        </w:rPr>
        <w:t>Official API definitions for GPU layers, context/batch/threads, Flash Attention/KV types, abort callback limitation, model metadata and memory APIs.</w:t>
      </w:r>
      <w:r>
        <w:t xml:space="preserve"> </w:t>
      </w:r>
      <w:hyperlink r:id="rId29">
        <w:r>
          <w:rPr>
            <w:color w:val="0563C1"/>
            <w:u w:val="single"/>
            <w:rFonts w:ascii="Arial" w:hAnsi="Arial"/>
          </w:rPr>
          <w:t>https://github.com/ggml-org/llama.cpp/blob/master/include/llama.h</w:t>
        </w:r>
      </w:hyperlink>
    </w:p>
    <w:p>
      <w:pPr>
        <w:spacing w:after="80"/>
      </w:pPr>
      <w:r>
        <w:rPr>
          <w:rFonts w:ascii="Arial" w:hAnsi="Arial" w:eastAsia="Arial"/>
          <w:b/>
          <w:color w:val="0E4856"/>
          <w:sz w:val="18"/>
        </w:rPr>
        <w:t xml:space="preserve">[S3] llama.cpp GBNF grammar guide. </w:t>
      </w:r>
      <w:r>
        <w:rPr>
          <w:rFonts w:ascii="Arial" w:hAnsi="Arial" w:eastAsia="Arial"/>
          <w:color w:val="1D2730"/>
          <w:sz w:val="18"/>
        </w:rPr>
        <w:t>Official grammar and JSON-schema conversion guidance and supported-subset limitations.</w:t>
      </w:r>
      <w:r>
        <w:t xml:space="preserve"> </w:t>
      </w:r>
      <w:hyperlink r:id="rId30">
        <w:r>
          <w:rPr>
            <w:color w:val="0563C1"/>
            <w:u w:val="single"/>
            <w:rFonts w:ascii="Arial" w:hAnsi="Arial"/>
          </w:rPr>
          <w:t>https://github.com/ggml-org/llama.cpp/blob/master/grammars/README.md</w:t>
        </w:r>
      </w:hyperlink>
    </w:p>
    <w:p>
      <w:pPr>
        <w:spacing w:after="80"/>
      </w:pPr>
      <w:r>
        <w:rPr>
          <w:rFonts w:ascii="Arial" w:hAnsi="Arial" w:eastAsia="Arial"/>
          <w:b/>
          <w:color w:val="0E4856"/>
          <w:sz w:val="18"/>
        </w:rPr>
        <w:t xml:space="preserve">[S4] llama.cpp MIT License. </w:t>
      </w:r>
      <w:r>
        <w:rPr>
          <w:rFonts w:ascii="Arial" w:hAnsi="Arial" w:eastAsia="Arial"/>
          <w:color w:val="1D2730"/>
          <w:sz w:val="18"/>
        </w:rPr>
        <w:t>Distribution and attribution terms for the inference runtime.</w:t>
      </w:r>
      <w:r>
        <w:t xml:space="preserve"> </w:t>
      </w:r>
      <w:hyperlink r:id="rId31">
        <w:r>
          <w:rPr>
            <w:color w:val="0563C1"/>
            <w:u w:val="single"/>
            <w:rFonts w:ascii="Arial" w:hAnsi="Arial"/>
          </w:rPr>
          <w:t>https://github.com/ggml-org/llama.cpp/blob/master/LICENSE</w:t>
        </w:r>
      </w:hyperlink>
    </w:p>
    <w:p>
      <w:pPr>
        <w:spacing w:after="80"/>
      </w:pPr>
      <w:r>
        <w:rPr>
          <w:rFonts w:ascii="Arial" w:hAnsi="Arial" w:eastAsia="Arial"/>
          <w:b/>
          <w:color w:val="0E4856"/>
          <w:sz w:val="18"/>
        </w:rPr>
        <w:t xml:space="preserve">[S5] NVIDIA Nemotron 3 Nano 4B GGUF model card. </w:t>
      </w:r>
      <w:r>
        <w:rPr>
          <w:rFonts w:ascii="Arial" w:hAnsi="Arial" w:eastAsia="Arial"/>
          <w:color w:val="1D2730"/>
          <w:sz w:val="18"/>
        </w:rPr>
        <w:t>Official Q4_K_M model, reasoning/non-reasoning behavior, gaming NPC/local assistant use case, license and llama.cpp/Windows usage.</w:t>
      </w:r>
      <w:r>
        <w:t xml:space="preserve"> </w:t>
      </w:r>
      <w:hyperlink r:id="rId19">
        <w:r>
          <w:rPr>
            <w:color w:val="0563C1"/>
            <w:u w:val="single"/>
            <w:rFonts w:ascii="Arial" w:hAnsi="Arial"/>
          </w:rPr>
          <w:t>https://huggingface.co/nvidia/NVIDIA-Nemotron-3-Nano-4B-GGUF</w:t>
        </w:r>
      </w:hyperlink>
    </w:p>
    <w:p>
      <w:pPr>
        <w:spacing w:after="80"/>
      </w:pPr>
      <w:r>
        <w:rPr>
          <w:rFonts w:ascii="Arial" w:hAnsi="Arial" w:eastAsia="Arial"/>
          <w:b/>
          <w:color w:val="0E4856"/>
          <w:sz w:val="18"/>
        </w:rPr>
        <w:t xml:space="preserve">[S6] llama.cpp issue #27481. </w:t>
      </w:r>
      <w:r>
        <w:rPr>
          <w:rFonts w:ascii="Arial" w:hAnsi="Arial" w:eastAsia="Arial"/>
          <w:color w:val="1D2730"/>
          <w:sz w:val="18"/>
        </w:rPr>
        <w:t>Current upstream risk evidence: cancellation before first result may not be observed during tokenization/prompt processing in llama-server.</w:t>
      </w:r>
      <w:r>
        <w:t xml:space="preserve"> </w:t>
      </w:r>
      <w:hyperlink r:id="rId32">
        <w:r>
          <w:rPr>
            <w:color w:val="0563C1"/>
            <w:u w:val="single"/>
            <w:rFonts w:ascii="Arial" w:hAnsi="Arial"/>
          </w:rPr>
          <w:t>https://github.com/ggml-org/llama.cpp/issues/27481</w:t>
        </w:r>
      </w:hyperlink>
    </w:p>
    <w:p>
      <w:pPr>
        <w:spacing w:after="80"/>
      </w:pPr>
      <w:r>
        <w:rPr>
          <w:rFonts w:ascii="Arial" w:hAnsi="Arial" w:eastAsia="Arial"/>
          <w:b/>
          <w:color w:val="0E4856"/>
          <w:sz w:val="18"/>
        </w:rPr>
        <w:t xml:space="preserve">[S7] llama.cpp issue #24496. </w:t>
      </w:r>
      <w:r>
        <w:rPr>
          <w:rFonts w:ascii="Arial" w:hAnsi="Arial" w:eastAsia="Arial"/>
          <w:color w:val="1D2730"/>
          <w:sz w:val="18"/>
        </w:rPr>
        <w:t>Upstream server risk evidence: client disconnect did not necessarily stop generation, motivating direct request-loop ownership.</w:t>
      </w:r>
      <w:r>
        <w:t xml:space="preserve"> </w:t>
      </w:r>
      <w:hyperlink r:id="rId33">
        <w:r>
          <w:rPr>
            <w:color w:val="0563C1"/>
            <w:u w:val="single"/>
            <w:rFonts w:ascii="Arial" w:hAnsi="Arial"/>
          </w:rPr>
          <w:t>https://github.com/ggml-org/llama.cpp/issues/24496</w:t>
        </w:r>
      </w:hyperlink>
    </w:p>
    <w:p>
      <w:pPr>
        <w:spacing w:after="80"/>
      </w:pPr>
      <w:r>
        <w:rPr>
          <w:rFonts w:ascii="Arial" w:hAnsi="Arial" w:eastAsia="Arial"/>
          <w:b/>
          <w:color w:val="0E4856"/>
          <w:sz w:val="18"/>
        </w:rPr>
        <w:t xml:space="preserve">[S8] llama.cpp issue #22314. </w:t>
      </w:r>
      <w:r>
        <w:rPr>
          <w:rFonts w:ascii="Arial" w:hAnsi="Arial" w:eastAsia="Arial"/>
          <w:color w:val="1D2730"/>
          <w:sz w:val="18"/>
        </w:rPr>
        <w:t>JSON Schema to GBNF incompatibility example for unsupported regex shorthand.</w:t>
      </w:r>
      <w:r>
        <w:t xml:space="preserve"> </w:t>
      </w:r>
      <w:hyperlink r:id="rId34">
        <w:r>
          <w:rPr>
            <w:color w:val="0563C1"/>
            <w:u w:val="single"/>
            <w:rFonts w:ascii="Arial" w:hAnsi="Arial"/>
          </w:rPr>
          <w:t>https://github.com/ggml-org/llama.cpp/issues/22314</w:t>
        </w:r>
      </w:hyperlink>
    </w:p>
    <w:p>
      <w:pPr>
        <w:spacing w:after="80"/>
      </w:pPr>
      <w:r>
        <w:rPr>
          <w:rFonts w:ascii="Arial" w:hAnsi="Arial" w:eastAsia="Arial"/>
          <w:b/>
          <w:color w:val="0E4856"/>
          <w:sz w:val="18"/>
        </w:rPr>
        <w:t xml:space="preserve">[S9] llama.cpp issue #25923. </w:t>
      </w:r>
      <w:r>
        <w:rPr>
          <w:rFonts w:ascii="Arial" w:hAnsi="Arial" w:eastAsia="Arial"/>
          <w:color w:val="1D2730"/>
          <w:sz w:val="18"/>
        </w:rPr>
        <w:t>Recent grammar conversion edge cases that motivate a prevalidated fixed contract registry.</w:t>
      </w:r>
      <w:r>
        <w:t xml:space="preserve"> </w:t>
      </w:r>
      <w:hyperlink r:id="rId35">
        <w:r>
          <w:rPr>
            <w:color w:val="0563C1"/>
            <w:u w:val="single"/>
            <w:rFonts w:ascii="Arial" w:hAnsi="Arial"/>
          </w:rPr>
          <w:t>https://github.com/ggml-org/llama.cpp/issues/25923</w:t>
        </w:r>
      </w:hyperlink>
    </w:p>
    <w:tbl>
      <w:tblPr>
        <w:tblW w:type="auto" w:w="0"/>
        <w:jc w:val="center"/>
        <w:tblLayout w:type="fixed"/>
        <w:tblLook w:firstColumn="1" w:firstRow="1" w:lastColumn="0" w:lastRow="0" w:noHBand="0" w:noVBand="1" w:val="04A0"/>
      </w:tblPr>
      <w:tblGrid>
        <w:gridCol w:w="10224"/>
      </w:tblGrid>
      <w:tr>
        <w:tc>
          <w:tcPr>
            <w:tcW w:type="dxa" w:w="10282"/>
            <w:shd w:fill="EEF2F4"/>
            <w:tcMar>
              <w:top w:w="75" w:type="dxa"/>
              <w:start w:w="95" w:type="dxa"/>
              <w:bottom w:w="75" w:type="dxa"/>
              <w:end w:w="95" w:type="dxa"/>
            </w:tcMar>
            <w:tcBorders>
              <w:top w:val="single" w:sz="12" w:color="973737"/>
              <w:left w:val="single" w:sz="12" w:color="973737"/>
              <w:bottom w:val="single" w:sz="6" w:color="9EB0B8"/>
              <w:right w:val="single" w:sz="6" w:color="9EB0B8"/>
            </w:tcBorders>
          </w:tcPr>
          <w:p>
            <w:pPr>
              <w:spacing w:after="0"/>
            </w:pPr>
            <w:r>
              <w:rPr>
                <w:rFonts w:ascii="Arial" w:hAnsi="Arial" w:eastAsia="Arial"/>
                <w:b/>
                <w:color w:val="973737"/>
                <w:sz w:val="19"/>
              </w:rPr>
              <w:t xml:space="preserve">END OF SPECIFICATION. </w:t>
            </w:r>
            <w:r>
              <w:rPr>
                <w:rFonts w:ascii="Arial" w:hAnsi="Arial" w:eastAsia="Arial"/>
                <w:color w:val="1D2730"/>
                <w:sz w:val="19"/>
              </w:rPr>
              <w:t>Codex should first prove an experimental OrbisLLM provider against the stable Ollama control. The production migration is complete only when the local sidecar preserves Orbis authority, improves lifecycle control without Hytale regression, and a clean consumer machine can run ImmersiveNPCs without installing Ollama.</w:t>
            </w:r>
          </w:p>
        </w:tc>
        <w:trPr>
          <w:tblHeader/>
        </w:trPr>
      </w:tr>
    </w:tbl>
    <w:p>
      <w:pPr>
        <w:spacing w:after="0"/>
      </w:pPr>
    </w:p>
    <w:sectPr w:rsidR="00FC693F" w:rsidRPr="0006063C" w:rsidSect="00034616">
      <w:headerReference w:type="default" r:id="rId9"/>
      <w:footerReference w:type="default" r:id="rId10"/>
      <w:pgSz w:w="12240" w:h="15840"/>
      <w:pgMar w:top="792" w:right="979" w:bottom="835"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Pr>
    <w:tblGrid>
      <w:gridCol w:w="3744"/>
      <w:gridCol w:w="3024"/>
      <w:gridCol w:w="3456"/>
    </w:tblGrid>
    <w:tr>
      <w:tc>
        <w:tcPr>
          <w:tcW w:type="dxa" w:w="3408"/>
          <w:tcMar>
            <w:top w:w="20" w:type="dxa"/>
            <w:start w:w="40" w:type="dxa"/>
            <w:bottom w:w="15" w:type="dxa"/>
            <w:end w:w="40" w:type="dxa"/>
          </w:tcMar>
          <w:tcBorders>
            <w:top w:val="single" w:sz="8" w:color="155666"/>
          </w:tcBorders>
        </w:tcPr>
        <w:p>
          <w:pPr>
            <w:jc w:val="left"/>
          </w:pPr>
          <w:r>
            <w:rPr>
              <w:rFonts w:ascii="Arial" w:hAnsi="Arial" w:eastAsia="Arial"/>
              <w:color w:val="5C6B76"/>
              <w:sz w:val="16"/>
            </w:rPr>
            <w:t>ImmersiveNPCs Technical Design</w:t>
          </w:r>
        </w:p>
      </w:tc>
      <w:tc>
        <w:tcPr>
          <w:tcW w:type="dxa" w:w="3408"/>
          <w:tcMar>
            <w:top w:w="20" w:type="dxa"/>
            <w:start w:w="40" w:type="dxa"/>
            <w:bottom w:w="15" w:type="dxa"/>
            <w:end w:w="40" w:type="dxa"/>
          </w:tcMar>
          <w:tcBorders>
            <w:top w:val="single" w:sz="8" w:color="155666"/>
          </w:tcBorders>
        </w:tcPr>
        <w:p>
          <w:pPr>
            <w:jc w:val="center"/>
          </w:pPr>
          <w:r>
            <w:rPr>
              <w:rFonts w:ascii="Arial" w:hAnsi="Arial" w:eastAsia="Arial"/>
              <w:color w:val="5C6B76"/>
              <w:sz w:val="16"/>
            </w:rPr>
            <w:t>Version 1.0 | 30 August 2026</w:t>
          </w:r>
        </w:p>
      </w:tc>
      <w:tc>
        <w:tcPr>
          <w:tcW w:type="dxa" w:w="3408"/>
          <w:tcMar>
            <w:top w:w="20" w:type="dxa"/>
            <w:start w:w="40" w:type="dxa"/>
            <w:bottom w:w="15" w:type="dxa"/>
            <w:end w:w="40" w:type="dxa"/>
          </w:tcMar>
          <w:tcBorders>
            <w:top w:val="single" w:sz="8" w:color="155666"/>
          </w:tcBorders>
        </w:tcPr>
        <w:p>
          <w:pPr>
            <w:jc w:val="right"/>
          </w:pPr>
          <w:r>
            <w:rPr>
              <w:rFonts w:ascii="Arial" w:hAnsi="Arial" w:eastAsia="Arial"/>
              <w:color w:val="5C6B76"/>
              <w:sz w:val="16"/>
            </w:rPr>
            <w:t xml:space="preserve">Page </w:t>
            <w:fldChar w:fldCharType="begin"/>
            <w:instrText xml:space="preserve"> PAGE </w:instrText>
            <w:fldChar w:fldCharType="end"/>
          </w:r>
        </w:p>
      </w:tc>
      <w:trPr>
        <w:tblHeader/>
      </w:trPr>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Arial" w:hAnsi="Arial" w:eastAsia="Arial"/>
        <w:b/>
        <w:color w:val="0E4856"/>
        <w:sz w:val="17"/>
      </w:rPr>
      <w:t>ORBIS LLM RUNTIME | LLAMA.CPP SIDECAR INTEGRATION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5" w:lineRule="auto"/>
    </w:pPr>
    <w:rPr>
      <w:rFonts w:ascii="Arial" w:hAnsi="Arial"/>
      <w:color w:val="1D273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E4856"/>
      <w:sz w:val="3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0E4856"/>
      <w:sz w:val="25"/>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rial" w:hAnsi="Arial"/>
      <w:b/>
      <w:bCs/>
      <w:color w:val="0E485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Liberation Sans" w:hAnsi="Liberation Sans"/>
      <w:b/>
      <w:color w:val="174F5C"/>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Liberation Sans" w:hAnsi="Liberation Sans"/>
      <w:b w:val="0"/>
      <w:i/>
      <w:iCs/>
      <w:color w:val="5D6B7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60" w:line="240" w:lineRule="auto"/>
      <w:ind w:left="259" w:right="259"/>
      <w:shd w:fill="F1F4F5"/>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file:Mara_2026-08-30_11-04-53.jsonl" TargetMode="External"/><Relationship Id="rId12" Type="http://schemas.openxmlformats.org/officeDocument/2006/relationships/hyperlink" Target="file:Mara_2026-08-30_11-42-33.jsonl" TargetMode="External"/><Relationship Id="rId13" Type="http://schemas.openxmlformats.org/officeDocument/2006/relationships/hyperlink" Target="file:Mara_2026-08-30_12-00-25.jsonl" TargetMode="External"/><Relationship Id="rId14" Type="http://schemas.openxmlformats.org/officeDocument/2006/relationships/hyperlink" Target="file:Orbis Technical Design.docx" TargetMode="External"/><Relationship Id="rId15" Type="http://schemas.openxmlformats.org/officeDocument/2006/relationships/hyperlink" Target="https://docs.ollama.com/capabilities/structured-outputs" TargetMode="External"/><Relationship Id="rId16" Type="http://schemas.openxmlformats.org/officeDocument/2006/relationships/hyperlink" Target="https://github.com/ollama/ollama/issues/11022" TargetMode="External"/><Relationship Id="rId17" Type="http://schemas.openxmlformats.org/officeDocument/2006/relationships/hyperlink" Target="https://github.com/ollama/ollama/issues/15465" TargetMode="External"/><Relationship Id="rId18" Type="http://schemas.openxmlformats.org/officeDocument/2006/relationships/hyperlink" Target="https://github.com/ollama/ollama/issues/14440" TargetMode="External"/><Relationship Id="rId19" Type="http://schemas.openxmlformats.org/officeDocument/2006/relationships/hyperlink" Target="https://huggingface.co/nvidia/NVIDIA-Nemotron-3-Nano-4B-GGUF" TargetMode="External"/><Relationship Id="rId20" Type="http://schemas.openxmlformats.org/officeDocument/2006/relationships/hyperlink" Target="https://moonshine-voice.readthedocs.io/en/latest/api/c-api/" TargetMode="External"/><Relationship Id="rId21" Type="http://schemas.openxmlformats.org/officeDocument/2006/relationships/hyperlink" Target="https://moonshine-voice.readthedocs.io/en/latest/using/benchmarks/" TargetMode="External"/><Relationship Id="rId22" Type="http://schemas.openxmlformats.org/officeDocument/2006/relationships/hyperlink" Target="https://github.com/cjpais/Handy/issues/1835" TargetMode="External"/><Relationship Id="rId23" Type="http://schemas.openxmlformats.org/officeDocument/2006/relationships/hyperlink" Target="https://github.com/resemble-ai/chatterbox" TargetMode="External"/><Relationship Id="rId24" Type="http://schemas.openxmlformats.org/officeDocument/2006/relationships/hyperlink" Target="https://github.com/resemble-ai/chatterbox/issues/424" TargetMode="External"/><Relationship Id="rId25" Type="http://schemas.openxmlformats.org/officeDocument/2006/relationships/hyperlink" Target="https://github.com/resemble-ai/chatterbox/issues/543" TargetMode="External"/><Relationship Id="rId26" Type="http://schemas.openxmlformats.org/officeDocument/2006/relationships/hyperlink" Target="https://www.nist.gov/programs-projects/combinatorial-testing" TargetMode="External"/><Relationship Id="rId27" Type="http://schemas.openxmlformats.org/officeDocument/2006/relationships/hyperlink" Target="https://docs.junit.org/5.11.0/user-guide/index.html" TargetMode="External"/><Relationship Id="rId28" Type="http://schemas.openxmlformats.org/officeDocument/2006/relationships/hyperlink" Target="https://github.com/ggml-org/llama.cpp" TargetMode="External"/><Relationship Id="rId29" Type="http://schemas.openxmlformats.org/officeDocument/2006/relationships/hyperlink" Target="https://github.com/ggml-org/llama.cpp/blob/master/include/llama.h" TargetMode="External"/><Relationship Id="rId30" Type="http://schemas.openxmlformats.org/officeDocument/2006/relationships/hyperlink" Target="https://github.com/ggml-org/llama.cpp/blob/master/grammars/README.md" TargetMode="External"/><Relationship Id="rId31" Type="http://schemas.openxmlformats.org/officeDocument/2006/relationships/hyperlink" Target="https://github.com/ggml-org/llama.cpp/blob/master/LICENSE" TargetMode="External"/><Relationship Id="rId32" Type="http://schemas.openxmlformats.org/officeDocument/2006/relationships/hyperlink" Target="https://github.com/ggml-org/llama.cpp/issues/27481" TargetMode="External"/><Relationship Id="rId33" Type="http://schemas.openxmlformats.org/officeDocument/2006/relationships/hyperlink" Target="https://github.com/ggml-org/llama.cpp/issues/24496" TargetMode="External"/><Relationship Id="rId34" Type="http://schemas.openxmlformats.org/officeDocument/2006/relationships/hyperlink" Target="https://github.com/ggml-org/llama.cpp/issues/22314" TargetMode="External"/><Relationship Id="rId35" Type="http://schemas.openxmlformats.org/officeDocument/2006/relationships/hyperlink" Target="https://github.com/ggml-org/llama.cpp/issues/259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Orbis LLM Runtime - llama.cpp Sidecar Integration</dc:title>
  <dc:subject>Benchmark-gated local Nemotron inference runtime for ImmersiveNPCs / Orbis</dc:subject>
  <dc:creator>OpenAI</dc:creator>
  <cp:keywords>Orbis, ImmersiveNPCs, llama.cpp, Nemotron, Hytale, sidecar, local inference</cp:keywords>
  <dc:description>Codex implementation specification. Version 1.0.</dc:description>
  <cp:lastModifiedBy/>
  <cp:revision>1</cp:revision>
  <dcterms:created xsi:type="dcterms:W3CDTF">2013-12-23T23:15:00Z</dcterms:created>
  <dcterms:modified xsi:type="dcterms:W3CDTF">2013-12-23T23:15:00Z</dcterms:modified>
  <cp:category/>
</cp:coreProperties>
</file>