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ROSmall"/>
        <w:spacing w:before="900"/>
      </w:pPr>
      <w:r>
        <w:t>HYWIND  /  ENGINEERING DESIGN</w:t>
      </w:r>
    </w:p>
    <w:p>
      <w:pPr>
        <w:pStyle w:val="Title"/>
        <w:spacing w:after="280"/>
      </w:pPr>
      <w:r>
        <w:t>Regression</w:t>
        <w:br/>
        <w:t>Observatory</w:t>
      </w:r>
    </w:p>
    <w:p>
      <w:pPr>
        <w:pStyle w:val="Subtitle"/>
        <w:spacing w:after="480"/>
      </w:pPr>
      <w:r>
        <w:t>Evidence-driven QA and patch migration</w:t>
      </w:r>
    </w:p>
    <w:p>
      <w:pPr>
        <w:pStyle w:val="HROCover"/>
      </w:pPr>
      <w:r>
        <w:t>Engineering design and three-stage Codex implementation plan</w:t>
      </w:r>
    </w:p>
    <w:p>
      <w:pPr>
        <w:pStyle w:val="HROCover"/>
      </w:pPr>
      <w:r>
        <w:t>Prepared for Graham</w:t>
        <w:br/>
        <w:t>12 October 2026  |  Design version 1.0</w:t>
      </w:r>
    </w:p>
    <w:p>
      <w:pPr>
        <w:pStyle w:val="HRONote"/>
        <w:shd w:fill="EAF2F4"/>
      </w:pPr>
      <w:r>
        <w:rPr>
          <w:b/>
        </w:rPr>
        <w:t>No perceptible gameplay lag.</w:t>
      </w:r>
      <w:r>
        <w:t xml:space="preserve"> Reduce or stop diagnostic collection when its budget is exhausted. Never slow gameplay to preserve a log.</w:t>
      </w:r>
    </w:p>
    <w:p>
      <w:pPr>
        <w:pStyle w:val="HROSmall"/>
      </w:pPr>
      <w:r>
        <w:rPr>
          <w:b/>
        </w:rPr>
        <w:t>Status:</w:t>
      </w:r>
      <w:r>
        <w:t xml:space="preserve"> Proposed engineering specification, not an implemented feature. Commands, thresholds, record types, and HRO class names below are proposed unless explicitly identified as existing. Repository findings are pinned to the reviewed source revision; Codex must discover the actual deployed baseline before implementing.</w:t>
      </w:r>
    </w:p>
    <w:p>
      <w:pPr>
        <w:pStyle w:val="HROCover"/>
      </w:pPr>
      <w:r>
        <w:rPr>
          <w:b/>
        </w:rPr>
        <w:t>Purpose:</w:t>
      </w:r>
      <w:r>
        <w:t xml:space="preserve"> Replace “I think this works” with evidence showing what was attempted, what actually happened, where an expected operation first failed, how that differs from an accepted build, and which existing Hywind implementation should be reconnected rather than rebuilt.</w:t>
      </w:r>
    </w:p>
    <w:p>
      <w:pPr>
        <w:pStyle w:val="HROCover"/>
      </w:pPr>
      <w:r>
        <w:rPr>
          <w:b/>
        </w:rPr>
        <w:t>Delivery shape:</w:t>
      </w:r>
      <w:r>
        <w:t xml:space="preserve"> Three engineering stages, one integrated QA handoff. Reuse existing tracing, authorities, codecs, tests, and archive machinery. No new observability service, live AI dependency, database, client modification, or gameplay framework.</w:t>
      </w:r>
    </w:p>
    <w:p>
      <w:r>
        <w:br w:type="page"/>
      </w:r>
    </w:p>
    <w:p>
      <w:pPr>
        <w:pStyle w:val="Heading1"/>
      </w:pPr>
      <w:r>
        <w:t>Reading guide</w:t>
      </w:r>
    </w:p>
    <w:p>
      <w:r>
        <w:t>The first sections define the evidence contract and runtime design. Section 18 contains the three implementation stages; Section 20 is the execution charter for Codex.</w:t>
      </w:r>
    </w:p>
    <w:p>
      <w:pPr>
        <w:spacing w:after="80"/>
      </w:pPr>
      <w:hyperlink w:anchor="s1">
        <w:r>
          <w:rPr>
            <w:color w:val="177F88"/>
            <w:u w:val="single"/>
          </w:rPr>
          <w:t>1. Decisions and boundaries</w:t>
        </w:r>
      </w:hyperlink>
    </w:p>
    <w:p>
      <w:pPr>
        <w:spacing w:after="80"/>
      </w:pPr>
      <w:hyperlink w:anchor="s2">
        <w:r>
          <w:rPr>
            <w:color w:val="177F88"/>
            <w:u w:val="single"/>
          </w:rPr>
          <w:t>2. Source-grounded starting point</w:t>
        </w:r>
      </w:hyperlink>
    </w:p>
    <w:p>
      <w:pPr>
        <w:spacing w:after="80"/>
      </w:pPr>
      <w:hyperlink w:anchor="s3">
        <w:r>
          <w:rPr>
            <w:color w:val="177F88"/>
            <w:u w:val="single"/>
          </w:rPr>
          <w:t>3. Owner workflow: one capture, one evidence bundle</w:t>
        </w:r>
      </w:hyperlink>
    </w:p>
    <w:p>
      <w:pPr>
        <w:spacing w:after="80"/>
      </w:pPr>
      <w:hyperlink w:anchor="s4">
        <w:r>
          <w:rPr>
            <w:color w:val="177F88"/>
            <w:u w:val="single"/>
          </w:rPr>
          <w:t>4. Architecture: connect existing evidence</w:t>
        </w:r>
      </w:hyperlink>
    </w:p>
    <w:p>
      <w:pPr>
        <w:spacing w:after="80"/>
      </w:pPr>
      <w:hyperlink w:anchor="s5">
        <w:r>
          <w:rPr>
            <w:color w:val="177F88"/>
            <w:u w:val="single"/>
          </w:rPr>
          <w:t>5. Evidence semantics and failure classification</w:t>
        </w:r>
      </w:hyperlink>
    </w:p>
    <w:p>
      <w:pPr>
        <w:spacing w:after="80"/>
      </w:pPr>
      <w:hyperlink w:anchor="s6">
        <w:r>
          <w:rPr>
            <w:color w:val="177F88"/>
            <w:u w:val="single"/>
          </w:rPr>
          <w:t>6. Shared event and contract model</w:t>
        </w:r>
      </w:hyperlink>
    </w:p>
    <w:p>
      <w:pPr>
        <w:spacing w:after="80"/>
      </w:pPr>
      <w:hyperlink w:anchor="s7">
        <w:r>
          <w:rPr>
            <w:color w:val="177F88"/>
            <w:u w:val="single"/>
          </w:rPr>
          <w:t>7. Initial contract catalog</w:t>
        </w:r>
      </w:hyperlink>
    </w:p>
    <w:p>
      <w:pPr>
        <w:spacing w:after="80"/>
      </w:pPr>
      <w:hyperlink w:anchor="s8">
        <w:r>
          <w:rPr>
            <w:color w:val="177F88"/>
            <w:u w:val="single"/>
          </w:rPr>
          <w:t>8. Player admission, skills and UI</w:t>
        </w:r>
      </w:hyperlink>
    </w:p>
    <w:p>
      <w:pPr>
        <w:spacing w:after="80"/>
      </w:pPr>
      <w:hyperlink w:anchor="s9">
        <w:r>
          <w:rPr>
            <w:color w:val="177F88"/>
            <w:u w:val="single"/>
          </w:rPr>
          <w:t>9. Inventory and gear: diagnose before rebuilding</w:t>
        </w:r>
      </w:hyperlink>
    </w:p>
    <w:p>
      <w:pPr>
        <w:spacing w:after="80"/>
      </w:pPr>
      <w:hyperlink w:anchor="s10">
        <w:r>
          <w:rPr>
            <w:color w:val="177F88"/>
            <w:u w:val="single"/>
          </w:rPr>
          <w:t>10. Combat and affixes: prove the effect boundary</w:t>
        </w:r>
      </w:hyperlink>
    </w:p>
    <w:p>
      <w:pPr>
        <w:spacing w:after="80"/>
      </w:pPr>
      <w:hyperlink w:anchor="s11">
        <w:r>
          <w:rPr>
            <w:color w:val="177F88"/>
            <w:u w:val="single"/>
          </w:rPr>
          <w:t>11. Natural spawning and elite evidence</w:t>
        </w:r>
      </w:hyperlink>
    </w:p>
    <w:p>
      <w:pPr>
        <w:spacing w:after="80"/>
      </w:pPr>
      <w:hyperlink w:anchor="s12">
        <w:r>
          <w:rPr>
            <w:color w:val="177F88"/>
            <w:u w:val="single"/>
          </w:rPr>
          <w:t>12. Persistence, progression and rewards</w:t>
        </w:r>
      </w:hyperlink>
    </w:p>
    <w:p>
      <w:pPr>
        <w:spacing w:after="80"/>
      </w:pPr>
      <w:hyperlink w:anchor="s13">
        <w:r>
          <w:rPr>
            <w:color w:val="177F88"/>
            <w:u w:val="single"/>
          </w:rPr>
          <w:t>13. Baselines and old-versus-new comparison</w:t>
        </w:r>
      </w:hyperlink>
    </w:p>
    <w:p>
      <w:pPr>
        <w:spacing w:after="80"/>
      </w:pPr>
      <w:hyperlink w:anchor="s14">
        <w:r>
          <w:rPr>
            <w:color w:val="177F88"/>
            <w:u w:val="single"/>
          </w:rPr>
          <w:t>14. Noesis migration: reuse behavior, replace the backend</w:t>
        </w:r>
      </w:hyperlink>
    </w:p>
    <w:p>
      <w:pPr>
        <w:spacing w:after="80"/>
      </w:pPr>
      <w:hyperlink w:anchor="s15">
        <w:r>
          <w:rPr>
            <w:color w:val="177F88"/>
            <w:u w:val="single"/>
          </w:rPr>
          <w:t>15. Output bundle and retention</w:t>
        </w:r>
      </w:hyperlink>
    </w:p>
    <w:p>
      <w:pPr>
        <w:spacing w:after="80"/>
      </w:pPr>
      <w:hyperlink w:anchor="s16">
        <w:r>
          <w:rPr>
            <w:color w:val="177F88"/>
            <w:u w:val="single"/>
          </w:rPr>
          <w:t>16. Performance contract: no perceptible lag</w:t>
        </w:r>
      </w:hyperlink>
    </w:p>
    <w:p>
      <w:pPr>
        <w:spacing w:after="80"/>
      </w:pPr>
      <w:hyperlink w:anchor="s17">
        <w:r>
          <w:rPr>
            <w:color w:val="177F88"/>
            <w:u w:val="single"/>
          </w:rPr>
          <w:t>17. Reports that reduce Codex work</w:t>
        </w:r>
      </w:hyperlink>
    </w:p>
    <w:p>
      <w:pPr>
        <w:spacing w:after="80"/>
      </w:pPr>
      <w:hyperlink w:anchor="s18">
        <w:r>
          <w:rPr>
            <w:color w:val="177F88"/>
            <w:u w:val="single"/>
          </w:rPr>
          <w:t>18. Three-stage implementation plan</w:t>
        </w:r>
      </w:hyperlink>
    </w:p>
    <w:p>
      <w:pPr>
        <w:spacing w:after="80"/>
      </w:pPr>
      <w:hyperlink w:anchor="s19">
        <w:r>
          <w:rPr>
            <w:color w:val="177F88"/>
            <w:u w:val="single"/>
          </w:rPr>
          <w:t>19. Release tests and acceptance</w:t>
        </w:r>
      </w:hyperlink>
    </w:p>
    <w:p>
      <w:pPr>
        <w:spacing w:after="80"/>
      </w:pPr>
      <w:hyperlink w:anchor="s20">
        <w:r>
          <w:rPr>
            <w:color w:val="177F88"/>
            <w:u w:val="single"/>
          </w:rPr>
          <w:t>20. Codex execution charter</w:t>
        </w:r>
      </w:hyperlink>
    </w:p>
    <w:p>
      <w:pPr>
        <w:spacing w:after="80"/>
      </w:pPr>
      <w:hyperlink w:anchor="s21">
        <w:r>
          <w:rPr>
            <w:color w:val="177F88"/>
            <w:u w:val="single"/>
          </w:rPr>
          <w:t>Appendix A. Evidence and source register</w:t>
        </w:r>
      </w:hyperlink>
    </w:p>
    <w:p>
      <w:pPr>
        <w:pStyle w:val="HROSmall"/>
      </w:pPr>
      <w:r>
        <w:t>All HRO commands, numerical budgets and contract IDs are proposed. Existing source behavior is cited with [G], official Hytale documentation with [H], Java documentation with [J], and Project references with [P].</w:t>
      </w:r>
    </w:p>
    <w:p>
      <w:r>
        <w:br w:type="page"/>
      </w:r>
    </w:p>
    <w:p>
      <w:bookmarkStart w:id="1" w:name="s1"/>
      <w:pPr>
        <w:pStyle w:val="Heading1"/>
      </w:pPr>
      <w:r>
        <w:t>1. Decisions and boundaries</w:t>
      </w:r>
      <w:bookmarkEnd w:id="1"/>
    </w:p>
    <w:p>
      <w:r>
        <w:t>HRO is an observation and comparison layer over Hywind, not a second implementation of the game. It records the decisions made by existing authorities and checks their outcomes against versioned behavioral contracts. A contract is a precise expectation, such as “a successfully committed skill assignment must reach the admitted player’s ability projection,” not a vague “skills work” flag.</w:t>
      </w:r>
    </w:p>
    <w:p>
      <w:r>
        <w:t>The design has four outputs: a concise findings report, detailed correlated records, a coverage report identifying what was and was not tested, and a reuse-oriented migration map. Large logs are appropriate when they contain useful evidence. File size itself is not a quality target, and the recorder must not generate repetitive filler to look comprehensive.</w:t>
      </w:r>
    </w:p>
    <w:p>
      <w:pPr>
        <w:pStyle w:val="Heading2"/>
      </w:pPr>
      <w:r>
        <w:t>1.1 What it must accomplish</w:t>
      </w:r>
    </w:p>
    <w:p>
      <w:r>
        <w:t>For a skill, follow assignment through compilation, admission, native binding, input, payment, execution, and observable effect. For an affix, connect the actual equipped item and rolled value to the calculation or proc decision and then to the native result. For an elite, distinguish natural spawn eligibility, rarity selection, promotion, and successful native profile publication. For inventory, distinguish a missing owner component from a broken transfer adapter or a presentation-only failure.</w:t>
      </w:r>
    </w:p>
    <w:p>
      <w:r>
        <w:t>Across patches, compare equivalent operations and implementation boundaries. Preserve working gameplay authorities when the native API, component lifecycle, asset schema, or UI backend changes. Identify a missing registration or changed input field before proposing a replacement subsystem.</w:t>
      </w:r>
    </w:p>
    <w:p>
      <w:pPr>
        <w:pStyle w:val="Heading2"/>
      </w:pPr>
      <w:r>
        <w:t>1.2 What it must not promise</w:t>
      </w:r>
    </w:p>
    <w:p>
      <w:r>
        <w:t>A server trace cannot automatically prove that an icon was rendered, that a physical key was pressed but never transmitted, or that an unexercised skill works. A successful calculation is not proof that native damage applied. No elite sightings in a short session are not proof of broken rarity selection. “Published to GitHub” and “passed JUnit” are not connected-game acceptance.</w:t>
      </w:r>
    </w:p>
    <w:p>
      <w:r>
        <w:t>HRO cannot retroactively create missing pre-release evidence. Existing historical logs may support partial comparisons, and accepted offline fixtures may support formula checks, but neither should be upgraded into a complete known-good gameplay baseline.</w:t>
      </w:r>
    </w:p>
    <w:p>
      <w:pPr>
        <w:pStyle w:val="Heading2"/>
      </w:pPr>
      <w:r>
        <w:t>1.3 Initial scope</w:t>
      </w:r>
    </w:p>
    <w:p>
      <w:r>
        <w:t>Version 1 covers bootstrap/admission, skills/HUD/CanvasUI, inventory custody and transfers, equipped gear and affixes, combat/resources/Cyclone, natural elite admission, and observed reconnect recovery. It inventories other installed systems but reports their actual coverage instead of silently declaring them healthy. Full coverage of every skill, affix combination, NPC, and UI gesture is not a prerequisite for shipping the useful first release.</w:t>
      </w:r>
    </w:p>
    <w:p>
      <w:r>
        <w:t>General performance attribution is supported. The earlier startup bottleneck investigation remains outside these implementation tasks unless separately reopened. HRO must not turn into another attempt to fix that old loading issue or perform the Noesis migration itself.</w:t>
      </w:r>
    </w:p>
    <w:p>
      <w:bookmarkStart w:id="2" w:name="s2"/>
      <w:pPr>
        <w:pStyle w:val="Heading1"/>
      </w:pPr>
      <w:r>
        <w:t>2. Source-grounded starting point</w:t>
      </w:r>
      <w:bookmarkEnd w:id="2"/>
    </w:p>
    <w:p>
      <w:pPr>
        <w:pStyle w:val="Heading2"/>
      </w:pPr>
      <w:r>
        <w:t>2.1 Reviewed Hywind implementation</w:t>
      </w:r>
    </w:p>
    <w:p>
      <w:r>
        <w:t xml:space="preserve">The reviewed Chapter I snapshot is </w:t>
      </w:r>
      <w:r>
        <w:rPr>
          <w:rFonts w:ascii="Liberation Mono" w:hAnsi="Liberation Mono"/>
          <w:sz w:val="18"/>
        </w:rPr>
        <w:t>afdf9bfbce9d5fb395bd68848833480a849f0e0b</w:t>
      </w:r>
      <w:r>
        <w:t xml:space="preserve"> on </w:t>
      </w:r>
      <w:r>
        <w:rPr>
          <w:rFonts w:ascii="Liberation Mono" w:hAnsi="Liberation Mono"/>
          <w:sz w:val="18"/>
        </w:rPr>
        <w:t>codex/chapter1-inventory-recovery</w:t>
      </w:r>
      <w:r>
        <w:t xml:space="preserve">. The repository documentation labels this work and its dependent Chapter I branches </w:t>
      </w:r>
      <w:r>
        <w:rPr>
          <w:rFonts w:ascii="Liberation Mono" w:hAnsi="Liberation Mono"/>
          <w:sz w:val="18"/>
        </w:rPr>
        <w:t>QA_PENDING</w:t>
      </w:r>
      <w:r>
        <w:t xml:space="preserve">; the reviewed </w:t>
      </w:r>
      <w:r>
        <w:rPr>
          <w:rFonts w:ascii="Liberation Mono" w:hAnsi="Liberation Mono"/>
          <w:sz w:val="18"/>
        </w:rPr>
        <w:t>main</w:t>
      </w:r>
      <w:r>
        <w:t xml:space="preserve"> reference is </w:t>
      </w:r>
      <w:r>
        <w:rPr>
          <w:rFonts w:ascii="Liberation Mono" w:hAnsi="Liberation Mono"/>
          <w:sz w:val="18"/>
        </w:rPr>
        <w:t>6d3ef15ff0145532ef193c42e3b648307ee6e915</w:t>
      </w:r>
      <w:r>
        <w:t>. Neither branch naming nor chronology establishes accepted gameplay. Codex must refresh these references, inspect dependencies, and identify the deployed JAR before choosing an implementation base. [G1]</w:t>
      </w:r>
    </w:p>
    <w:p>
      <w:r>
        <w:t xml:space="preserve">The documented failures directly inform HRO’s first regression fixtures. The skill-bar admission path lacked production preload hooks, so prepared Cyclone/shared leases were unavailable and downstream abilities/HUD installation was not reached. The documentation explicitly says this wiring defect also existed before Chapter I. Separately, a copied player state lacked </w:t>
      </w:r>
      <w:r>
        <w:rPr>
          <w:rFonts w:ascii="Liberation Mono" w:hAnsi="Liberation Mono"/>
          <w:sz w:val="18"/>
        </w:rPr>
        <w:t>RpgSpatialBag</w:t>
      </w:r>
      <w:r>
        <w:t xml:space="preserve">, causing existing inventory code to select native fallback. Another transfer failed on an inactive native slot reported as </w:t>
      </w:r>
      <w:r>
        <w:rPr>
          <w:rFonts w:ascii="Liberation Mono" w:hAnsi="Liberation Mono"/>
          <w:sz w:val="18"/>
        </w:rPr>
        <w:t>-1</w:t>
      </w:r>
      <w:r>
        <w:t>. These are different failure classes: wiring, migrated state, and native representation. HRO must not label all three “the patch broke inventory.” [G1]</w:t>
      </w:r>
    </w:p>
    <w:p>
      <w:r>
        <w:t>The same source documents four logical skill slots, with the third and fourth visibly unbound because the reviewed release integration has only two independent core Runestone inputs. Record that as a known capability boundary, not a newly discovered regression or proof of four functioning inputs. [G1]</w:t>
      </w:r>
    </w:p>
    <w:p>
      <w:pPr>
        <w:pStyle w:val="Heading2"/>
      </w:pPr>
      <w:r>
        <w:t>2.2 Existing components to reuse</w:t>
      </w:r>
    </w:p>
    <w:tbl>
      <w:tblPr>
        <w:tblW w:type="auto" w:w="0"/>
        <w:jc w:val="center"/>
        <w:tblLayout w:type="fixed"/>
        <w:tblLook w:firstColumn="1" w:firstRow="1" w:lastColumn="0" w:lastRow="0" w:noHBand="0" w:noVBand="1" w:val="04A0"/>
      </w:tblPr>
      <w:tblGrid>
        <w:gridCol w:w="2995"/>
        <w:gridCol w:w="3542"/>
        <w:gridCol w:w="3456"/>
      </w:tblGrid>
      <w:tr>
        <w:trPr>
          <w:cantSplit/>
          <w:tblHeader/>
        </w:trPr>
        <w:tc>
          <w:tcPr>
            <w:tcW w:type="dxa" w:w="2995"/>
            <w:vAlign w:val="center"/>
            <w:shd w:fill="183545"/>
            <w:tcMar>
              <w:top w:w="85" w:type="dxa"/>
              <w:left w:w="85" w:type="dxa"/>
              <w:bottom w:w="85" w:type="dxa"/>
              <w:right w:w="85" w:type="dxa"/>
            </w:tcMar>
          </w:tcPr>
          <w:p>
            <w:pPr>
              <w:spacing w:before="80" w:after="80" w:line="250" w:lineRule="auto"/>
            </w:pPr>
            <w:r>
              <w:rPr>
                <w:b/>
                <w:color w:val="FFFFFF"/>
                <w:sz w:val="18"/>
              </w:rPr>
              <w:t>Existing implementation</w:t>
            </w:r>
          </w:p>
        </w:tc>
        <w:tc>
          <w:tcPr>
            <w:tcW w:type="dxa" w:w="3542"/>
            <w:vAlign w:val="center"/>
            <w:shd w:fill="183545"/>
            <w:tcMar>
              <w:top w:w="85" w:type="dxa"/>
              <w:left w:w="85" w:type="dxa"/>
              <w:bottom w:w="85" w:type="dxa"/>
              <w:right w:w="85" w:type="dxa"/>
            </w:tcMar>
          </w:tcPr>
          <w:p>
            <w:pPr>
              <w:spacing w:before="80" w:after="80" w:line="250" w:lineRule="auto"/>
            </w:pPr>
            <w:r>
              <w:rPr>
                <w:b/>
                <w:color w:val="FFFFFF"/>
                <w:sz w:val="18"/>
              </w:rPr>
              <w:t>Reuse in HRO</w:t>
            </w:r>
          </w:p>
        </w:tc>
        <w:tc>
          <w:tcPr>
            <w:tcW w:type="dxa" w:w="3456"/>
            <w:vAlign w:val="center"/>
            <w:shd w:fill="183545"/>
            <w:tcMar>
              <w:top w:w="85" w:type="dxa"/>
              <w:left w:w="85" w:type="dxa"/>
              <w:bottom w:w="85" w:type="dxa"/>
              <w:right w:w="85" w:type="dxa"/>
            </w:tcMar>
          </w:tcPr>
          <w:p>
            <w:pPr>
              <w:spacing w:before="80" w:after="80" w:line="250" w:lineRule="auto"/>
            </w:pPr>
            <w:r>
              <w:rPr>
                <w:b/>
                <w:color w:val="FFFFFF"/>
                <w:sz w:val="18"/>
              </w:rPr>
              <w:t>Required qualification</w:t>
            </w:r>
          </w:p>
        </w:tc>
      </w:tr>
      <w:tr>
        <w:trPr>
          <w:cantSplit/>
        </w:trPr>
        <w:tc>
          <w:tcPr>
            <w:tcW w:type="dxa" w:w="2995"/>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RpgTraceCommand</w:t>
            </w:r>
            <w:r>
              <w:rPr>
                <w:sz w:val="18"/>
              </w:rPr>
              <w:t xml:space="preserve"> and trace command inventory</w:t>
            </w:r>
          </w:p>
        </w:tc>
        <w:tc>
          <w:tcPr>
            <w:tcW w:type="dxa" w:w="3542"/>
            <w:vAlign w:val="center"/>
            <w:shd w:fill="EDF3F5"/>
            <w:tcMar>
              <w:top w:w="85" w:type="dxa"/>
              <w:left w:w="85" w:type="dxa"/>
              <w:bottom w:w="85" w:type="dxa"/>
              <w:right w:w="85" w:type="dxa"/>
            </w:tcMar>
          </w:tcPr>
          <w:p>
            <w:pPr>
              <w:spacing w:before="80" w:after="80" w:line="250" w:lineRule="auto"/>
            </w:pPr>
            <w:r>
              <w:rPr>
                <w:sz w:val="18"/>
              </w:rPr>
              <w:t xml:space="preserve">Add one coordinated </w:t>
            </w:r>
            <w:r>
              <w:rPr>
                <w:rFonts w:ascii="Liberation Mono" w:hAnsi="Liberation Mono"/>
                <w:sz w:val="18"/>
              </w:rPr>
              <w:t>patch</w:t>
            </w:r>
            <w:r>
              <w:rPr>
                <w:sz w:val="18"/>
              </w:rPr>
              <w:t xml:space="preserve"> command family; retain existing commands</w:t>
            </w:r>
          </w:p>
        </w:tc>
        <w:tc>
          <w:tcPr>
            <w:tcW w:type="dxa" w:w="3456"/>
            <w:vAlign w:val="center"/>
            <w:shd w:fill="EDF3F5"/>
            <w:tcMar>
              <w:top w:w="85" w:type="dxa"/>
              <w:left w:w="85" w:type="dxa"/>
              <w:bottom w:w="85" w:type="dxa"/>
              <w:right w:w="85" w:type="dxa"/>
            </w:tcMar>
          </w:tcPr>
          <w:p>
            <w:pPr>
              <w:spacing w:before="80" w:after="80" w:line="250" w:lineRule="auto"/>
            </w:pPr>
            <w:r>
              <w:rPr>
                <w:sz w:val="18"/>
              </w:rPr>
              <w:t>Do not simply start every legacy recorder independently</w:t>
            </w:r>
          </w:p>
        </w:tc>
      </w:tr>
      <w:tr>
        <w:trPr>
          <w:cantSplit/>
        </w:trPr>
        <w:tc>
          <w:tcPr>
            <w:tcW w:type="dxa" w:w="2995"/>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RpgSkillTraceService</w:t>
            </w:r>
            <w:r>
              <w:rPr>
                <w:sz w:val="18"/>
              </w:rPr>
              <w:t>, skill events and correlation IDs</w:t>
            </w:r>
          </w:p>
        </w:tc>
        <w:tc>
          <w:tcPr>
            <w:tcW w:type="dxa" w:w="3542"/>
            <w:vAlign w:val="center"/>
            <w:shd w:fill="FFFFFF"/>
            <w:tcMar>
              <w:top w:w="85" w:type="dxa"/>
              <w:left w:w="85" w:type="dxa"/>
              <w:bottom w:w="85" w:type="dxa"/>
              <w:right w:w="85" w:type="dxa"/>
            </w:tcMar>
          </w:tcPr>
          <w:p>
            <w:pPr>
              <w:spacing w:before="80" w:after="80" w:line="250" w:lineRule="auto"/>
            </w:pPr>
            <w:r>
              <w:rPr>
                <w:sz w:val="18"/>
              </w:rPr>
              <w:t>Skill intent, validation, payment, execution and outcome observations</w:t>
            </w:r>
          </w:p>
        </w:tc>
        <w:tc>
          <w:tcPr>
            <w:tcW w:type="dxa" w:w="3456"/>
            <w:vAlign w:val="center"/>
            <w:shd w:fill="FFFFFF"/>
            <w:tcMar>
              <w:top w:w="85" w:type="dxa"/>
              <w:left w:w="85" w:type="dxa"/>
              <w:bottom w:w="85" w:type="dxa"/>
              <w:right w:w="85" w:type="dxa"/>
            </w:tcMar>
          </w:tcPr>
          <w:p>
            <w:pPr>
              <w:spacing w:before="80" w:after="80" w:line="250" w:lineRule="auto"/>
            </w:pPr>
            <w:r>
              <w:rPr>
                <w:sz w:val="18"/>
              </w:rPr>
              <w:t>Add only missing cross-boundary context</w:t>
            </w:r>
          </w:p>
        </w:tc>
      </w:tr>
      <w:tr>
        <w:trPr>
          <w:cantSplit/>
        </w:trPr>
        <w:tc>
          <w:tcPr>
            <w:tcW w:type="dxa" w:w="2995"/>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CombatDamageTraceService</w:t>
            </w:r>
          </w:p>
        </w:tc>
        <w:tc>
          <w:tcPr>
            <w:tcW w:type="dxa" w:w="3542"/>
            <w:vAlign w:val="center"/>
            <w:shd w:fill="EDF3F5"/>
            <w:tcMar>
              <w:top w:w="85" w:type="dxa"/>
              <w:left w:w="85" w:type="dxa"/>
              <w:bottom w:w="85" w:type="dxa"/>
              <w:right w:w="85" w:type="dxa"/>
            </w:tcMar>
          </w:tcPr>
          <w:p>
            <w:pPr>
              <w:spacing w:before="80" w:after="80" w:line="250" w:lineRule="auto"/>
            </w:pPr>
            <w:r>
              <w:rPr>
                <w:sz w:val="18"/>
              </w:rPr>
              <w:t>Native per-hit before/after values and reconciliation</w:t>
            </w:r>
          </w:p>
        </w:tc>
        <w:tc>
          <w:tcPr>
            <w:tcW w:type="dxa" w:w="3456"/>
            <w:vAlign w:val="center"/>
            <w:shd w:fill="EDF3F5"/>
            <w:tcMar>
              <w:top w:w="85" w:type="dxa"/>
              <w:left w:w="85" w:type="dxa"/>
              <w:bottom w:w="85" w:type="dxa"/>
              <w:right w:w="85" w:type="dxa"/>
            </w:tcMar>
          </w:tcPr>
          <w:p>
            <w:pPr>
              <w:spacing w:before="80" w:after="80" w:line="250" w:lineRule="auto"/>
            </w:pPr>
            <w:r>
              <w:rPr>
                <w:sz w:val="18"/>
              </w:rPr>
              <w:t>Preserve explicit native observability gaps</w:t>
            </w:r>
          </w:p>
        </w:tc>
      </w:tr>
      <w:tr>
        <w:trPr>
          <w:cantSplit/>
        </w:trPr>
        <w:tc>
          <w:tcPr>
            <w:tcW w:type="dxa" w:w="2995"/>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UiInteractionTrace</w:t>
            </w:r>
          </w:p>
        </w:tc>
        <w:tc>
          <w:tcPr>
            <w:tcW w:type="dxa" w:w="3542"/>
            <w:vAlign w:val="center"/>
            <w:shd w:fill="FFFFFF"/>
            <w:tcMar>
              <w:top w:w="85" w:type="dxa"/>
              <w:left w:w="85" w:type="dxa"/>
              <w:bottom w:w="85" w:type="dxa"/>
              <w:right w:w="85" w:type="dxa"/>
            </w:tcMar>
          </w:tcPr>
          <w:p>
            <w:pPr>
              <w:spacing w:before="80" w:after="80" w:line="250" w:lineRule="auto"/>
            </w:pPr>
            <w:r>
              <w:rPr>
                <w:sz w:val="18"/>
              </w:rPr>
              <w:t>CanvasUI and inventory gestures, accepted actions, lifecycle events</w:t>
            </w:r>
          </w:p>
        </w:tc>
        <w:tc>
          <w:tcPr>
            <w:tcW w:type="dxa" w:w="3456"/>
            <w:vAlign w:val="center"/>
            <w:shd w:fill="FFFFFF"/>
            <w:tcMar>
              <w:top w:w="85" w:type="dxa"/>
              <w:left w:w="85" w:type="dxa"/>
              <w:bottom w:w="85" w:type="dxa"/>
              <w:right w:w="85" w:type="dxa"/>
            </w:tcMar>
          </w:tcPr>
          <w:p>
            <w:pPr>
              <w:spacing w:before="80" w:after="80" w:line="250" w:lineRule="auto"/>
            </w:pPr>
            <w:r>
              <w:rPr>
                <w:sz w:val="18"/>
              </w:rPr>
              <w:t>Keep UI intent distinct from committed gameplay</w:t>
            </w:r>
          </w:p>
        </w:tc>
      </w:tr>
      <w:tr>
        <w:trPr>
          <w:cantSplit/>
        </w:trPr>
        <w:tc>
          <w:tcPr>
            <w:tcW w:type="dxa" w:w="2995"/>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GearQaTrace</w:t>
            </w:r>
            <w:r>
              <w:rPr>
                <w:sz w:val="18"/>
              </w:rPr>
              <w:t xml:space="preserve"> and existing equipment/transfer owners</w:t>
            </w:r>
          </w:p>
        </w:tc>
        <w:tc>
          <w:tcPr>
            <w:tcW w:type="dxa" w:w="3542"/>
            <w:vAlign w:val="center"/>
            <w:shd w:fill="EDF3F5"/>
            <w:tcMar>
              <w:top w:w="85" w:type="dxa"/>
              <w:left w:w="85" w:type="dxa"/>
              <w:bottom w:w="85" w:type="dxa"/>
              <w:right w:w="85" w:type="dxa"/>
            </w:tcMar>
          </w:tcPr>
          <w:p>
            <w:pPr>
              <w:spacing w:before="80" w:after="80" w:line="250" w:lineRule="auto"/>
            </w:pPr>
            <w:r>
              <w:rPr>
                <w:sz w:val="18"/>
              </w:rPr>
              <w:t>Item provenance, valid equipped snapshots and applied affixes</w:t>
            </w:r>
          </w:p>
        </w:tc>
        <w:tc>
          <w:tcPr>
            <w:tcW w:type="dxa" w:w="3456"/>
            <w:vAlign w:val="center"/>
            <w:shd w:fill="EDF3F5"/>
            <w:tcMar>
              <w:top w:w="85" w:type="dxa"/>
              <w:left w:w="85" w:type="dxa"/>
              <w:bottom w:w="85" w:type="dxa"/>
              <w:right w:w="85" w:type="dxa"/>
            </w:tcMar>
          </w:tcPr>
          <w:p>
            <w:pPr>
              <w:spacing w:before="80" w:after="80" w:line="250" w:lineRule="auto"/>
            </w:pPr>
            <w:r>
              <w:rPr>
                <w:sz w:val="18"/>
              </w:rPr>
              <w:t>Never substitute diagnostic state for ownership</w:t>
            </w:r>
          </w:p>
        </w:tc>
      </w:tr>
      <w:tr>
        <w:trPr>
          <w:cantSplit/>
        </w:trPr>
        <w:tc>
          <w:tcPr>
            <w:tcW w:type="dxa" w:w="2995"/>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MonsterSpawnTrace</w:t>
            </w:r>
          </w:p>
        </w:tc>
        <w:tc>
          <w:tcPr>
            <w:tcW w:type="dxa" w:w="3542"/>
            <w:vAlign w:val="center"/>
            <w:shd w:fill="FFFFFF"/>
            <w:tcMar>
              <w:top w:w="85" w:type="dxa"/>
              <w:left w:w="85" w:type="dxa"/>
              <w:bottom w:w="85" w:type="dxa"/>
              <w:right w:w="85" w:type="dxa"/>
            </w:tcMar>
          </w:tcPr>
          <w:p>
            <w:pPr>
              <w:spacing w:before="80" w:after="80" w:line="250" w:lineRule="auto"/>
            </w:pPr>
            <w:r>
              <w:rPr>
                <w:sz w:val="18"/>
              </w:rPr>
              <w:t>Native spawn/admission counts, rarity handoffs and reasons</w:t>
            </w:r>
          </w:p>
        </w:tc>
        <w:tc>
          <w:tcPr>
            <w:tcW w:type="dxa" w:w="3456"/>
            <w:vAlign w:val="center"/>
            <w:shd w:fill="FFFFFF"/>
            <w:tcMar>
              <w:top w:w="85" w:type="dxa"/>
              <w:left w:w="85" w:type="dxa"/>
              <w:bottom w:w="85" w:type="dxa"/>
              <w:right w:w="85" w:type="dxa"/>
            </w:tcMar>
          </w:tcPr>
          <w:p>
            <w:pPr>
              <w:spacing w:before="80" w:after="80" w:line="250" w:lineRule="auto"/>
            </w:pPr>
            <w:r>
              <w:rPr>
                <w:sz w:val="18"/>
              </w:rPr>
              <w:t>Preserve natural-versus-QA provenance and bounded cardinality</w:t>
            </w:r>
          </w:p>
        </w:tc>
      </w:tr>
      <w:tr>
        <w:trPr>
          <w:cantSplit/>
        </w:trPr>
        <w:tc>
          <w:tcPr>
            <w:tcW w:type="dxa" w:w="2995"/>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BoundedTraceWriter</w:t>
            </w:r>
          </w:p>
        </w:tc>
        <w:tc>
          <w:tcPr>
            <w:tcW w:type="dxa" w:w="3542"/>
            <w:vAlign w:val="center"/>
            <w:shd w:fill="EDF3F5"/>
            <w:tcMar>
              <w:top w:w="85" w:type="dxa"/>
              <w:left w:w="85" w:type="dxa"/>
              <w:bottom w:w="85" w:type="dxa"/>
              <w:right w:w="85" w:type="dxa"/>
            </w:tcMar>
          </w:tcPr>
          <w:p>
            <w:pPr>
              <w:spacing w:before="80" w:after="80" w:line="250" w:lineRule="auto"/>
            </w:pPr>
            <w:r>
              <w:rPr>
                <w:sz w:val="18"/>
              </w:rPr>
              <w:t>Bounded asynchronous writing and deferred serialization</w:t>
            </w:r>
          </w:p>
        </w:tc>
        <w:tc>
          <w:tcPr>
            <w:tcW w:type="dxa" w:w="3456"/>
            <w:vAlign w:val="center"/>
            <w:shd w:fill="EDF3F5"/>
            <w:tcMar>
              <w:top w:w="85" w:type="dxa"/>
              <w:left w:w="85" w:type="dxa"/>
              <w:bottom w:w="85" w:type="dxa"/>
              <w:right w:w="85" w:type="dxa"/>
            </w:tcMar>
          </w:tcPr>
          <w:p>
            <w:pPr>
              <w:spacing w:before="80" w:after="80" w:line="250" w:lineRule="auto"/>
            </w:pPr>
            <w:r>
              <w:rPr>
                <w:sz w:val="18"/>
              </w:rPr>
              <w:t>Qualify producer cost, allocation, failure reporting and shutdown</w:t>
            </w:r>
          </w:p>
        </w:tc>
      </w:tr>
      <w:tr>
        <w:trPr>
          <w:cantSplit/>
        </w:trPr>
        <w:tc>
          <w:tcPr>
            <w:tcW w:type="dxa" w:w="2995"/>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TraceArchiveManager</w:t>
            </w:r>
          </w:p>
        </w:tc>
        <w:tc>
          <w:tcPr>
            <w:tcW w:type="dxa" w:w="3542"/>
            <w:vAlign w:val="center"/>
            <w:shd w:fill="FFFFFF"/>
            <w:tcMar>
              <w:top w:w="85" w:type="dxa"/>
              <w:left w:w="85" w:type="dxa"/>
              <w:bottom w:w="85" w:type="dxa"/>
              <w:right w:w="85" w:type="dxa"/>
            </w:tcMar>
          </w:tcPr>
          <w:p>
            <w:pPr>
              <w:spacing w:before="80" w:after="80" w:line="250" w:lineRule="auto"/>
            </w:pPr>
            <w:r>
              <w:rPr>
                <w:sz w:val="18"/>
              </w:rPr>
              <w:t>Segmentation, gzip, checksums and partial-file recovery</w:t>
            </w:r>
          </w:p>
        </w:tc>
        <w:tc>
          <w:tcPr>
            <w:tcW w:type="dxa" w:w="3456"/>
            <w:vAlign w:val="center"/>
            <w:shd w:fill="FFFFFF"/>
            <w:tcMar>
              <w:top w:w="85" w:type="dxa"/>
              <w:left w:w="85" w:type="dxa"/>
              <w:bottom w:w="85" w:type="dxa"/>
              <w:right w:w="85" w:type="dxa"/>
            </w:tcMar>
          </w:tcPr>
          <w:p>
            <w:pPr>
              <w:spacing w:before="80" w:after="80" w:line="250" w:lineRule="auto"/>
            </w:pPr>
            <w:r>
              <w:rPr>
                <w:sz w:val="18"/>
              </w:rPr>
              <w:t>Stream large inputs and preserve original capture identity</w:t>
            </w:r>
          </w:p>
        </w:tc>
      </w:tr>
      <w:tr>
        <w:trPr>
          <w:cantSplit/>
        </w:trPr>
        <w:tc>
          <w:tcPr>
            <w:tcW w:type="dxa" w:w="2995"/>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NativeRpgTickMetrics</w:t>
            </w:r>
            <w:r>
              <w:rPr>
                <w:sz w:val="18"/>
              </w:rPr>
              <w:t xml:space="preserve"> and ReadyPath/JFR integration</w:t>
            </w:r>
          </w:p>
        </w:tc>
        <w:tc>
          <w:tcPr>
            <w:tcW w:type="dxa" w:w="3542"/>
            <w:vAlign w:val="center"/>
            <w:shd w:fill="EDF3F5"/>
            <w:tcMar>
              <w:top w:w="85" w:type="dxa"/>
              <w:left w:w="85" w:type="dxa"/>
              <w:bottom w:w="85" w:type="dxa"/>
              <w:right w:w="85" w:type="dxa"/>
            </w:tcMar>
          </w:tcPr>
          <w:p>
            <w:pPr>
              <w:spacing w:before="80" w:after="80" w:line="250" w:lineRule="auto"/>
            </w:pPr>
            <w:r>
              <w:rPr>
                <w:sz w:val="18"/>
              </w:rPr>
              <w:t>Existing timing boundaries and optional runtime profiling</w:t>
            </w:r>
          </w:p>
        </w:tc>
        <w:tc>
          <w:tcPr>
            <w:tcW w:type="dxa" w:w="3456"/>
            <w:vAlign w:val="center"/>
            <w:shd w:fill="EDF3F5"/>
            <w:tcMar>
              <w:top w:w="85" w:type="dxa"/>
              <w:left w:w="85" w:type="dxa"/>
              <w:bottom w:w="85" w:type="dxa"/>
              <w:right w:w="85" w:type="dxa"/>
            </w:tcMar>
          </w:tcPr>
          <w:p>
            <w:pPr>
              <w:spacing w:before="80" w:after="80" w:line="250" w:lineRule="auto"/>
            </w:pPr>
            <w:r>
              <w:rPr>
                <w:sz w:val="18"/>
              </w:rPr>
              <w:t>No full profiling or repeated archive scans in ordinary play</w:t>
            </w:r>
          </w:p>
        </w:tc>
      </w:tr>
      <w:tr>
        <w:trPr>
          <w:cantSplit/>
        </w:trPr>
        <w:tc>
          <w:tcPr>
            <w:tcW w:type="dxa" w:w="2995"/>
            <w:vAlign w:val="center"/>
            <w:shd w:fill="FFFFFF"/>
            <w:tcMar>
              <w:top w:w="85" w:type="dxa"/>
              <w:left w:w="85" w:type="dxa"/>
              <w:bottom w:w="85" w:type="dxa"/>
              <w:right w:w="85" w:type="dxa"/>
            </w:tcMar>
          </w:tcPr>
          <w:p>
            <w:pPr>
              <w:spacing w:before="80" w:after="80" w:line="250" w:lineRule="auto"/>
            </w:pPr>
            <w:r>
              <w:rPr>
                <w:sz w:val="18"/>
              </w:rPr>
              <w:t>Guardian and existing Gradle/package checks</w:t>
            </w:r>
          </w:p>
        </w:tc>
        <w:tc>
          <w:tcPr>
            <w:tcW w:type="dxa" w:w="3542"/>
            <w:vAlign w:val="center"/>
            <w:shd w:fill="FFFFFF"/>
            <w:tcMar>
              <w:top w:w="85" w:type="dxa"/>
              <w:left w:w="85" w:type="dxa"/>
              <w:bottom w:w="85" w:type="dxa"/>
              <w:right w:w="85" w:type="dxa"/>
            </w:tcMar>
          </w:tcPr>
          <w:p>
            <w:pPr>
              <w:spacing w:before="80" w:after="80" w:line="250" w:lineRule="auto"/>
            </w:pPr>
            <w:r>
              <w:rPr>
                <w:sz w:val="18"/>
              </w:rPr>
              <w:t>Engineering verification, artifact identity and branch status</w:t>
            </w:r>
          </w:p>
        </w:tc>
        <w:tc>
          <w:tcPr>
            <w:tcW w:type="dxa" w:w="3456"/>
            <w:vAlign w:val="center"/>
            <w:shd w:fill="FFFFFF"/>
            <w:tcMar>
              <w:top w:w="85" w:type="dxa"/>
              <w:left w:w="85" w:type="dxa"/>
              <w:bottom w:w="85" w:type="dxa"/>
              <w:right w:w="85" w:type="dxa"/>
            </w:tcMar>
          </w:tcPr>
          <w:p>
            <w:pPr>
              <w:spacing w:before="80" w:after="80" w:line="250" w:lineRule="auto"/>
            </w:pPr>
            <w:r>
              <w:rPr>
                <w:sz w:val="18"/>
              </w:rPr>
              <w:t>Keep deployment and connected acceptance separate</w:t>
            </w:r>
          </w:p>
        </w:tc>
      </w:tr>
    </w:tbl>
    <w:p>
      <w:pPr>
        <w:spacing w:after="20"/>
      </w:pPr>
    </w:p>
    <w:p>
      <w:r>
        <w:t>The existing trace command consolidation deliberately retains the underlying recorders and distinguishes passive tracing from state-changing probes. HRO must preserve that separation. [G2]</w:t>
      </w:r>
    </w:p>
    <w:p>
      <w:r>
        <w:t xml:space="preserve">Three implementation details require care. </w:t>
      </w:r>
      <w:r>
        <w:rPr>
          <w:rFonts w:ascii="Liberation Mono" w:hAnsi="Liberation Mono"/>
          <w:sz w:val="18"/>
        </w:rPr>
        <w:t>BoundedTraceWriter.submit()</w:t>
      </w:r>
      <w:r>
        <w:t xml:space="preserve"> serializes on its caller, while </w:t>
      </w:r>
      <w:r>
        <w:rPr>
          <w:rFonts w:ascii="Liberation Mono" w:hAnsi="Liberation Mono"/>
          <w:sz w:val="18"/>
        </w:rPr>
        <w:t>submitDeferred()</w:t>
      </w:r>
      <w:r>
        <w:t xml:space="preserve"> provides deferred serialization; its close path can wait for worker termination. HRO must not send hot gameplay traffic through the former or perform a blocking close on a live world thread. The reviewed archive recovery builds metadata using the recovering process’s </w:t>
      </w:r>
      <w:r>
        <w:rPr>
          <w:rFonts w:ascii="Liberation Mono" w:hAnsi="Liberation Mono"/>
          <w:sz w:val="18"/>
        </w:rPr>
        <w:t>BuildIdentity</w:t>
      </w:r>
      <w:r>
        <w:t xml:space="preserve">; HRO must preserve the originating build separately and mark unknown origin as unknown. </w:t>
      </w:r>
      <w:r>
        <w:rPr>
          <w:rFonts w:ascii="Liberation Mono" w:hAnsi="Liberation Mono"/>
          <w:sz w:val="18"/>
        </w:rPr>
        <w:t>MonsterSpawnTrace</w:t>
      </w:r>
      <w:r>
        <w:t xml:space="preserve"> has its own duration, detail caps, synchronization and finish path; a coordinated session must not mistake an expired sub-recorder for a quiet game system. These are source-level risks to address, not measurements proving current user-visible lag. [G3][G4][G5]</w:t>
      </w:r>
    </w:p>
    <w:p>
      <w:pPr>
        <w:pStyle w:val="Heading2"/>
      </w:pPr>
      <w:r>
        <w:t>2.3 Hytale documentation and native-file audit</w:t>
      </w:r>
    </w:p>
    <w:p>
      <w:r>
        <w:t xml:space="preserve">Use the versioned official Java API and codec-generated Asset Reference, then verify the exact installed </w:t>
      </w:r>
      <w:r>
        <w:rPr>
          <w:rFonts w:ascii="Liberation Mono" w:hAnsi="Liberation Mono"/>
          <w:sz w:val="18"/>
        </w:rPr>
        <w:t>HytaleServer.jar</w:t>
      </w:r>
      <w:r>
        <w:t xml:space="preserve">, </w:t>
      </w:r>
      <w:r>
        <w:rPr>
          <w:rFonts w:ascii="Liberation Mono" w:hAnsi="Liberation Mono"/>
          <w:sz w:val="18"/>
        </w:rPr>
        <w:t>Assets.zip</w:t>
      </w:r>
      <w:r>
        <w:t>, protocol and resolved dependencies. Public documentation is a map, not proof that a particular deployed binary exposes a callable hook. The design review did not inspect Graham’s installed release JAR or complete asset archive; that local audit belongs in Stage 1. [H1][H2]</w:t>
      </w:r>
    </w:p>
    <w:p>
      <w:r>
        <w:t xml:space="preserve">Chapter I documents changes in ability keywords/types and slot filters, a fourth item interaction used by crossbow reload, section-based APIs, and lifecycle behavior. These are examples of compatibility surfaces to fingerprint, not grounds to invent extra player input routes. Its tentative server-side Noesis </w:t>
      </w:r>
      <w:r>
        <w:rPr>
          <w:rFonts w:ascii="Liberation Mono" w:hAnsi="Liberation Mono"/>
          <w:sz w:val="18"/>
        </w:rPr>
        <w:t>dev_</w:t>
      </w:r>
      <w:r>
        <w:t xml:space="preserve"> API is explicitly not ready for use. Build comparison support now; do not depend on that API in production. [H3]</w:t>
      </w:r>
    </w:p>
    <w:p>
      <w:r>
        <w:t xml:space="preserve">The Project’s </w:t>
      </w:r>
      <w:r>
        <w:rPr>
          <w:rFonts w:ascii="Liberation Mono" w:hAnsi="Liberation Mono"/>
          <w:sz w:val="18"/>
        </w:rPr>
        <w:t>monster-role-catalog.md</w:t>
      </w:r>
      <w:r>
        <w:t xml:space="preserve"> is explicitly a September 25 pre-release role-identity inventory, not proof of natural spawns. The uploaded </w:t>
      </w:r>
      <w:r>
        <w:rPr>
          <w:rFonts w:ascii="Liberation Mono" w:hAnsi="Liberation Mono"/>
          <w:sz w:val="18"/>
        </w:rPr>
        <w:t>COMMANDS.md</w:t>
      </w:r>
      <w:r>
        <w:t xml:space="preserve"> also contains historical syntax. Preserve them as dated references; the deployed registration and matching repository documentation determine current behavior. [P1][P2]</w:t>
      </w:r>
    </w:p>
    <w:p>
      <w:bookmarkStart w:id="3" w:name="s3"/>
      <w:pPr>
        <w:pStyle w:val="Heading1"/>
      </w:pPr>
      <w:r>
        <w:t>3. Owner workflow: one capture, one evidence bundle</w:t>
      </w:r>
      <w:bookmarkEnd w:id="3"/>
    </w:p>
    <w:p>
      <w:pPr>
        <w:pStyle w:val="Heading2"/>
      </w:pPr>
      <w:r>
        <w:t>3.1 Normal regression session</w:t>
      </w:r>
    </w:p>
    <w:p>
      <w:r>
        <w:t>The owner launches Hytale normally, enters the current Hywind world, starts the trace, performs ordinary QA, and stops it. No alternate client, mandatory JVM flag, external profiler, or separate world is required for observational capture.</w:t>
      </w:r>
    </w:p>
    <w:p>
      <w:r>
        <w:rPr>
          <w:b/>
        </w:rPr>
        <w:t>Proposed commands, not available until implemented:</w:t>
      </w:r>
    </w:p>
    <w:p>
      <w:pPr>
        <w:pStyle w:val="HROCode"/>
        <w:shd w:fill="F0F4F6"/>
      </w:pPr>
      <w:r>
        <w:t>/rpg-trace patch start</w:t>
        <w:br/>
        <w:t>/rpg-trace patch mark affix-test</w:t>
        <w:br/>
        <w:t>/rpg-trace patch status</w:t>
        <w:br/>
        <w:t>/rpg-trace patch stop</w:t>
      </w:r>
    </w:p>
    <w:p>
      <w:r>
        <w:rPr>
          <w:rFonts w:ascii="Liberation Mono" w:hAnsi="Liberation Mono"/>
          <w:sz w:val="18"/>
        </w:rPr>
        <w:t>start</w:t>
      </w:r>
      <w:r>
        <w:t xml:space="preserve"> is operator-only, scoped to the authorized subject set, and uses a ten-minute deadline and the standard cross-system profile. </w:t>
      </w:r>
      <w:r>
        <w:rPr>
          <w:rFonts w:ascii="Liberation Mono" w:hAnsi="Liberation Mono"/>
          <w:sz w:val="18"/>
        </w:rPr>
        <w:t>mark</w:t>
      </w:r>
      <w:r>
        <w:t xml:space="preserve"> is optional and records a short sanitized observation or scenario label. </w:t>
      </w:r>
      <w:r>
        <w:rPr>
          <w:rFonts w:ascii="Liberation Mono" w:hAnsi="Liberation Mono"/>
          <w:sz w:val="18"/>
        </w:rPr>
        <w:t>status</w:t>
      </w:r>
      <w:r>
        <w:t xml:space="preserve"> shows elapsed time, scope, recording health, uncovered scenarios and dropped evidence without scanning files. </w:t>
      </w:r>
      <w:r>
        <w:rPr>
          <w:rFonts w:ascii="Liberation Mono" w:hAnsi="Liberation Mono"/>
          <w:sz w:val="18"/>
        </w:rPr>
        <w:t>stop</w:t>
      </w:r>
      <w:r>
        <w:t xml:space="preserve"> stops admission immediately, returns promptly, and finalizes/export-checks on the diagnostic worker. Completion prints one absolute output-folder path and its run ID. It must distinguish </w:t>
      </w:r>
      <w:r>
        <w:rPr>
          <w:rFonts w:ascii="Liberation Mono" w:hAnsi="Liberation Mono"/>
          <w:sz w:val="18"/>
        </w:rPr>
        <w:t>FINALIZING</w:t>
      </w:r>
      <w:r>
        <w:t xml:space="preserve"> from </w:t>
      </w:r>
      <w:r>
        <w:rPr>
          <w:rFonts w:ascii="Liberation Mono" w:hAnsi="Liberation Mono"/>
          <w:sz w:val="18"/>
        </w:rPr>
        <w:t>COMPLETE</w:t>
      </w:r>
      <w:r>
        <w:t>.</w:t>
      </w:r>
    </w:p>
    <w:p>
      <w:r>
        <w:t>A ten-minute run is an engineering default, not a claim that ten minutes tests every system. Permit an explicit extension up to thirty minutes while retaining the same memory and disk limits. Evidence already captured must remain readable when the owner disconnects or the game crashes.</w:t>
      </w:r>
    </w:p>
    <w:p>
      <w:pPr>
        <w:pStyle w:val="Heading2"/>
      </w:pPr>
      <w:r>
        <w:t>3.2 Joined-session and next-boot coverage</w:t>
      </w:r>
    </w:p>
    <w:p>
      <w:r>
        <w:t xml:space="preserve">An in-game command cannot observe an earlier boot. Add an optional </w:t>
      </w:r>
      <w:r>
        <w:rPr>
          <w:rFonts w:ascii="Liberation Mono" w:hAnsi="Liberation Mono"/>
          <w:sz w:val="18"/>
        </w:rPr>
        <w:t>arm-next</w:t>
      </w:r>
      <w:r>
        <w:t xml:space="preserve"> and </w:t>
      </w:r>
      <w:r>
        <w:rPr>
          <w:rFonts w:ascii="Liberation Mono" w:hAnsi="Liberation Mono"/>
          <w:sz w:val="18"/>
        </w:rPr>
        <w:t>cancel-arm</w:t>
      </w:r>
      <w:r>
        <w:t xml:space="preserve"> under the same command family. A one-shot, diagnostic-only configuration record allows the next ordinary launch to observe early Hywind registration and the owner’s first admission. Codex may prepare that record during an authorized diagnostic deployment. It is not a gameplay save modification or launcher setting.</w:t>
      </w:r>
    </w:p>
    <w:p>
      <w:r>
        <w:t xml:space="preserve">Consume the arm once, associate it with the intended installation/world identity, enforce expiry, and bound it if the player never joins. If Hywind fails before its observer loads, report </w:t>
      </w:r>
      <w:r>
        <w:rPr>
          <w:rFonts w:ascii="Liberation Mono" w:hAnsi="Liberation Mono"/>
          <w:sz w:val="18"/>
        </w:rPr>
        <w:t>BOOTSTRAP_UNOBSERVED</w:t>
      </w:r>
      <w:r>
        <w:t xml:space="preserve"> and retain a link to the matching native log. Do not promise that an in-plugin recorder can diagnose code that never ran. Existing launcher/log capture can remain an optional external source.</w:t>
      </w:r>
    </w:p>
    <w:p>
      <w:pPr>
        <w:pStyle w:val="Heading2"/>
      </w:pPr>
      <w:r>
        <w:t>3.3 Global means cross-system, not unlimited surveillance</w:t>
      </w:r>
    </w:p>
    <w:p>
      <w:r>
        <w:t>The standard capture follows the invoking owner, their equipment, casts, targets, UI actions, lifecycle, and relevant entities. It also collects bounded aggregate natural-spawn counters in the current loaded world. It must not load chunks, scan every player, or trace every entity on a large server. An explicit administrative scope may add a small approved player set; all subjects share one total budget.</w:t>
      </w:r>
    </w:p>
    <w:p>
      <w:r>
        <w:t>On a world transition, create a new world segment under the same run, record the handoff, and apply the same bounds. Reconnects use a new connection generation. Never correlate old callbacks into a new connection solely because the player UUID matches.</w:t>
      </w:r>
    </w:p>
    <w:p>
      <w:bookmarkStart w:id="4" w:name="s4"/>
      <w:pPr>
        <w:pStyle w:val="Heading1"/>
      </w:pPr>
      <w:r>
        <w:t>4. Architecture: connect existing evidence</w:t>
      </w:r>
      <w:bookmarkEnd w:id="4"/>
    </w:p>
    <w:p>
      <w:pPr>
        <w:pStyle w:val="Heading2"/>
      </w:pPr>
      <w:r>
        <w:t>4.1 Data flow</w:t>
      </w:r>
    </w:p>
    <w:p>
      <w:pPr>
        <w:pStyle w:val="HROCode"/>
        <w:shd w:fill="F0F4F6"/>
      </w:pPr>
      <w:r>
        <w:t>Existing gameplay authorities and supported native callbacks</w:t>
        <w:br/>
        <w:t xml:space="preserve">    -&gt; cheap enabled/scope check</w:t>
        <w:br/>
        <w:t xml:space="preserve">    -&gt; bounded immutable observation on the owning thread</w:t>
        <w:br/>
        <w:t xml:space="preserve">    -&gt; non-waiting admission to a shared diagnostic budget</w:t>
        <w:br/>
        <w:t xml:space="preserve">    -&gt; asynchronous serialization and segmented files</w:t>
        <w:br/>
        <w:t xml:space="preserve">    -&gt; offline contract evaluation and baseline comparison</w:t>
        <w:br/>
        <w:t xml:space="preserve">    -&gt; findings + coverage + reusable implementation map</w:t>
      </w:r>
    </w:p>
    <w:p>
      <w:r>
        <w:t>No diagnostic component may authorize a cast, approve a transfer, alter a rarity result, repair a save, or replay an effect into the live world. Diagnostic failure degrades diagnostics, not gameplay.</w:t>
      </w:r>
    </w:p>
    <w:p>
      <w:pPr>
        <w:pStyle w:val="Heading2"/>
      </w:pPr>
      <w:r>
        <w:t>4.2 Minimum new structure</w:t>
      </w:r>
    </w:p>
    <w:p>
      <w:r>
        <w:t>Use a small coordinator, shared event envelope, provider/capability registry, offline evaluator and bundle/report writer. These are responsibilities, not a demand for five new frameworks. Prefer the existing Java/Gson/Gradle stack and ordinary versioned JSON definitions. Implement evaluators as a small explicit set of tested predicates; do not build a general temporal query language, graph database, telemetry backend or live AI agent.</w:t>
      </w:r>
    </w:p>
    <w:p>
      <w:r>
        <w:t>Adapters should wrap existing semantic events and add context where required. Keep legacy files and event names readable. Avoid double serialization by sharing an already immutable snapshot or routing through a single observed event once. A reference-counted observation lease may be used only where necessary to coexist with manually active recorders; HRO must not disable another operator’s session when it stops.</w:t>
      </w:r>
    </w:p>
    <w:p>
      <w:pPr>
        <w:pStyle w:val="Heading2"/>
      </w:pPr>
      <w:r>
        <w:t>4.3 Thread and ownership rules</w:t>
      </w:r>
    </w:p>
    <w:p>
      <w:r>
        <w:t xml:space="preserve">Observe native component values on their actual owner thread, preferably at an already occurring mutation boundary. Copy bounded scalar values and stable identities, not live </w:t>
      </w:r>
      <w:r>
        <w:rPr>
          <w:rFonts w:ascii="Liberation Mono" w:hAnsi="Liberation Mono"/>
          <w:sz w:val="18"/>
        </w:rPr>
        <w:t>Store</w:t>
      </w:r>
      <w:r>
        <w:t xml:space="preserve">, </w:t>
      </w:r>
      <w:r>
        <w:rPr>
          <w:rFonts w:ascii="Liberation Mono" w:hAnsi="Liberation Mono"/>
          <w:sz w:val="18"/>
        </w:rPr>
        <w:t>World</w:t>
      </w:r>
      <w:r>
        <w:t xml:space="preserve">, </w:t>
      </w:r>
      <w:r>
        <w:rPr>
          <w:rFonts w:ascii="Liberation Mono" w:hAnsi="Liberation Mono"/>
          <w:sz w:val="18"/>
        </w:rPr>
        <w:t>PlayerRef</w:t>
      </w:r>
      <w:r>
        <w:t xml:space="preserve">, </w:t>
      </w:r>
      <w:r>
        <w:rPr>
          <w:rFonts w:ascii="Liberation Mono" w:hAnsi="Liberation Mono"/>
          <w:sz w:val="18"/>
        </w:rPr>
        <w:t>ItemContainer</w:t>
      </w:r>
      <w:r>
        <w:t>, mutable collections, or lazy suppliers that will read them later. Workers receive immutable diagnostic data only.</w:t>
      </w:r>
    </w:p>
    <w:p>
      <w:r>
        <w:t>Do not acquire a gameplay holder lock merely to produce a richer log. Do not invoke gameplay listeners recursively while recording their output. If a consistent snapshot is unavailable without waiting, record that limitation. A state revision identifies the snapshot; two observations from different revisions must not be presented as an atomic view.</w:t>
      </w:r>
    </w:p>
    <w:p>
      <w:pPr>
        <w:pStyle w:val="Heading2"/>
      </w:pPr>
      <w:r>
        <w:t>4.4 Discoverability without re-scanning</w:t>
      </w:r>
    </w:p>
    <w:p>
      <w:r>
        <w:t>At deployment or offline preparation, generate a manifest of actual implementation owners, packaged entrypoints, registered systems, referenced native types, asset dependencies, codecs and supported trace boundaries. Runtime initialization confirms supported registrations through available APIs or witnessed registration calls. Method existence alone is not proof of registration or execution.</w:t>
      </w:r>
    </w:p>
    <w:p>
      <w:r>
        <w:t>At capture start, reference cached identities and safely snapshot small current state. Do not hash the entire game archive, reparse receipt history, perform Git operations or inspect all classes on the world thread.</w:t>
      </w:r>
    </w:p>
    <w:p>
      <w:bookmarkStart w:id="5" w:name="s5"/>
      <w:pPr>
        <w:pStyle w:val="Heading1"/>
      </w:pPr>
      <w:r>
        <w:t>5. Evidence semantics and failure classification</w:t>
      </w:r>
      <w:bookmarkEnd w:id="5"/>
    </w:p>
    <w:p>
      <w:pPr>
        <w:pStyle w:val="Heading2"/>
      </w:pPr>
      <w:r>
        <w:t>5.1 Separate outcome, comparison and proof</w:t>
      </w:r>
    </w:p>
    <w:p>
      <w:r>
        <w:t>Each finding has independent fields. This avoids using one green/red flag to conflate “worked once,” “not available,” “not tested,” and “still broken.”</w:t>
      </w:r>
    </w:p>
    <w:tbl>
      <w:tblPr>
        <w:tblW w:type="auto" w:w="0"/>
        <w:jc w:val="center"/>
        <w:tblLayout w:type="fixed"/>
        <w:tblLook w:firstColumn="1" w:firstRow="1" w:lastColumn="0" w:lastRow="0" w:noHBand="0" w:noVBand="1" w:val="04A0"/>
      </w:tblPr>
      <w:tblGrid>
        <w:gridCol w:w="2894"/>
        <w:gridCol w:w="7099"/>
      </w:tblGrid>
      <w:tr>
        <w:trPr>
          <w:cantSplit/>
          <w:tblHeader/>
        </w:trPr>
        <w:tc>
          <w:tcPr>
            <w:tcW w:type="dxa" w:w="2894"/>
            <w:vAlign w:val="center"/>
            <w:shd w:fill="183545"/>
            <w:tcMar>
              <w:top w:w="85" w:type="dxa"/>
              <w:left w:w="85" w:type="dxa"/>
              <w:bottom w:w="85" w:type="dxa"/>
              <w:right w:w="85" w:type="dxa"/>
            </w:tcMar>
          </w:tcPr>
          <w:p>
            <w:pPr>
              <w:spacing w:before="80" w:after="80" w:line="250" w:lineRule="auto"/>
            </w:pPr>
            <w:r>
              <w:rPr>
                <w:b/>
                <w:color w:val="FFFFFF"/>
                <w:sz w:val="18"/>
              </w:rPr>
              <w:t>Outcome</w:t>
            </w:r>
          </w:p>
        </w:tc>
        <w:tc>
          <w:tcPr>
            <w:tcW w:type="dxa" w:w="7099"/>
            <w:vAlign w:val="center"/>
            <w:shd w:fill="183545"/>
            <w:tcMar>
              <w:top w:w="85" w:type="dxa"/>
              <w:left w:w="85" w:type="dxa"/>
              <w:bottom w:w="85" w:type="dxa"/>
              <w:right w:w="85" w:type="dxa"/>
            </w:tcMar>
          </w:tcPr>
          <w:p>
            <w:pPr>
              <w:spacing w:before="80" w:after="80" w:line="250" w:lineRule="auto"/>
            </w:pPr>
            <w:r>
              <w:rPr>
                <w:b/>
                <w:color w:val="FFFFFF"/>
                <w:sz w:val="18"/>
              </w:rPr>
              <w:t>Meaning</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PASS</w:t>
            </w:r>
          </w:p>
        </w:tc>
        <w:tc>
          <w:tcPr>
            <w:tcW w:type="dxa" w:w="7099"/>
            <w:vAlign w:val="center"/>
            <w:shd w:fill="EDF3F5"/>
            <w:tcMar>
              <w:top w:w="85" w:type="dxa"/>
              <w:left w:w="85" w:type="dxa"/>
              <w:bottom w:w="85" w:type="dxa"/>
              <w:right w:w="85" w:type="dxa"/>
            </w:tcMar>
          </w:tcPr>
          <w:p>
            <w:pPr>
              <w:spacing w:before="80" w:after="80" w:line="250" w:lineRule="auto"/>
            </w:pPr>
            <w:r>
              <w:rPr>
                <w:sz w:val="18"/>
              </w:rPr>
              <w:t>The named assertion passed for the observed operations and evidence boundary</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FAIL</w:t>
            </w:r>
          </w:p>
        </w:tc>
        <w:tc>
          <w:tcPr>
            <w:tcW w:type="dxa" w:w="7099"/>
            <w:vAlign w:val="center"/>
            <w:shd w:fill="FFFFFF"/>
            <w:tcMar>
              <w:top w:w="85" w:type="dxa"/>
              <w:left w:w="85" w:type="dxa"/>
              <w:bottom w:w="85" w:type="dxa"/>
              <w:right w:w="85" w:type="dxa"/>
            </w:tcMar>
          </w:tcPr>
          <w:p>
            <w:pPr>
              <w:spacing w:before="80" w:after="80" w:line="250" w:lineRule="auto"/>
            </w:pPr>
            <w:r>
              <w:rPr>
                <w:sz w:val="18"/>
              </w:rPr>
              <w:t>Direct evidence contradicts the named assertion</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BLOCKED</w:t>
            </w:r>
          </w:p>
        </w:tc>
        <w:tc>
          <w:tcPr>
            <w:tcW w:type="dxa" w:w="7099"/>
            <w:vAlign w:val="center"/>
            <w:shd w:fill="EDF3F5"/>
            <w:tcMar>
              <w:top w:w="85" w:type="dxa"/>
              <w:left w:w="85" w:type="dxa"/>
              <w:bottom w:w="85" w:type="dxa"/>
              <w:right w:w="85" w:type="dxa"/>
            </w:tcMar>
          </w:tcPr>
          <w:p>
            <w:pPr>
              <w:spacing w:before="80" w:after="80" w:line="250" w:lineRule="auto"/>
            </w:pPr>
            <w:r>
              <w:rPr>
                <w:sz w:val="18"/>
              </w:rPr>
              <w:t>A prerequisite or native capability prevents the operation from being evaluated or completed</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NOT_EXERCISED</w:t>
            </w:r>
          </w:p>
        </w:tc>
        <w:tc>
          <w:tcPr>
            <w:tcW w:type="dxa" w:w="7099"/>
            <w:vAlign w:val="center"/>
            <w:shd w:fill="FFFFFF"/>
            <w:tcMar>
              <w:top w:w="85" w:type="dxa"/>
              <w:left w:w="85" w:type="dxa"/>
              <w:bottom w:w="85" w:type="dxa"/>
              <w:right w:w="85" w:type="dxa"/>
            </w:tcMar>
          </w:tcPr>
          <w:p>
            <w:pPr>
              <w:spacing w:before="80" w:after="80" w:line="250" w:lineRule="auto"/>
            </w:pPr>
            <w:r>
              <w:rPr>
                <w:sz w:val="18"/>
              </w:rPr>
              <w:t>No qualifying action or opportunity occurred</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INCONCLUSIVE</w:t>
            </w:r>
          </w:p>
        </w:tc>
        <w:tc>
          <w:tcPr>
            <w:tcW w:type="dxa" w:w="7099"/>
            <w:vAlign w:val="center"/>
            <w:shd w:fill="EDF3F5"/>
            <w:tcMar>
              <w:top w:w="85" w:type="dxa"/>
              <w:left w:w="85" w:type="dxa"/>
              <w:bottom w:w="85" w:type="dxa"/>
              <w:right w:w="85" w:type="dxa"/>
            </w:tcMar>
          </w:tcPr>
          <w:p>
            <w:pPr>
              <w:spacing w:before="80" w:after="80" w:line="250" w:lineRule="auto"/>
            </w:pPr>
            <w:r>
              <w:rPr>
                <w:sz w:val="18"/>
              </w:rPr>
              <w:t>Relevant activity occurred, but gaps, mismatched state or inaccessible boundaries prevent a verdict</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NOT_APPLICABLE</w:t>
            </w:r>
          </w:p>
        </w:tc>
        <w:tc>
          <w:tcPr>
            <w:tcW w:type="dxa" w:w="7099"/>
            <w:vAlign w:val="center"/>
            <w:shd w:fill="FFFFFF"/>
            <w:tcMar>
              <w:top w:w="85" w:type="dxa"/>
              <w:left w:w="85" w:type="dxa"/>
              <w:bottom w:w="85" w:type="dxa"/>
              <w:right w:w="85" w:type="dxa"/>
            </w:tcMar>
          </w:tcPr>
          <w:p>
            <w:pPr>
              <w:spacing w:before="80" w:after="80" w:line="250" w:lineRule="auto"/>
            </w:pPr>
            <w:r>
              <w:rPr>
                <w:sz w:val="18"/>
              </w:rPr>
              <w:t>An explicit, versioned rule excludes this case; include the reason</w:t>
            </w:r>
          </w:p>
        </w:tc>
      </w:tr>
    </w:tbl>
    <w:p>
      <w:pPr>
        <w:spacing w:after="20"/>
      </w:pPr>
    </w:p>
    <w:p>
      <w:r>
        <w:t xml:space="preserve">Comparison is separately </w:t>
      </w:r>
      <w:r>
        <w:rPr>
          <w:rFonts w:ascii="Liberation Mono" w:hAnsi="Liberation Mono"/>
          <w:sz w:val="18"/>
        </w:rPr>
        <w:t>REGRESSION</w:t>
      </w:r>
      <w:r>
        <w:t xml:space="preserve">, </w:t>
      </w:r>
      <w:r>
        <w:rPr>
          <w:rFonts w:ascii="Liberation Mono" w:hAnsi="Liberation Mono"/>
          <w:sz w:val="18"/>
        </w:rPr>
        <w:t>PERSISTING_FAILURE</w:t>
      </w:r>
      <w:r>
        <w:t xml:space="preserve">, </w:t>
      </w:r>
      <w:r>
        <w:rPr>
          <w:rFonts w:ascii="Liberation Mono" w:hAnsi="Liberation Mono"/>
          <w:sz w:val="18"/>
        </w:rPr>
        <w:t>FIXED</w:t>
      </w:r>
      <w:r>
        <w:t xml:space="preserve">, </w:t>
      </w:r>
      <w:r>
        <w:rPr>
          <w:rFonts w:ascii="Liberation Mono" w:hAnsi="Liberation Mono"/>
          <w:sz w:val="18"/>
        </w:rPr>
        <w:t>EXPECTED_CHANGE</w:t>
      </w:r>
      <w:r>
        <w:t xml:space="preserve">, </w:t>
      </w:r>
      <w:r>
        <w:rPr>
          <w:rFonts w:ascii="Liberation Mono" w:hAnsi="Liberation Mono"/>
          <w:sz w:val="18"/>
        </w:rPr>
        <w:t>NEW_COVERAGE</w:t>
      </w:r>
      <w:r>
        <w:t xml:space="preserve">, </w:t>
      </w:r>
      <w:r>
        <w:rPr>
          <w:rFonts w:ascii="Liberation Mono" w:hAnsi="Liberation Mono"/>
          <w:sz w:val="18"/>
        </w:rPr>
        <w:t>NOT_COMPARABLE</w:t>
      </w:r>
      <w:r>
        <w:t xml:space="preserve">, or </w:t>
      </w:r>
      <w:r>
        <w:rPr>
          <w:rFonts w:ascii="Liberation Mono" w:hAnsi="Liberation Mono"/>
          <w:sz w:val="18"/>
        </w:rPr>
        <w:t>NO_BASELINE</w:t>
      </w:r>
      <w:r>
        <w:t>. A known unsupported mandatory feature stays a visible blocker; an allowlist must not turn it into a pass.</w:t>
      </w:r>
    </w:p>
    <w:p>
      <w:r>
        <w:t>Proof records the strongest observed boundary: offline fixture, Hywind owner decision, native readback, client acknowledgement if exposed, or owner visual confirmation. A submitted HUD update does not count as rendered. A transport acknowledgement does not automatically count as visual confirmation either.</w:t>
      </w:r>
    </w:p>
    <w:p>
      <w:pPr>
        <w:pStyle w:val="Heading2"/>
      </w:pPr>
      <w:r>
        <w:t>5.2 Absence is meaningful only with coverage</w:t>
      </w:r>
    </w:p>
    <w:p>
      <w:r>
        <w:t>For each observer, record implementation presence, registration status, enabled interval, subject scope, event schema, capacity losses, sampling policy and final sequence/counter checkpoints. Independent bootstrap/capability evidence must indicate that the relevant hook was available. Do not use a missing hook’s own silence to prove that hook ran and failed.</w:t>
      </w:r>
    </w:p>
    <w:p>
      <w:r>
        <w:t>A missing successor becomes a violation only after an observed qualifying predecessor, a contract-specific deadline, intact relevant coverage, and no allowed cancellation. If the capture ended, the client disconnected, a guard validly rejected the action, or the required records were dropped, use the corresponding outcome instead.</w:t>
      </w:r>
    </w:p>
    <w:p>
      <w:r>
        <w:t>Use the earliest supported divergence, which may be a failed boundary or an observation gap. Report “native dispatch was not observed” instead of claiming “the player never pressed E.” A user mark saying they pressed E is useful witness evidence, not a fabricated native input event.</w:t>
      </w:r>
    </w:p>
    <w:p>
      <w:pPr>
        <w:pStyle w:val="Heading2"/>
      </w:pPr>
      <w:r>
        <w:t>5.3 Suppress cascades, not independent faults</w:t>
      </w:r>
    </w:p>
    <w:p>
      <w:r>
        <w:t>If admission fails and explains absent ability projection, HUD installation and combat readiness, report one primary finding with blocked dependents. Continue evaluating unrelated inventory or native observations. A later window cleanup exception must not replace an earlier admission failure as the cause simply because it is the last severe log entry.</w:t>
      </w:r>
    </w:p>
    <w:p>
      <w:r>
        <w:t>A source diff supplies possible repair locations. Causation requires matching runtime evidence or a controlled reproducer. Every report explicitly separates confirmed faults, supported hypotheses and missing evidence.</w:t>
      </w:r>
    </w:p>
    <w:p>
      <w:bookmarkStart w:id="6" w:name="s6"/>
      <w:pPr>
        <w:pStyle w:val="Heading1"/>
      </w:pPr>
      <w:r>
        <w:t>6. Shared event and contract model</w:t>
      </w:r>
      <w:bookmarkEnd w:id="6"/>
    </w:p>
    <w:p>
      <w:pPr>
        <w:pStyle w:val="Heading2"/>
      </w:pPr>
      <w:r>
        <w:t>6.1 Event envelope</w:t>
      </w:r>
    </w:p>
    <w:p>
      <w:r>
        <w:t xml:space="preserve">Each event carries </w:t>
      </w:r>
      <w:r>
        <w:rPr>
          <w:rFonts w:ascii="Liberation Mono" w:hAnsi="Liberation Mono"/>
          <w:sz w:val="18"/>
        </w:rPr>
        <w:t>schemaVersion</w:t>
      </w:r>
      <w:r>
        <w:t xml:space="preserve">, </w:t>
      </w:r>
      <w:r>
        <w:rPr>
          <w:rFonts w:ascii="Liberation Mono" w:hAnsi="Liberation Mono"/>
          <w:sz w:val="18"/>
        </w:rPr>
        <w:t>runId</w:t>
      </w:r>
      <w:r>
        <w:t xml:space="preserve">, </w:t>
      </w:r>
      <w:r>
        <w:rPr>
          <w:rFonts w:ascii="Liberation Mono" w:hAnsi="Liberation Mono"/>
          <w:sz w:val="18"/>
        </w:rPr>
        <w:t>processId</w:t>
      </w:r>
      <w:r>
        <w:t xml:space="preserve">, </w:t>
      </w:r>
      <w:r>
        <w:rPr>
          <w:rFonts w:ascii="Liberation Mono" w:hAnsi="Liberation Mono"/>
          <w:sz w:val="18"/>
        </w:rPr>
        <w:t>bootId</w:t>
      </w:r>
      <w:r>
        <w:t xml:space="preserve">, </w:t>
      </w:r>
      <w:r>
        <w:rPr>
          <w:rFonts w:ascii="Liberation Mono" w:hAnsi="Liberation Mono"/>
          <w:sz w:val="18"/>
        </w:rPr>
        <w:t>connectionId</w:t>
      </w:r>
      <w:r>
        <w:t xml:space="preserve">, </w:t>
      </w:r>
      <w:r>
        <w:rPr>
          <w:rFonts w:ascii="Liberation Mono" w:hAnsi="Liberation Mono"/>
          <w:sz w:val="18"/>
        </w:rPr>
        <w:t>worldSegmentId</w:t>
      </w:r>
      <w:r>
        <w:t xml:space="preserve">, </w:t>
      </w:r>
      <w:r>
        <w:rPr>
          <w:rFonts w:ascii="Liberation Mono" w:hAnsi="Liberation Mono"/>
          <w:sz w:val="18"/>
        </w:rPr>
        <w:t>eventId</w:t>
      </w:r>
      <w:r>
        <w:t>, per-producer sequence, UTC timestamp, monotonic process-relative time, native tick where available, subsystem, boundary, provider identity, outcome/reason, and references to immutable snapshots. Reuse existing cast/root/hit/receipt/item IDs as causal keys; do not replace durable game receipts with diagnostic IDs.</w:t>
      </w:r>
    </w:p>
    <w:p>
      <w:r>
        <w:t xml:space="preserve">Optional causal fields include </w:t>
      </w:r>
      <w:r>
        <w:rPr>
          <w:rFonts w:ascii="Liberation Mono" w:hAnsi="Liberation Mono"/>
          <w:sz w:val="18"/>
        </w:rPr>
        <w:t>parentEventId</w:t>
      </w:r>
      <w:r>
        <w:t xml:space="preserve">, </w:t>
      </w:r>
      <w:r>
        <w:rPr>
          <w:rFonts w:ascii="Liberation Mono" w:hAnsi="Liberation Mono"/>
          <w:sz w:val="18"/>
        </w:rPr>
        <w:t>operationId</w:t>
      </w:r>
      <w:r>
        <w:t xml:space="preserve">, </w:t>
      </w:r>
      <w:r>
        <w:rPr>
          <w:rFonts w:ascii="Liberation Mono" w:hAnsi="Liberation Mono"/>
          <w:sz w:val="18"/>
        </w:rPr>
        <w:t>castId</w:t>
      </w:r>
      <w:r>
        <w:t xml:space="preserve">, </w:t>
      </w:r>
      <w:r>
        <w:rPr>
          <w:rFonts w:ascii="Liberation Mono" w:hAnsi="Liberation Mono"/>
          <w:sz w:val="18"/>
        </w:rPr>
        <w:t>hitId</w:t>
      </w:r>
      <w:r>
        <w:t xml:space="preserve">, </w:t>
      </w:r>
      <w:r>
        <w:rPr>
          <w:rFonts w:ascii="Liberation Mono" w:hAnsi="Liberation Mono"/>
          <w:sz w:val="18"/>
        </w:rPr>
        <w:t>receiptId</w:t>
      </w:r>
      <w:r>
        <w:t xml:space="preserve">, </w:t>
      </w:r>
      <w:r>
        <w:rPr>
          <w:rFonts w:ascii="Liberation Mono" w:hAnsi="Liberation Mono"/>
          <w:sz w:val="18"/>
        </w:rPr>
        <w:t>entityId</w:t>
      </w:r>
      <w:r>
        <w:t xml:space="preserve">, </w:t>
      </w:r>
      <w:r>
        <w:rPr>
          <w:rFonts w:ascii="Liberation Mono" w:hAnsi="Liberation Mono"/>
          <w:sz w:val="18"/>
        </w:rPr>
        <w:t>equipmentRevision</w:t>
      </w:r>
      <w:r>
        <w:t xml:space="preserve">, </w:t>
      </w:r>
      <w:r>
        <w:rPr>
          <w:rFonts w:ascii="Liberation Mono" w:hAnsi="Liberation Mono"/>
          <w:sz w:val="18"/>
        </w:rPr>
        <w:t>loadoutRevision</w:t>
      </w:r>
      <w:r>
        <w:t xml:space="preserve">, </w:t>
      </w:r>
      <w:r>
        <w:rPr>
          <w:rFonts w:ascii="Liberation Mono" w:hAnsi="Liberation Mono"/>
          <w:sz w:val="18"/>
        </w:rPr>
        <w:t>barrierGeneration</w:t>
      </w:r>
      <w:r>
        <w:t xml:space="preserve">, and </w:t>
      </w:r>
      <w:r>
        <w:rPr>
          <w:rFonts w:ascii="Liberation Mono" w:hAnsi="Liberation Mono"/>
          <w:sz w:val="18"/>
        </w:rPr>
        <w:t>uiDocumentGeneration</w:t>
      </w:r>
      <w:r>
        <w:t>. Unknown values remain null with a reason, never zero by convenience. Record units and numeric precision.</w:t>
      </w:r>
    </w:p>
    <w:p>
      <w:r>
        <w:t>Sequences establish transport/order completeness within a producer; cross-thread temporal proximity is not causation. Cross-process joins require explicit IDs or a documented, confidence-limited time match. Record UTC offsets and clock alignment when importing client logs. Never attach a JFR from a different boot merely because its filename looks similar.</w:t>
      </w:r>
    </w:p>
    <w:p>
      <w:pPr>
        <w:pStyle w:val="Heading2"/>
      </w:pPr>
      <w:r>
        <w:t>6.2 Illustrative event</w:t>
      </w:r>
    </w:p>
    <w:p>
      <w:pPr>
        <w:pStyle w:val="HROCode"/>
        <w:shd w:fill="F0F4F6"/>
      </w:pPr>
      <w:r>
        <w:t>{</w:t>
        <w:br/>
        <w:t xml:space="preserve">  "schemaVersion": 1,</w:t>
        <w:br/>
        <w:t xml:space="preserve">  "runId": "example-run",</w:t>
        <w:br/>
        <w:t xml:space="preserve">  "eventId": "owner-204",</w:t>
        <w:br/>
        <w:t xml:space="preserve">  "operationId": "equip-17",</w:t>
        <w:br/>
        <w:t xml:space="preserve">  "subsystem": "INVENTORY",</w:t>
        <w:br/>
        <w:t xml:space="preserve">  "boundary": "NATIVE_SLOT_RESOLVED",</w:t>
        <w:br/>
        <w:t xml:space="preserve">  "outcome": "FAIL",</w:t>
        <w:br/>
        <w:t xml:space="preserve">  "reason": "INACTIVE_SLOT_NOT_TRANSLATED",</w:t>
        <w:br/>
        <w:t xml:space="preserve">  "sourceRevision": "snapshot-ref",</w:t>
        <w:br/>
        <w:t xml:space="preserve">  "facts": {</w:t>
        <w:br/>
        <w:t xml:space="preserve">    "ownershipMode": "SPATIAL",</w:t>
        <w:br/>
        <w:t xml:space="preserve">    "rawNativeSlot": -1,</w:t>
        <w:br/>
        <w:t xml:space="preserve">    "resolvedNativeSlot": null,</w:t>
        <w:br/>
        <w:t xml:space="preserve">    "itemRef": "item-8",</w:t>
        <w:br/>
        <w:t xml:space="preserve">    "transferCommitted": false</w:t>
        <w:br/>
        <w:t xml:space="preserve">  },</w:t>
        <w:br/>
        <w:t xml:space="preserve">  "evidenceQuality": "OWNER_DECISION",</w:t>
        <w:br/>
        <w:t xml:space="preserve">  "gapSincePredecessor": false</w:t>
        <w:br/>
        <w:t>}</w:t>
      </w:r>
    </w:p>
    <w:p>
      <w:r>
        <w:t>This is a proposed normalized record, not a measurement from a new run. The reason should be emitted only where the observed adapter behavior supports it; otherwise retain the original error and classify the translation diagnosis as a hypothesis.</w:t>
      </w:r>
    </w:p>
    <w:p>
      <w:pPr>
        <w:pStyle w:val="Heading2"/>
      </w:pPr>
      <w:r>
        <w:t>6.3 Contract definition</w:t>
      </w:r>
    </w:p>
    <w:p>
      <w:r>
        <w:t>A contract declares its stable ID and version; owner and source anchor; capability prerequisites; applicable configuration; triggering observation; required successors or legal terminals; deadline; invariant/tolerance; evidence floor; comparison dimensions; and remediation anchors. Store the expected-rule version independently from the observed game implementation version.</w:t>
      </w:r>
    </w:p>
    <w:p>
      <w:r>
        <w:t xml:space="preserve">For example, </w:t>
      </w:r>
      <w:r>
        <w:rPr>
          <w:rFonts w:ascii="Liberation Mono" w:hAnsi="Liberation Mono"/>
          <w:sz w:val="18"/>
        </w:rPr>
        <w:t>SKILL.PROJECTION.v1</w:t>
      </w:r>
      <w:r>
        <w:t xml:space="preserve"> begins on a committed slot assignment for a currently admitted connection. It expects a matching projection or an explicit supported blocker. Its deadline is expressed in the owning world’s progression/time policy, not an arbitrary global sleep. Disconnect, reassignment and document replacement are explicit terminals. It does not demand that an intentionally unbound slot emit a fabricated input.</w:t>
      </w:r>
    </w:p>
    <w:p>
      <w:pPr>
        <w:pStyle w:val="Heading2"/>
      </w:pPr>
      <w:r>
        <w:t>6.4 Sampling and complete operations</w:t>
      </w:r>
    </w:p>
    <w:p>
      <w:r>
        <w:t>Prefer deterministic sampling by operation/root ID, independent of gameplay RNG. Once an operation is selected, attempt to retain its whole bounded lifecycle, including terminal result. Keep inexpensive unsampled opportunity/outcome counters where safe. Sampling unrelated individual boundaries creates misleading broken chains and is forbidden as the default.</w:t>
      </w:r>
    </w:p>
    <w:p>
      <w:r>
        <w:t>Reserve space for control records, failures, gap notices and a bounded tail. Very large fan-outs may still exceed a reservation; mark that operation incomplete. A failure discovered after a nonselected operation must say that prior detailed context was not retained. Do not reconstruct a nonexistent causal history from aggregate counts.</w:t>
      </w:r>
    </w:p>
    <w:p>
      <w:bookmarkStart w:id="7" w:name="s7"/>
      <w:pPr>
        <w:pStyle w:val="Heading1"/>
      </w:pPr>
      <w:r>
        <w:t>7. Initial contract catalog</w:t>
      </w:r>
      <w:bookmarkEnd w:id="7"/>
    </w:p>
    <w:p>
      <w:r>
        <w:t>These seventeen contracts are the implementation target for version 1. Additional installed features receive inventory/coverage entries, not invented behavioral verification.</w:t>
      </w:r>
    </w:p>
    <w:tbl>
      <w:tblPr>
        <w:tblW w:type="auto" w:w="0"/>
        <w:jc w:val="center"/>
        <w:tblLayout w:type="fixed"/>
        <w:tblLook w:firstColumn="1" w:firstRow="1" w:lastColumn="0" w:lastRow="0" w:noHBand="0" w:noVBand="1" w:val="04A0"/>
      </w:tblPr>
      <w:tblGrid>
        <w:gridCol w:w="2894"/>
        <w:gridCol w:w="7099"/>
      </w:tblGrid>
      <w:tr>
        <w:trPr>
          <w:cantSplit/>
          <w:tblHeader/>
        </w:trPr>
        <w:tc>
          <w:tcPr>
            <w:tcW w:type="dxa" w:w="2894"/>
            <w:vAlign w:val="center"/>
            <w:shd w:fill="183545"/>
            <w:tcMar>
              <w:top w:w="85" w:type="dxa"/>
              <w:left w:w="85" w:type="dxa"/>
              <w:bottom w:w="85" w:type="dxa"/>
              <w:right w:w="85" w:type="dxa"/>
            </w:tcMar>
          </w:tcPr>
          <w:p>
            <w:pPr>
              <w:spacing w:before="80" w:after="80" w:line="250" w:lineRule="auto"/>
            </w:pPr>
            <w:r>
              <w:rPr>
                <w:b/>
                <w:color w:val="FFFFFF"/>
                <w:sz w:val="18"/>
              </w:rPr>
              <w:t>ID</w:t>
            </w:r>
          </w:p>
        </w:tc>
        <w:tc>
          <w:tcPr>
            <w:tcW w:type="dxa" w:w="7099"/>
            <w:vAlign w:val="center"/>
            <w:shd w:fill="183545"/>
            <w:tcMar>
              <w:top w:w="85" w:type="dxa"/>
              <w:left w:w="85" w:type="dxa"/>
              <w:bottom w:w="85" w:type="dxa"/>
              <w:right w:w="85" w:type="dxa"/>
            </w:tcMar>
          </w:tcPr>
          <w:p>
            <w:pPr>
              <w:spacing w:before="80" w:after="80" w:line="250" w:lineRule="auto"/>
            </w:pPr>
            <w:r>
              <w:rPr>
                <w:b/>
                <w:color w:val="FFFFFF"/>
                <w:sz w:val="18"/>
              </w:rPr>
              <w:t>Required evidence and invariant</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BOOT.ARTIFACT</w:t>
            </w:r>
          </w:p>
        </w:tc>
        <w:tc>
          <w:tcPr>
            <w:tcW w:type="dxa" w:w="7099"/>
            <w:vAlign w:val="center"/>
            <w:shd w:fill="EDF3F5"/>
            <w:tcMar>
              <w:top w:w="85" w:type="dxa"/>
              <w:left w:w="85" w:type="dxa"/>
              <w:bottom w:w="85" w:type="dxa"/>
              <w:right w:w="85" w:type="dxa"/>
            </w:tcMar>
          </w:tcPr>
          <w:p>
            <w:pPr>
              <w:spacing w:before="80" w:after="80" w:line="250" w:lineRule="auto"/>
            </w:pPr>
            <w:r>
              <w:rPr>
                <w:sz w:val="18"/>
              </w:rPr>
              <w:t>Actual JAR identity, packaged entrypoint, native API/assets and required registrations agree</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PLAYER.ADMISSION</w:t>
            </w:r>
          </w:p>
        </w:tc>
        <w:tc>
          <w:tcPr>
            <w:tcW w:type="dxa" w:w="7099"/>
            <w:vAlign w:val="center"/>
            <w:shd w:fill="FFFFFF"/>
            <w:tcMar>
              <w:top w:w="85" w:type="dxa"/>
              <w:left w:w="85" w:type="dxa"/>
              <w:bottom w:w="85" w:type="dxa"/>
              <w:right w:w="85" w:type="dxa"/>
            </w:tcMar>
          </w:tcPr>
          <w:p>
            <w:pPr>
              <w:spacing w:before="80" w:after="80" w:line="250" w:lineRule="auto"/>
            </w:pPr>
            <w:r>
              <w:rPr>
                <w:sz w:val="18"/>
              </w:rPr>
              <w:t>Preparation, load/recovery, current connection/world and owner installation reach a legal terminal</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SKILL.ASSIGN</w:t>
            </w:r>
          </w:p>
        </w:tc>
        <w:tc>
          <w:tcPr>
            <w:tcW w:type="dxa" w:w="7099"/>
            <w:vAlign w:val="center"/>
            <w:shd w:fill="EDF3F5"/>
            <w:tcMar>
              <w:top w:w="85" w:type="dxa"/>
              <w:left w:w="85" w:type="dxa"/>
              <w:bottom w:w="85" w:type="dxa"/>
              <w:right w:w="85" w:type="dxa"/>
            </w:tcMar>
          </w:tcPr>
          <w:p>
            <w:pPr>
              <w:spacing w:before="80" w:after="80" w:line="250" w:lineRule="auto"/>
            </w:pPr>
            <w:r>
              <w:rPr>
                <w:sz w:val="18"/>
              </w:rPr>
              <w:t>Accepted CanvasUI assignment equals saved slot and valid compiled plan at the same revision</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SKILL.PROJECTION</w:t>
            </w:r>
          </w:p>
        </w:tc>
        <w:tc>
          <w:tcPr>
            <w:tcW w:type="dxa" w:w="7099"/>
            <w:vAlign w:val="center"/>
            <w:shd w:fill="FFFFFF"/>
            <w:tcMar>
              <w:top w:w="85" w:type="dxa"/>
              <w:left w:w="85" w:type="dxa"/>
              <w:bottom w:w="85" w:type="dxa"/>
              <w:right w:w="85" w:type="dxa"/>
            </w:tcMar>
          </w:tcPr>
          <w:p>
            <w:pPr>
              <w:spacing w:before="80" w:after="80" w:line="250" w:lineRule="auto"/>
            </w:pPr>
            <w:r>
              <w:rPr>
                <w:sz w:val="18"/>
              </w:rPr>
              <w:t>Admitted slot reaches the actual native binding or an explicit supported blocker</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SKILL.EXECUTION</w:t>
            </w:r>
          </w:p>
        </w:tc>
        <w:tc>
          <w:tcPr>
            <w:tcW w:type="dxa" w:w="7099"/>
            <w:vAlign w:val="center"/>
            <w:shd w:fill="EDF3F5"/>
            <w:tcMar>
              <w:top w:w="85" w:type="dxa"/>
              <w:left w:w="85" w:type="dxa"/>
              <w:bottom w:w="85" w:type="dxa"/>
              <w:right w:w="85" w:type="dxa"/>
            </w:tcMar>
          </w:tcPr>
          <w:p>
            <w:pPr>
              <w:spacing w:before="80" w:after="80" w:line="250" w:lineRule="auto"/>
            </w:pPr>
            <w:r>
              <w:rPr>
                <w:sz w:val="18"/>
              </w:rPr>
              <w:t>One observed activation reaches at most one admitted execution; rejections do not spend resources</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HUD.PUBLICATION</w:t>
            </w:r>
          </w:p>
        </w:tc>
        <w:tc>
          <w:tcPr>
            <w:tcW w:type="dxa" w:w="7099"/>
            <w:vAlign w:val="center"/>
            <w:shd w:fill="FFFFFF"/>
            <w:tcMar>
              <w:top w:w="85" w:type="dxa"/>
              <w:left w:w="85" w:type="dxa"/>
              <w:bottom w:w="85" w:type="dxa"/>
              <w:right w:w="85" w:type="dxa"/>
            </w:tcMar>
          </w:tcPr>
          <w:p>
            <w:pPr>
              <w:spacing w:before="80" w:after="80" w:line="250" w:lineRule="auto"/>
            </w:pPr>
            <w:r>
              <w:rPr>
                <w:sz w:val="18"/>
              </w:rPr>
              <w:t>Current HUD owner receives the correct versioned view; visibility evidence is separately classified</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UI.LIFECYCLE</w:t>
            </w:r>
          </w:p>
        </w:tc>
        <w:tc>
          <w:tcPr>
            <w:tcW w:type="dxa" w:w="7099"/>
            <w:vAlign w:val="center"/>
            <w:shd w:fill="EDF3F5"/>
            <w:tcMar>
              <w:top w:w="85" w:type="dxa"/>
              <w:left w:w="85" w:type="dxa"/>
              <w:bottom w:w="85" w:type="dxa"/>
              <w:right w:w="85" w:type="dxa"/>
            </w:tcMar>
          </w:tcPr>
          <w:p>
            <w:pPr>
              <w:spacing w:before="80" w:after="80" w:line="250" w:lineRule="auto"/>
            </w:pPr>
            <w:r>
              <w:rPr>
                <w:sz w:val="18"/>
              </w:rPr>
              <w:t>Document/window generation closes once and normal HUD ownership is restored or explicitly transferred</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INVENTORY.OWNER</w:t>
            </w:r>
          </w:p>
        </w:tc>
        <w:tc>
          <w:tcPr>
            <w:tcW w:type="dxa" w:w="7099"/>
            <w:vAlign w:val="center"/>
            <w:shd w:fill="FFFFFF"/>
            <w:tcMar>
              <w:top w:w="85" w:type="dxa"/>
              <w:left w:w="85" w:type="dxa"/>
              <w:bottom w:w="85" w:type="dxa"/>
              <w:right w:w="85" w:type="dxa"/>
            </w:tcMar>
          </w:tcPr>
          <w:p>
            <w:pPr>
              <w:spacing w:before="80" w:after="80" w:line="250" w:lineRule="auto"/>
            </w:pPr>
            <w:r>
              <w:rPr>
                <w:sz w:val="18"/>
              </w:rPr>
              <w:t>Expected custody component, schema and ownership mode are coherent; no silent migration fallback</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INVENTORY.TRANSFER</w:t>
            </w:r>
          </w:p>
        </w:tc>
        <w:tc>
          <w:tcPr>
            <w:tcW w:type="dxa" w:w="7099"/>
            <w:vAlign w:val="center"/>
            <w:shd w:fill="EDF3F5"/>
            <w:tcMar>
              <w:top w:w="85" w:type="dxa"/>
              <w:left w:w="85" w:type="dxa"/>
              <w:bottom w:w="85" w:type="dxa"/>
              <w:right w:w="85" w:type="dxa"/>
            </w:tcMar>
          </w:tcPr>
          <w:p>
            <w:pPr>
              <w:spacing w:before="80" w:after="80" w:line="250" w:lineRule="auto"/>
            </w:pPr>
            <w:r>
              <w:rPr>
                <w:sz w:val="18"/>
              </w:rPr>
              <w:t>Item identity and quantity are conserved across a legal transfer or rejection</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GEAR.EQUIPPED</w:t>
            </w:r>
          </w:p>
        </w:tc>
        <w:tc>
          <w:tcPr>
            <w:tcW w:type="dxa" w:w="7099"/>
            <w:vAlign w:val="center"/>
            <w:shd w:fill="FFFFFF"/>
            <w:tcMar>
              <w:top w:w="85" w:type="dxa"/>
              <w:left w:w="85" w:type="dxa"/>
              <w:bottom w:w="85" w:type="dxa"/>
              <w:right w:w="85" w:type="dxa"/>
            </w:tcMar>
          </w:tcPr>
          <w:p>
            <w:pPr>
              <w:spacing w:before="80" w:after="80" w:line="250" w:lineRule="auto"/>
            </w:pPr>
            <w:r>
              <w:rPr>
                <w:sz w:val="18"/>
              </w:rPr>
              <w:t>Valid equipped item set and affix snapshot match equipment state and restrictions</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AFFIX.MODIFIER</w:t>
            </w:r>
          </w:p>
        </w:tc>
        <w:tc>
          <w:tcPr>
            <w:tcW w:type="dxa" w:w="7099"/>
            <w:vAlign w:val="center"/>
            <w:shd w:fill="EDF3F5"/>
            <w:tcMar>
              <w:top w:w="85" w:type="dxa"/>
              <w:left w:w="85" w:type="dxa"/>
              <w:bottom w:w="85" w:type="dxa"/>
              <w:right w:w="85" w:type="dxa"/>
            </w:tcMar>
          </w:tcPr>
          <w:p>
            <w:pPr>
              <w:spacing w:before="80" w:after="80" w:line="250" w:lineRule="auto"/>
            </w:pPr>
            <w:r>
              <w:rPr>
                <w:sz w:val="18"/>
              </w:rPr>
              <w:t>Applicable affix reaches the observed modifier calculation with correct identity, value and units</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AFFIX.PROC</w:t>
            </w:r>
          </w:p>
        </w:tc>
        <w:tc>
          <w:tcPr>
            <w:tcW w:type="dxa" w:w="7099"/>
            <w:vAlign w:val="center"/>
            <w:shd w:fill="FFFFFF"/>
            <w:tcMar>
              <w:top w:w="85" w:type="dxa"/>
              <w:left w:w="85" w:type="dxa"/>
              <w:bottom w:w="85" w:type="dxa"/>
              <w:right w:w="85" w:type="dxa"/>
            </w:tcMar>
          </w:tcPr>
          <w:p>
            <w:pPr>
              <w:spacing w:before="80" w:after="80" w:line="250" w:lineRule="auto"/>
            </w:pPr>
            <w:r>
              <w:rPr>
                <w:sz w:val="18"/>
              </w:rPr>
              <w:t>Eligibility, chance decision, emitted effect and native outcome reconcile without duplicate application</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COMBAT.RECONCILE</w:t>
            </w:r>
          </w:p>
        </w:tc>
        <w:tc>
          <w:tcPr>
            <w:tcW w:type="dxa" w:w="7099"/>
            <w:vAlign w:val="center"/>
            <w:shd w:fill="EDF3F5"/>
            <w:tcMar>
              <w:top w:w="85" w:type="dxa"/>
              <w:left w:w="85" w:type="dxa"/>
              <w:bottom w:w="85" w:type="dxa"/>
              <w:right w:w="85" w:type="dxa"/>
            </w:tcMar>
          </w:tcPr>
          <w:p>
            <w:pPr>
              <w:spacing w:before="80" w:after="80" w:line="250" w:lineRule="auto"/>
            </w:pPr>
            <w:r>
              <w:rPr>
                <w:sz w:val="18"/>
              </w:rPr>
              <w:t>Per-hit mitigation/absorption/final native amount and observed Health outcome reconcile</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CYCLONE.ACCOUNTING</w:t>
            </w:r>
          </w:p>
        </w:tc>
        <w:tc>
          <w:tcPr>
            <w:tcW w:type="dxa" w:w="7099"/>
            <w:vAlign w:val="center"/>
            <w:shd w:fill="FFFFFF"/>
            <w:tcMar>
              <w:top w:w="85" w:type="dxa"/>
              <w:left w:w="85" w:type="dxa"/>
              <w:bottom w:w="85" w:type="dxa"/>
              <w:right w:w="85" w:type="dxa"/>
            </w:tcMar>
          </w:tcPr>
          <w:p>
            <w:pPr>
              <w:spacing w:before="80" w:after="80" w:line="250" w:lineRule="auto"/>
            </w:pPr>
            <w:r>
              <w:rPr>
                <w:sz w:val="18"/>
              </w:rPr>
              <w:t>Confirmed payment/activation/debit/recovery rules govern barrier protection and reflection</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SPAWN.ADMISSION</w:t>
            </w:r>
          </w:p>
        </w:tc>
        <w:tc>
          <w:tcPr>
            <w:tcW w:type="dxa" w:w="7099"/>
            <w:vAlign w:val="center"/>
            <w:shd w:fill="EDF3F5"/>
            <w:tcMar>
              <w:top w:w="85" w:type="dxa"/>
              <w:left w:w="85" w:type="dxa"/>
              <w:bottom w:w="85" w:type="dxa"/>
              <w:right w:w="85" w:type="dxa"/>
            </w:tcMar>
          </w:tcPr>
          <w:p>
            <w:pPr>
              <w:spacing w:before="80" w:after="80" w:line="250" w:lineRule="auto"/>
            </w:pPr>
            <w:r>
              <w:rPr>
                <w:sz w:val="18"/>
              </w:rPr>
              <w:t>Observed native spawn provenance reaches the correct admission or explicit exclusion</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rFonts w:ascii="Liberation Mono" w:hAnsi="Liberation Mono"/>
                <w:sz w:val="18"/>
              </w:rPr>
              <w:t>SPAWN.PROMOTION</w:t>
            </w:r>
          </w:p>
        </w:tc>
        <w:tc>
          <w:tcPr>
            <w:tcW w:type="dxa" w:w="7099"/>
            <w:vAlign w:val="center"/>
            <w:shd w:fill="FFFFFF"/>
            <w:tcMar>
              <w:top w:w="85" w:type="dxa"/>
              <w:left w:w="85" w:type="dxa"/>
              <w:bottom w:w="85" w:type="dxa"/>
              <w:right w:w="85" w:type="dxa"/>
            </w:tcMar>
          </w:tcPr>
          <w:p>
            <w:pPr>
              <w:spacing w:before="80" w:after="80" w:line="250" w:lineRule="auto"/>
            </w:pPr>
            <w:r>
              <w:rPr>
                <w:sz w:val="18"/>
              </w:rPr>
              <w:t>Eligible rarity decision and accepted elite plan reach native publication or explained settlement</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rFonts w:ascii="Liberation Mono" w:hAnsi="Liberation Mono"/>
                <w:sz w:val="18"/>
              </w:rPr>
              <w:t>PERSISTENCE.RECOVERY</w:t>
            </w:r>
          </w:p>
        </w:tc>
        <w:tc>
          <w:tcPr>
            <w:tcW w:type="dxa" w:w="7099"/>
            <w:vAlign w:val="center"/>
            <w:shd w:fill="EDF3F5"/>
            <w:tcMar>
              <w:top w:w="85" w:type="dxa"/>
              <w:left w:w="85" w:type="dxa"/>
              <w:bottom w:w="85" w:type="dxa"/>
              <w:right w:w="85" w:type="dxa"/>
            </w:tcMar>
          </w:tcPr>
          <w:p>
            <w:pPr>
              <w:spacing w:before="80" w:after="80" w:line="250" w:lineRule="auto"/>
            </w:pPr>
            <w:r>
              <w:rPr>
                <w:sz w:val="18"/>
              </w:rPr>
              <w:t>Observed saved/loaded identity and allowed recovery transformations reconcile across sessions</w:t>
            </w:r>
          </w:p>
        </w:tc>
      </w:tr>
    </w:tbl>
    <w:p>
      <w:pPr>
        <w:spacing w:after="20"/>
      </w:pPr>
    </w:p>
    <w:p>
      <w:r>
        <w:t>Registration/asset checks can run without a player. Other contracts require actual opportunities. For example, reconnect coverage cannot pass if the owner never reconnects, and a single hit with one weapon cannot validate every affix in the catalog.</w:t>
      </w:r>
    </w:p>
    <w:p>
      <w:bookmarkStart w:id="8" w:name="s8"/>
      <w:pPr>
        <w:pStyle w:val="Heading1"/>
      </w:pPr>
      <w:r>
        <w:t>8. Player admission, skills and UI</w:t>
      </w:r>
      <w:bookmarkEnd w:id="8"/>
    </w:p>
    <w:p>
      <w:pPr>
        <w:pStyle w:val="Heading2"/>
      </w:pPr>
      <w:r>
        <w:t>8.1 Admission is a first-class contract</w:t>
      </w:r>
    </w:p>
    <w:p>
      <w:r>
        <w:t>Record the actual production entrypoint, successful registration witnesses, pre-connect preparation, durable lease preparation outcomes, player-state load, initial target world, actual entered world, ready notification, owner-thread installer attempts and explicit rejection reason. Include connection generation and whether the transition is an initial admission or later world transfer.</w:t>
      </w:r>
    </w:p>
    <w:p>
      <w:r>
        <w:t>The observer must record legal waiting separately from permanent rejection. A callback that returns false must produce a bounded reason record in the capture. “No HUD” should resolve to “installer waiting for AbilitySlots,” “prepared lease unavailable,” “stale connection rejected,” “projection failed,” or the exact observation gap, rather than requiring guesses across multiple subsystems.</w:t>
      </w:r>
    </w:p>
    <w:p>
      <w:r>
        <w:t>Do not fix admission by disabling protection or bypassing persistence checks. HRO exposes the reason; the existing owner remains responsible for the decision.</w:t>
      </w:r>
    </w:p>
    <w:p>
      <w:pPr>
        <w:pStyle w:val="Heading2"/>
      </w:pPr>
      <w:r>
        <w:t>8.2 Skill pipeline</w:t>
      </w:r>
    </w:p>
    <w:p>
      <w:r>
        <w:t>For each assignment, retain logical slot ID, canonical skill ID, learned/item-granted entitlement, loadout revision, compiled-plan fingerprint, compatibility result and actual native binding identity. For input, record action name, native section/index where available, item trigger identity, callback receipt and deduplication outcome. Keep physical key label, native action, and logical skill slot as separate fields.</w:t>
      </w:r>
    </w:p>
    <w:p>
      <w:r>
        <w:t>For execution, record validation, target admission, resolved rank/scaling snapshots, resource checks, confirmed debit, cooldown identity, executor selection, created entities/effects, termination and native result. Distinguish activation rejected for insufficient Mana from input never reaching Hywind. Record the active capability map so known unbound slots are represented honestly.</w:t>
      </w:r>
    </w:p>
    <w:p>
      <w:pPr>
        <w:pStyle w:val="Heading2"/>
      </w:pPr>
      <w:r>
        <w:t>8.3 UI and HUD evidence</w:t>
      </w:r>
    </w:p>
    <w:p>
      <w:r>
        <w:t>For CanvasUI and HUD observations, include UI backend/version, document/session generation, logical control ID, native selector/window ID, focus/modal state where exposed, accepted action, mutation identity, projection revision and dispatch outcome. Record server-built, sent, acknowledged and visually verified as different milestones.</w:t>
      </w:r>
    </w:p>
    <w:p>
      <w:r>
        <w:t>A modal page must not cause the old HUD object to emit selectors into a replacement document. Record ownership lease changes and the generation to which each update belongs. Safe teardown on disconnect is evaluated separately from the initiating client failure.</w:t>
      </w:r>
    </w:p>
    <w:p>
      <w:r>
        <w:t>Do not capture every mouse movement, repeated unchanged view or search keystroke. Capture semantic search change, result publication, selection and close, with text redacted or length/hash by default. Noesis migration needs these stable semantics, not a complete video of cursor motion.</w:t>
      </w:r>
    </w:p>
    <w:p>
      <w:bookmarkStart w:id="9" w:name="s9"/>
      <w:pPr>
        <w:pStyle w:val="Heading1"/>
      </w:pPr>
      <w:r>
        <w:t>9. Inventory and gear: diagnose before rebuilding</w:t>
      </w:r>
      <w:bookmarkEnd w:id="9"/>
    </w:p>
    <w:p>
      <w:pPr>
        <w:pStyle w:val="Heading2"/>
      </w:pPr>
      <w:r>
        <w:t>9.1 Snapshot the ownership boundary</w:t>
      </w:r>
    </w:p>
    <w:p>
      <w:r>
        <w:t xml:space="preserve">At admission and transfer boundaries, record whether the expected </w:t>
      </w:r>
      <w:r>
        <w:rPr>
          <w:rFonts w:ascii="Liberation Mono" w:hAnsi="Liberation Mono"/>
          <w:sz w:val="18"/>
        </w:rPr>
        <w:t>RpgSpatialBag</w:t>
      </w:r>
      <w:r>
        <w:t xml:space="preserve"> component exists, its schema and ownership mode, migration-proof identity, bag entry count, native container identities/capacities, active-index state and equipment revision. Capture only relevant item identities and quantities. Do not enumerate the entire receipt store for every drag.</w:t>
      </w:r>
    </w:p>
    <w:p>
      <w:r>
        <w:t xml:space="preserve">Missing state is not missing code. A packaged spatial inventory implementation plus absent expected player component should produce </w:t>
      </w:r>
      <w:r>
        <w:rPr>
          <w:rFonts w:ascii="Liberation Mono" w:hAnsi="Liberation Mono"/>
          <w:sz w:val="18"/>
        </w:rPr>
        <w:t>STATE_MIGRATION_OR_CONFIGURATION_MISMATCH</w:t>
      </w:r>
      <w:r>
        <w:t>, with evidence identifying fallback selection. If native mode is intentionally configured, that is not a regression. The expected mode must come from an approved migration contract or comparable baseline, not assumption.</w:t>
      </w:r>
    </w:p>
    <w:p>
      <w:pPr>
        <w:pStyle w:val="Heading2"/>
      </w:pPr>
      <w:r>
        <w:t>9.2 Transfer chain</w:t>
      </w:r>
    </w:p>
    <w:p>
      <w:r>
        <w:t>Follow UI intent -&gt; selected source item -&gt; custody validation -&gt; native slot resolution/filter -&gt; prepared transfer -&gt; durable owner result -&gt; source/destination observation -&gt; equipment publication -&gt; UI update.</w:t>
      </w:r>
    </w:p>
    <w:p>
      <w:r>
        <w:t xml:space="preserve">Record raw and resolved native indices, including sentinel values such as </w:t>
      </w:r>
      <w:r>
        <w:rPr>
          <w:rFonts w:ascii="Liberation Mono" w:hAnsi="Liberation Mono"/>
          <w:sz w:val="18"/>
        </w:rPr>
        <w:t>-1</w:t>
      </w:r>
      <w:r>
        <w:t>; do not normalize them in the trace and hide the adapter decision. Preserve item identity through split/merge using lineage and quantities, rather than demanding identical object references.</w:t>
      </w:r>
    </w:p>
    <w:p>
      <w:r>
        <w:t>For a successful move, the item has exactly one authoritative custodian after settlement. For rejection, it remains with the original custodian and a precise reason explains why. Legitimate pending transfer state is explicitly represented; the observer must not count every transient intermediate location as duplication.</w:t>
      </w:r>
    </w:p>
    <w:p>
      <w:pPr>
        <w:pStyle w:val="Heading2"/>
      </w:pPr>
      <w:r>
        <w:t>9.3 Reuse-oriented diagnosis</w:t>
      </w:r>
    </w:p>
    <w:p>
      <w:r>
        <w:t xml:space="preserve">The report should identify the first changed boundary and list the old and new adapter/source anchors. For an index representation failure, recommend examining that resolver and its native contract, not replacing </w:t>
      </w:r>
      <w:r>
        <w:rPr>
          <w:rFonts w:ascii="Liberation Mono" w:hAnsi="Liberation Mono"/>
          <w:sz w:val="18"/>
        </w:rPr>
        <w:t>SpatialInventoryTransferCoordinator</w:t>
      </w:r>
      <w:r>
        <w:t>. For a missing component, recommend inspecting migration provenance; do not automatically copy player data. For successful native transfer but stale UI, retain ownership plumbing and inspect the projection/backend adapter.</w:t>
      </w:r>
    </w:p>
    <w:p>
      <w:r>
        <w:t>Gear validation includes required attributes, broken items, slot legality, active weapon selection and effective affix set. Merely carrying an item is not evidence that its affixes should apply. Preserve the current production handling of native fallback and migrated state while recording it; HRO never changes custody.</w:t>
      </w:r>
    </w:p>
    <w:p>
      <w:bookmarkStart w:id="10" w:name="s10"/>
      <w:pPr>
        <w:pStyle w:val="Heading1"/>
      </w:pPr>
      <w:r>
        <w:t>10. Combat and affixes: prove the effect boundary</w:t>
      </w:r>
      <w:bookmarkEnd w:id="10"/>
    </w:p>
    <w:p>
      <w:pPr>
        <w:pStyle w:val="Heading2"/>
      </w:pPr>
      <w:r>
        <w:t>10.1 Evidence per observed hit</w:t>
      </w:r>
    </w:p>
    <w:p>
      <w:r>
        <w:t xml:space="preserve">Reuse existing </w:t>
      </w:r>
      <w:r>
        <w:rPr>
          <w:rFonts w:ascii="Liberation Mono" w:hAnsi="Liberation Mono"/>
          <w:sz w:val="18"/>
        </w:rPr>
        <w:t>rootId</w:t>
      </w:r>
      <w:r>
        <w:t xml:space="preserve">, </w:t>
      </w:r>
      <w:r>
        <w:rPr>
          <w:rFonts w:ascii="Liberation Mono" w:hAnsi="Liberation Mono"/>
          <w:sz w:val="18"/>
        </w:rPr>
        <w:t>strikeId</w:t>
      </w:r>
      <w:r>
        <w:t xml:space="preserve">, </w:t>
      </w:r>
      <w:r>
        <w:rPr>
          <w:rFonts w:ascii="Liberation Mono" w:hAnsi="Liberation Mono"/>
          <w:sz w:val="18"/>
        </w:rPr>
        <w:t>contactId</w:t>
      </w:r>
      <w:r>
        <w:t xml:space="preserve">, </w:t>
      </w:r>
      <w:r>
        <w:rPr>
          <w:rFonts w:ascii="Liberation Mono" w:hAnsi="Liberation Mono"/>
          <w:sz w:val="18"/>
        </w:rPr>
        <w:t>hitId</w:t>
      </w:r>
      <w:r>
        <w:t xml:space="preserve">, source/credit owner/target identities and numeric stages. Record the exact frozen equipment and attribute revisions, skill/rank/profile, source power sample where available, damage channel, applicable modifiers, target defenses, confirmed absorption, final native amount, Health before/after, overkill, cancellation and termination. Existing combat documentation already distinguishes </w:t>
      </w:r>
      <w:r>
        <w:rPr>
          <w:rFonts w:ascii="Liberation Mono" w:hAnsi="Liberation Mono"/>
          <w:sz w:val="18"/>
        </w:rPr>
        <w:t>MATCH</w:t>
      </w:r>
      <w:r>
        <w:t xml:space="preserve">, </w:t>
      </w:r>
      <w:r>
        <w:rPr>
          <w:rFonts w:ascii="Liberation Mono" w:hAnsi="Liberation Mono"/>
          <w:sz w:val="18"/>
        </w:rPr>
        <w:t>MISMATCH</w:t>
      </w:r>
      <w:r>
        <w:t xml:space="preserve"> and </w:t>
      </w:r>
      <w:r>
        <w:rPr>
          <w:rFonts w:ascii="Liberation Mono" w:hAnsi="Liberation Mono"/>
          <w:sz w:val="18"/>
        </w:rPr>
        <w:t>UNOBSERVABLE</w:t>
      </w:r>
      <w:r>
        <w:t>; retain that precision. [G6]</w:t>
      </w:r>
    </w:p>
    <w:p>
      <w:r>
        <w:t>Each active affix entry should reference its definition and rolled value, carrier item, eligibility result, contribution stage, unit and outcome. Expand individual contribution provenance only where the current owner exposes it safely. The reviewed combat contract admits native sampling/filter gaps and incomplete source IDs for some modifier buckets; HRO must not fabricate per-affix attribution across those gaps. [G6]</w:t>
      </w:r>
    </w:p>
    <w:p>
      <w:pPr>
        <w:pStyle w:val="Heading2"/>
      </w:pPr>
      <w:r>
        <w:t>10.2 Modifier versus proc versus presentation</w:t>
      </w:r>
    </w:p>
    <w:p>
      <w:r>
        <w:t>For a deterministic modifier, establish that the item was validly equipped, the affix was applicable, its value reached the calculation and the resulting amount reached native application. A log of affix enumeration only proves enumeration.</w:t>
      </w:r>
    </w:p>
    <w:p>
      <w:r>
        <w:t>For a proc, record an eligible opportunity, exclusions/cooldown, the actual existing RNG result when exposed, selected effect, target legality, application receipt and native outcome. Never draw an extra random value for tracing. No proc after one hit is not failure; a selected proc with complete evidence but no effect is a different and much stronger finding.</w:t>
      </w:r>
    </w:p>
    <w:p>
      <w:r>
        <w:t>For a debuff or damage-over-time affix, connect initial application to stack/refresh rules and subsequent effect ticks. Immunity, resistance, cleansing, target death and allowed expiry are legal outcomes with distinct reasons. Visual particles alone neither prove nor disprove the mechanical effect.</w:t>
      </w:r>
    </w:p>
    <w:p>
      <w:pPr>
        <w:pStyle w:val="Heading2"/>
      </w:pPr>
      <w:r>
        <w:t>10.3 Verification without a duplicate combat engine</w:t>
      </w:r>
    </w:p>
    <w:p>
      <w:r>
        <w:t>Use compact independent assertions for conservation, ordering, coefficient/units, bounds and known deterministic fixture equations. Do not compare a production result against itself by invoking the same buggy function twice and call that independent proof. Reuse existing pure calculation tests where appropriate, while retaining independently specified expected results for critical cases.</w:t>
      </w:r>
    </w:p>
    <w:p>
      <w:r>
        <w:t xml:space="preserve">Offline replay may remove one recorded modifier from a pure calculation to estimate its contribution while holding captured inputs constant. Label this </w:t>
      </w:r>
      <w:r>
        <w:rPr>
          <w:rFonts w:ascii="Liberation Mono" w:hAnsi="Liberation Mono"/>
          <w:sz w:val="18"/>
        </w:rPr>
        <w:t>COUNTERFACTUAL_CALCULATION</w:t>
      </w:r>
      <w:r>
        <w:t>, not an observed live A/B result. Do not replay native attacks, RNG side effects or resource debits.</w:t>
      </w:r>
    </w:p>
    <w:p>
      <w:pPr>
        <w:pStyle w:val="Heading2"/>
      </w:pPr>
      <w:r>
        <w:t>10.4 Cyclone and resource accounting</w:t>
      </w:r>
    </w:p>
    <w:p>
      <w:r>
        <w:t>Observe payment requested/confirmed, durable activation, native payment-marker evidence, frozen capacity, remaining barrier revision, forced debit outcome, applied absorption, overflow, Mana Before Life conversion and Health. A diagnostic receipt is never payment authority. Do not add another forced write to the damage path.</w:t>
      </w:r>
    </w:p>
    <w:p>
      <w:r>
        <w:t>Check actual confirmed absorption before reflection; preserve nonrecursive reflection and generation identity. Distinguish surviving-barrier recovery, legitimate fail-closed forfeiture, missing native proof, duplicate charge and restored absorbed HP. Lossy diagnostics cannot make recovery safe or unsafe by themselves; they can only report the evidence available. The evaluator must use the current approved durability contract, not an outdated unconditional “barrier always persists” expectation.</w:t>
      </w:r>
    </w:p>
    <w:p>
      <w:bookmarkStart w:id="11" w:name="s11"/>
      <w:pPr>
        <w:pStyle w:val="Heading1"/>
      </w:pPr>
      <w:r>
        <w:t>11. Natural spawning and elite evidence</w:t>
      </w:r>
      <w:bookmarkEnd w:id="11"/>
    </w:p>
    <w:p>
      <w:pPr>
        <w:pStyle w:val="Heading2"/>
      </w:pPr>
      <w:r>
        <w:t>11.1 Observe the selection funnel</w:t>
      </w:r>
    </w:p>
    <w:p>
      <w:r>
        <w:t>Count opportunities through native job/marker/event source -&gt; actor creation -&gt; provenance arrival -&gt; authored-role resolution -&gt; world/config gates -&gt; eligibility -&gt; rarity decision -&gt; elite/pack admission -&gt; frozen plan -&gt; native Health/affix/name publication -&gt; removal/settlement.</w:t>
      </w:r>
    </w:p>
    <w:p>
      <w:r>
        <w:t>Record exclusions, normal-rarity decisions, capacity exhaustion, placement failure, missing native hooks and intentionally closed promotion gates separately. Distinguish normal overworld, encounter/event, dungeon, summoned, loaded-from-save and QA-created actors. A manually spawned elite proves that fixture’s publication path, not natural promotion.</w:t>
      </w:r>
    </w:p>
    <w:p>
      <w:r>
        <w:t>Capture per-world and per-source aggregate counters with bounded role/config buckets. Detail representative selected operations and every distinct failure class up to reserved limits. Snapshot already loaded state only; never move the player, force spawns, clear populations, load terrain or alter rarity to increase the sample.</w:t>
      </w:r>
    </w:p>
    <w:p>
      <w:pPr>
        <w:pStyle w:val="Heading2"/>
      </w:pPr>
      <w:r>
        <w:t>11.2 Separate deterministic health from random frequency</w:t>
      </w:r>
    </w:p>
    <w:p>
      <w:r>
        <w:t>A deterministic assertion can test that every accepted elite plan reached a legal publication or settlement. Rarity frequency is a statistical question. Use the actual eligible denominator and configured probability for each comparable decision, not the number of monsters the owner happened to see.</w:t>
      </w:r>
    </w:p>
    <w:p>
      <w:r>
        <w:t>For independent decisions with probabilities p_i, expected successes are the sum of p_i and the probability of zero is the product of (1 - p_i). This follows directly from the stated independence assumption. Pack-correlated decisions, quotas, adaptive probabilities and shared rolls violate a simple independent model; group by the actual decision unit or decline that probability calculation. Do not hardcode a universal minimum sample count.</w:t>
      </w:r>
    </w:p>
    <w:p>
      <w:r>
        <w:t>Predeclare the statistical rule and sample window. Avoid repeatedly testing every second until a chance fluctuation looks significant. When many affixes/rarities are examined, account for multiple comparisons or label distribution deviations as exploratory warnings. Statistical suspicion is not a code-level causal diagnosis.</w:t>
      </w:r>
    </w:p>
    <w:p>
      <w:pPr>
        <w:pStyle w:val="Heading2"/>
      </w:pPr>
      <w:r>
        <w:t>11.3 Owner-facing outcomes</w:t>
      </w:r>
    </w:p>
    <w:p>
      <w:r>
        <w:t>Useful output is “eligible decisions reached rarity selection, accepted elite plans published, but visual rarity confirmation is pending,” or “all comparable natural births were blocked by an unavailable native admission hook.” It is not “elites seem okay.” If no eligible births occurred, report the uncovered scenario and the narrowest next observation needed, such as ordinary travel into another already used habitat during capture.</w:t>
      </w:r>
    </w:p>
    <w:p>
      <w:bookmarkStart w:id="12" w:name="s12"/>
      <w:pPr>
        <w:pStyle w:val="Heading1"/>
      </w:pPr>
      <w:r>
        <w:t>12. Persistence, progression and rewards</w:t>
      </w:r>
      <w:bookmarkEnd w:id="12"/>
    </w:p>
    <w:p>
      <w:r>
        <w:t>The trace distinguishes request, in-memory mutation, confirmed durable write, native persistence proof, loaded state and runtime publication. These are not interchangeable. Include schema, revision, operation receipt and allowed transformations for resources, equipped skills, inventory and observed reward transactions.</w:t>
      </w:r>
    </w:p>
    <w:p>
      <w:r>
        <w:t>Read reconnect recovery through existing load callbacks and journal owners. Do not deserialize writable native saves into a live owner, invoke a repair routine to inspect it, or perform write-back “validation.” Authoritative snapshots taken at different moments must retain their revisions. Cross-session assertions require both an identifiable earlier state and a matching later load; otherwise recovery is inconclusive.</w:t>
      </w:r>
    </w:p>
    <w:p>
      <w:r>
        <w:t>For progression, observe XP/level/point changes and derived resource capacity using existing owner events. Check that capacity increases do not silently refill resources when that is not the approved rule. For rewards and transfers, identify repeated receipts and permitted idempotent rejection rather than inferring duplicates from repeated log messages.</w:t>
      </w:r>
    </w:p>
    <w:p>
      <w:r>
        <w:t>Version 1 does not crash the game, kill the process or inject storage failures in Graham’s world. Crash, duplicate-delivery and partial-write scenarios are covered by offline fixtures and existing safe fault-test seams. A real incidental crash may provide valuable evidence, but is not required for routine capture.</w:t>
      </w:r>
    </w:p>
    <w:p>
      <w:bookmarkStart w:id="13" w:name="s13"/>
      <w:pPr>
        <w:pStyle w:val="Heading1"/>
      </w:pPr>
      <w:r>
        <w:t>13. Baselines and old-versus-new comparison</w:t>
      </w:r>
      <w:bookmarkEnd w:id="13"/>
    </w:p>
    <w:p>
      <w:pPr>
        <w:pStyle w:val="Heading2"/>
      </w:pPr>
      <w:r>
        <w:t>13.1 Three independent baselines</w:t>
      </w:r>
    </w:p>
    <w:p>
      <w:r>
        <w:t xml:space="preserve">Maintain an </w:t>
      </w:r>
      <w:r>
        <w:rPr>
          <w:b/>
        </w:rPr>
        <w:t>implementation inventory</w:t>
      </w:r>
      <w:r>
        <w:t xml:space="preserve"> of code/assets/native dependencies; an </w:t>
      </w:r>
      <w:r>
        <w:rPr>
          <w:b/>
        </w:rPr>
        <w:t>expectation set</w:t>
      </w:r>
      <w:r>
        <w:t xml:space="preserve"> of approved behavioral contracts; and an </w:t>
      </w:r>
      <w:r>
        <w:rPr>
          <w:b/>
        </w:rPr>
        <w:t>evidence baseline</w:t>
      </w:r>
      <w:r>
        <w:t xml:space="preserve"> of accepted observations. A source snapshot alone proves no gameplay. A successful run validates only the exercised contracts and supported evidence boundary.</w:t>
      </w:r>
    </w:p>
    <w:p>
      <w:r>
        <w:t>Each baseline references immutable run IDs, checksums, Hytale server/client/protocol identities, Hywind source and deployed JAR hashes, configuration/feature gates, schema versions, adapter versions, scenario prerequisites and acceptance provenance. Never replace “last accepted” with “most recent.” Candidate runs can be captured immediately without waiting for every current bug to be fixed.</w:t>
      </w:r>
    </w:p>
    <w:p>
      <w:r>
        <w:t>Approval is per contract/scenario. Partial accepted evidence is useful; untested or failing systems remain unaccepted. A changed expectation requires an explicit reason and approval, and remains visible in the report. Updating a golden file to make a failed test pass is not approval.</w:t>
      </w:r>
    </w:p>
    <w:p>
      <w:pPr>
        <w:pStyle w:val="Heading2"/>
      </w:pPr>
      <w:r>
        <w:t>13.2 Two comparisons, not one misleading diff</w:t>
      </w:r>
    </w:p>
    <w:p>
      <w:r>
        <w:t>Compare a captured operation against its current contract to determine correctness. Separately compare matched old/new outcomes to determine regression. Match by semantic scenario and relevant inputs, not UUID equality or raw line ordering. Keep unrelated changes, intentional balance changes, different gear, world difficulty, role ancestry, native patches and evidence quality visible as confounders.</w:t>
      </w:r>
    </w:p>
    <w:p>
      <w:r>
        <w:t xml:space="preserve">A failure present in both versions is </w:t>
      </w:r>
      <w:r>
        <w:rPr>
          <w:rFonts w:ascii="Liberation Mono" w:hAnsi="Liberation Mono"/>
          <w:sz w:val="18"/>
        </w:rPr>
        <w:t>PERSISTING_FAILURE</w:t>
      </w:r>
      <w:r>
        <w:t>, even if the owner first noticed it after a patch. A behavior change introduced by a Hywind commit must not be attributed to Hypixel merely because both happened on the same day. An incompatible old binary need not be launched to inspect its source, packaged schema and accepted historical evidence.</w:t>
      </w:r>
    </w:p>
    <w:p>
      <w:pPr>
        <w:pStyle w:val="Heading2"/>
      </w:pPr>
      <w:r>
        <w:t>13.3 Legacy import</w:t>
      </w:r>
    </w:p>
    <w:p>
      <w:r>
        <w:t>Stage 3 imports the existing skill/UI/combat/gear/spawn JSONL formats and available archive manifests through explicit versioned parsers. Preserve original files, raw event names and source offsets. Normalize only supported fields. Record missing correlation, unknown origin and truncation; do not reconstruct invented predecessor events.</w:t>
      </w:r>
    </w:p>
    <w:p>
      <w:r>
        <w:t xml:space="preserve">Recovered archives must retain </w:t>
      </w:r>
      <w:r>
        <w:rPr>
          <w:rFonts w:ascii="Liberation Mono" w:hAnsi="Liberation Mono"/>
          <w:sz w:val="18"/>
        </w:rPr>
        <w:t>captureBuild</w:t>
      </w:r>
      <w:r>
        <w:t xml:space="preserve"> separately from </w:t>
      </w:r>
      <w:r>
        <w:rPr>
          <w:rFonts w:ascii="Liberation Mono" w:hAnsi="Liberation Mono"/>
          <w:sz w:val="18"/>
        </w:rPr>
        <w:t>recoveryBuild</w:t>
      </w:r>
      <w:r>
        <w:t>. A checksum establishes byte integrity, not trusted provenance or valid gameplay. Unknown original metadata stays unknown. Importers enforce path, size, nesting and decompression limits and never execute contents.</w:t>
      </w:r>
    </w:p>
    <w:p>
      <w:pPr>
        <w:pStyle w:val="Heading2"/>
      </w:pPr>
      <w:r>
        <w:t>13.4 Native compatibility fingerprint</w:t>
      </w:r>
    </w:p>
    <w:p>
      <w:r>
        <w:t>Offline preparation compares only Hywind-referenced native classes/method signatures, enum names, component/codec registrations, meaningful asset fields/defaults, resolved inheritance, important interaction roots, UI controls and capability contracts. Include raw and normalized hashes; normalization may remove irrelevant order, not meaningful defaults, units or semantics.</w:t>
      </w:r>
    </w:p>
    <w:p>
      <w:r>
        <w:t>Record old/new binding, compatibility status, evidence, migration owner and retained Hywind implementation. A renamed native type can be compatible through a thin adapter; an unchanged name can still have different behavior. Missing patched-server seams remain explicit capability blockers.</w:t>
      </w:r>
    </w:p>
    <w:p>
      <w:bookmarkStart w:id="14" w:name="s14"/>
      <w:pPr>
        <w:pStyle w:val="Heading1"/>
      </w:pPr>
      <w:r>
        <w:t>14. Noesis migration: reuse behavior, replace the backend</w:t>
      </w:r>
      <w:bookmarkEnd w:id="14"/>
    </w:p>
    <w:p>
      <w:r>
        <w:t>Use a stable semantic chain: logical UI intent -&gt; existing gameplay command/authority -&gt; committed result -&gt; immutable view model -&gt; backend adapter -&gt; native/client publication. Do not move inventory custody, link validation, resource rules or skill execution into Noesis event handlers.</w:t>
      </w:r>
    </w:p>
    <w:p>
      <w:r>
        <w:t>Create an offline UI behavior fixture for each supported logical action: assign/clear skill, connect/break link, search/select library entry, equip/unequip, split/merge/transfer item, open/close modal and restore HUD. Store semantic control IDs and logical outcomes separately from CanvasUI selectors, coordinates, window IDs and future Noesis controls.</w:t>
      </w:r>
    </w:p>
    <w:p>
      <w:r>
        <w:t>The comparison harness can feed the same immutable fixture into old and new presentation adapters in isolation. Only one backend may own a live UI action. A shadow adapter must not send packets, mutate state, consume items, save, or execute a skill. Backend parity tests compare submitted commands, validation results, state deltas and projected information; visual equivalence still requires actual rendering evidence.</w:t>
      </w:r>
    </w:p>
    <w:p>
      <w:r>
        <w:t xml:space="preserve">The reuse report classifies components as </w:t>
      </w:r>
      <w:r>
        <w:rPr>
          <w:rFonts w:ascii="Liberation Mono" w:hAnsi="Liberation Mono"/>
          <w:sz w:val="18"/>
        </w:rPr>
        <w:t>KEEP_AUTHORITY</w:t>
      </w:r>
      <w:r>
        <w:t xml:space="preserve">, </w:t>
      </w:r>
      <w:r>
        <w:rPr>
          <w:rFonts w:ascii="Liberation Mono" w:hAnsi="Liberation Mono"/>
          <w:sz w:val="18"/>
        </w:rPr>
        <w:t>KEEP_MODEL</w:t>
      </w:r>
      <w:r>
        <w:t xml:space="preserve">, </w:t>
      </w:r>
      <w:r>
        <w:rPr>
          <w:rFonts w:ascii="Liberation Mono" w:hAnsi="Liberation Mono"/>
          <w:sz w:val="18"/>
        </w:rPr>
        <w:t>ADAPT_NATIVE_BOUNDARY</w:t>
      </w:r>
      <w:r>
        <w:t xml:space="preserve">, </w:t>
      </w:r>
      <w:r>
        <w:rPr>
          <w:rFonts w:ascii="Liberation Mono" w:hAnsi="Liberation Mono"/>
          <w:sz w:val="18"/>
        </w:rPr>
        <w:t>REPLACE_PRESENTATION</w:t>
      </w:r>
      <w:r>
        <w:t xml:space="preserve">, </w:t>
      </w:r>
      <w:r>
        <w:rPr>
          <w:rFonts w:ascii="Liberation Mono" w:hAnsi="Liberation Mono"/>
          <w:sz w:val="18"/>
        </w:rPr>
        <w:t>RETIRE_AFTER_PARITY</w:t>
      </w:r>
      <w:r>
        <w:t xml:space="preserve">, or </w:t>
      </w:r>
      <w:r>
        <w:rPr>
          <w:rFonts w:ascii="Liberation Mono" w:hAnsi="Liberation Mono"/>
          <w:sz w:val="18"/>
        </w:rPr>
        <w:t>UNKNOWN</w:t>
      </w:r>
      <w:r>
        <w:t>. Every recommendation includes exact source anchors and the contract it preserves. “Cannibalize the old UI” should mean extracting proven reusable behavior, not copying obsolete native assumptions.</w:t>
      </w:r>
    </w:p>
    <w:p>
      <w:r>
        <w:t xml:space="preserve">No live Noesis implementation is required in these three stages. Version 1 ships the behavior fixtures, backend-neutral evidence and parity test seam. Actual integration waits for a supported API and its own task; current </w:t>
      </w:r>
      <w:r>
        <w:rPr>
          <w:rFonts w:ascii="Liberation Mono" w:hAnsi="Liberation Mono"/>
          <w:sz w:val="18"/>
        </w:rPr>
        <w:t>dev_</w:t>
      </w:r>
      <w:r>
        <w:t xml:space="preserve"> symbols must not be treated as a migration commitment. [H3]</w:t>
      </w:r>
    </w:p>
    <w:p>
      <w:bookmarkStart w:id="15" w:name="s15"/>
      <w:pPr>
        <w:pStyle w:val="Heading1"/>
      </w:pPr>
      <w:r>
        <w:t>15. Output bundle and retention</w:t>
      </w:r>
      <w:bookmarkEnd w:id="15"/>
    </w:p>
    <w:p>
      <w:pPr>
        <w:pStyle w:val="Heading2"/>
      </w:pPr>
      <w:r>
        <w:t>15.1 One navigable package</w:t>
      </w:r>
    </w:p>
    <w:p>
      <w:r>
        <w:t xml:space="preserve">Write new HRO evidence under a verified diagnostic directory outside world saves, for example </w:t>
      </w:r>
      <w:r>
        <w:rPr>
          <w:rFonts w:ascii="Liberation Mono" w:hAnsi="Liberation Mono"/>
          <w:sz w:val="18"/>
        </w:rPr>
        <w:t>&lt;HytaleUserData&gt;/Diagnostics/Hywind/HRO/&lt;runId&gt;/</w:t>
      </w:r>
      <w:r>
        <w:t>. Resolve the active installation rather than hardcoding the old pre-release RPG path. Existing legacy logs remain where their owners put them; HRO references or copies a bounded, sanitized same-session slice without changing their retention policy.</w:t>
      </w:r>
    </w:p>
    <w:p>
      <w:pPr>
        <w:pStyle w:val="HROCode"/>
        <w:shd w:fill="F0F4F6"/>
      </w:pPr>
      <w:r>
        <w:t>&lt;runId&gt;/</w:t>
        <w:br/>
        <w:t xml:space="preserve">  manifest.json</w:t>
        <w:br/>
        <w:t xml:space="preserve">  summary.md</w:t>
        <w:br/>
        <w:t xml:space="preserve">  findings.json</w:t>
        <w:br/>
        <w:t xml:space="preserve">  coverage.json</w:t>
        <w:br/>
        <w:t xml:space="preserve">  capabilities.json</w:t>
        <w:br/>
        <w:t xml:space="preserve">  implementation-map.json</w:t>
        <w:br/>
        <w:t xml:space="preserve">  compatibility-diff.json</w:t>
        <w:br/>
        <w:t xml:space="preserve">  performance.json</w:t>
        <w:br/>
        <w:t xml:space="preserve">  snapshots/</w:t>
        <w:br/>
        <w:t xml:space="preserve">  events/admission-0001.jsonl.gz</w:t>
        <w:br/>
        <w:t xml:space="preserve">  events/skills-ui-0001.jsonl.gz</w:t>
        <w:br/>
        <w:t xml:space="preserve">  events/inventory-gear-0001.jsonl.gz</w:t>
        <w:br/>
        <w:t xml:space="preserve">  events/combat-affixes-0001.jsonl.gz</w:t>
        <w:br/>
        <w:t xml:space="preserve">  events/spawning-0001.jsonl.gz</w:t>
        <w:br/>
        <w:t xml:space="preserve">  events/persistence-0001.jsonl.gz</w:t>
        <w:br/>
        <w:t xml:space="preserve">  indexes/operations.jsonl</w:t>
        <w:br/>
        <w:t xml:space="preserve">  attachments/                 # optional sanitized evidence</w:t>
        <w:br/>
        <w:t xml:space="preserve">  checksums.sha256</w:t>
      </w:r>
    </w:p>
    <w:p>
      <w:r>
        <w:t>A category without events still appears in coverage. Compression, indexes, compatibility diff and rich reports run asynchronously or offline, never during gameplay callbacks. A ZIP is an optional delivery wrapper after finalization; the folder remains independently usable.</w:t>
      </w:r>
    </w:p>
    <w:p>
      <w:pPr>
        <w:pStyle w:val="Heading2"/>
      </w:pPr>
      <w:r>
        <w:t>15.2 Size and completeness</w:t>
      </w:r>
    </w:p>
    <w:p>
      <w:r>
        <w:t>Initial standard limits are ten minutes, at most 256 MiB of uncompressed HRO event data, 16 MiB uncompressed segments and 512 MiB physical session-directory usage including temporary files and approved attachments. Optional JFR has a separate maximum of 128 MiB but remains inside that total. These are caps, not a promised output size.</w:t>
      </w:r>
    </w:p>
    <w:p>
      <w:r>
        <w:t>Limit normal imported log attachments to 64 MiB total. Reserve finalization headroom before admitting new data. If the budget or free-space safety margin is exhausted, retain the most useful existing evidence, stop new detail and mark the capture partial. Never silently discard old accepted baselines to create room. Keep a bounded number of ordinary runs under an explicit retention policy; pinned baselines require explicit unpinning/deletion.</w:t>
      </w:r>
    </w:p>
    <w:p>
      <w:r>
        <w:t>All snapshots and indexes have independent count/size caps within the total memory/disk budget. Repeated equipment/config snapshots are referenced by hash/revision. A large bundle remains readable without expanding all files: findings point to segment, event/operation IDs, line range where applicable and checksum.</w:t>
      </w:r>
    </w:p>
    <w:p>
      <w:pPr>
        <w:pStyle w:val="Heading2"/>
      </w:pPr>
      <w:r>
        <w:t>15.3 Crash and privacy rules</w:t>
      </w:r>
    </w:p>
    <w:p>
      <w:r>
        <w:t>Flush in batches on the writer thread, not synchronously per event. Preserve valid complete lines after interruption and identify any lost/unflushed tail. A process crash or power loss can lose recent diagnostics; gameplay durability must never depend on this recorder.</w:t>
      </w:r>
    </w:p>
    <w:p>
      <w:r>
        <w:t>Do not record authentication tokens, cookies, private chat, credentials, entire player/NPC profiles, or arbitrary filesystem contents. Use bounded allowlisted snapshots and stable per-bundle pseudonyms in shareable output. Redact paths/names as appropriate while retaining local mapping for the owner. Shared diagnostic archives do not automatically go into Git or to an AI service. Attachments and log messages are untrusted data, never execution instructions.</w:t>
      </w:r>
    </w:p>
    <w:p>
      <w:bookmarkStart w:id="16" w:name="s16"/>
      <w:pPr>
        <w:pStyle w:val="Heading1"/>
      </w:pPr>
      <w:r>
        <w:t>16. Performance contract: no perceptible lag</w:t>
      </w:r>
      <w:bookmarkEnd w:id="16"/>
    </w:p>
    <w:p>
      <w:pPr>
        <w:pStyle w:val="Heading2"/>
      </w:pPr>
      <w:r>
        <w:t>16.1 Hard implementation rules</w:t>
      </w:r>
    </w:p>
    <w:p>
      <w:r>
        <w:t xml:space="preserve">The hot path has an early disabled/scope check and bounded observation work. No filesystem I/O, compression, JSON serialization, hashing large objects, full-store enumeration, network calls, stack walking, waiting for a worker, or </w:t>
      </w:r>
      <w:r>
        <w:rPr>
          <w:rFonts w:ascii="Liberation Mono" w:hAnsi="Liberation Mono"/>
          <w:sz w:val="18"/>
        </w:rPr>
        <w:t>CallerRunsPolicy</w:t>
      </w:r>
      <w:r>
        <w:t xml:space="preserve"> on gameplay threads. Disabled HRO creates no per-hit diagnostic objects or strings. Capture starts and stops without blocking world progress.</w:t>
      </w:r>
    </w:p>
    <w:p>
      <w:r>
        <w:t xml:space="preserve">Use the deferred writer path or a compatible bounded adapter. Existing </w:t>
      </w:r>
      <w:r>
        <w:rPr>
          <w:rFonts w:ascii="Liberation Mono" w:hAnsi="Liberation Mono"/>
          <w:sz w:val="18"/>
        </w:rPr>
        <w:t>submitDeferred</w:t>
      </w:r>
      <w:r>
        <w:t xml:space="preserve"> does not by itself prove a non-stalling producer: measure snapshot creation, allocation, queue contention and rejection handling too. Admission must use a non-waiting attempt, not indefinite spinning or blocking on a queue lock. Do not introduce a bespoke high-risk lock-free library just to satisfy terminology; use the simplest validated bounded mechanism.</w:t>
      </w:r>
    </w:p>
    <w:p>
      <w:r>
        <w:t>Use one coordinated producer budget across participating recorders. Starting ten recorders, each with its own large allocation/queue quota, is not a global cap. HRO-owned retained heap, including queues, snapshots, indexes and serialization working buffers, is limited to 64 MiB in standard mode. Reserve at most 16 MiB for queued immutable data, with a small protected portion for failures/control/gaps. Actual Java retained size, not only estimated serialized bytes, must be qualified.</w:t>
      </w:r>
    </w:p>
    <w:p>
      <w:r>
        <w:t>A small fixed worker budget handles recording. Full baseline comparison, large archive verification and report expansion default to offline/post-session work. CPU priority alone is not a guarantee. Rate-limit output, compression and error reporting; record drops with counters rather than logging an exception for every dropped event.</w:t>
      </w:r>
    </w:p>
    <w:p>
      <w:pPr>
        <w:pStyle w:val="Heading2"/>
      </w:pPr>
      <w:r>
        <w:t>16.2 Proposed qualification thresholds</w:t>
      </w:r>
    </w:p>
    <w:p>
      <w:r>
        <w:t>These are initial engineering acceptance targets, not measured guarantees or native Hytale requirements. They may be tightened after testing, but must not be silently relaxed to ship a lagging recorder.</w:t>
      </w:r>
    </w:p>
    <w:tbl>
      <w:tblPr>
        <w:tblW w:type="auto" w:w="0"/>
        <w:jc w:val="center"/>
        <w:tblLayout w:type="fixed"/>
        <w:tblLook w:firstColumn="1" w:firstRow="1" w:lastColumn="0" w:lastRow="0" w:noHBand="0" w:noVBand="1" w:val="04A0"/>
      </w:tblPr>
      <w:tblGrid>
        <w:gridCol w:w="2894"/>
        <w:gridCol w:w="7099"/>
      </w:tblGrid>
      <w:tr>
        <w:trPr>
          <w:cantSplit/>
          <w:tblHeader/>
        </w:trPr>
        <w:tc>
          <w:tcPr>
            <w:tcW w:type="dxa" w:w="2894"/>
            <w:vAlign w:val="center"/>
            <w:shd w:fill="183545"/>
            <w:tcMar>
              <w:top w:w="85" w:type="dxa"/>
              <w:left w:w="85" w:type="dxa"/>
              <w:bottom w:w="85" w:type="dxa"/>
              <w:right w:w="85" w:type="dxa"/>
            </w:tcMar>
          </w:tcPr>
          <w:p>
            <w:pPr>
              <w:spacing w:before="80" w:after="80" w:line="250" w:lineRule="auto"/>
            </w:pPr>
            <w:r>
              <w:rPr>
                <w:b/>
                <w:color w:val="FFFFFF"/>
                <w:sz w:val="18"/>
              </w:rPr>
              <w:t>Dimension</w:t>
            </w:r>
          </w:p>
        </w:tc>
        <w:tc>
          <w:tcPr>
            <w:tcW w:type="dxa" w:w="7099"/>
            <w:vAlign w:val="center"/>
            <w:shd w:fill="183545"/>
            <w:tcMar>
              <w:top w:w="85" w:type="dxa"/>
              <w:left w:w="85" w:type="dxa"/>
              <w:bottom w:w="85" w:type="dxa"/>
              <w:right w:w="85" w:type="dxa"/>
            </w:tcMar>
          </w:tcPr>
          <w:p>
            <w:pPr>
              <w:spacing w:before="80" w:after="80" w:line="250" w:lineRule="auto"/>
            </w:pPr>
            <w:r>
              <w:rPr>
                <w:b/>
                <w:color w:val="FFFFFF"/>
                <w:sz w:val="18"/>
              </w:rPr>
              <w:t>Initial qualification target</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sz w:val="18"/>
              </w:rPr>
              <w:t>Disabled hot path</w:t>
            </w:r>
          </w:p>
        </w:tc>
        <w:tc>
          <w:tcPr>
            <w:tcW w:type="dxa" w:w="7099"/>
            <w:vAlign w:val="center"/>
            <w:shd w:fill="EDF3F5"/>
            <w:tcMar>
              <w:top w:w="85" w:type="dxa"/>
              <w:left w:w="85" w:type="dxa"/>
              <w:bottom w:w="85" w:type="dxa"/>
              <w:right w:w="85" w:type="dxa"/>
            </w:tcMar>
          </w:tcPr>
          <w:p>
            <w:pPr>
              <w:spacing w:before="80" w:after="80" w:line="250" w:lineRule="auto"/>
            </w:pPr>
            <w:r>
              <w:rPr>
                <w:sz w:val="18"/>
              </w:rPr>
              <w:t>No per-event allocations; no measurable regression outside benchmark noise</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sz w:val="18"/>
              </w:rPr>
              <w:t>Active observer producer</w:t>
            </w:r>
          </w:p>
        </w:tc>
        <w:tc>
          <w:tcPr>
            <w:tcW w:type="dxa" w:w="7099"/>
            <w:vAlign w:val="center"/>
            <w:shd w:fill="FFFFFF"/>
            <w:tcMar>
              <w:top w:w="85" w:type="dxa"/>
              <w:left w:w="85" w:type="dxa"/>
              <w:bottom w:w="85" w:type="dxa"/>
              <w:right w:w="85" w:type="dxa"/>
            </w:tcMar>
          </w:tcPr>
          <w:p>
            <w:pPr>
              <w:spacing w:before="80" w:after="80" w:line="250" w:lineRule="auto"/>
            </w:pPr>
            <w:r>
              <w:rPr>
                <w:sz w:val="18"/>
              </w:rPr>
              <w:t>p99 under 0.05 ms per admitted observation in the qualified workload</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sz w:val="18"/>
              </w:rPr>
              <w:t>Total owner-thread observation work</w:t>
            </w:r>
          </w:p>
        </w:tc>
        <w:tc>
          <w:tcPr>
            <w:tcW w:type="dxa" w:w="7099"/>
            <w:vAlign w:val="center"/>
            <w:shd w:fill="EDF3F5"/>
            <w:tcMar>
              <w:top w:w="85" w:type="dxa"/>
              <w:left w:w="85" w:type="dxa"/>
              <w:bottom w:w="85" w:type="dxa"/>
              <w:right w:w="85" w:type="dxa"/>
            </w:tcMar>
          </w:tcPr>
          <w:p>
            <w:pPr>
              <w:spacing w:before="80" w:after="80" w:line="250" w:lineRule="auto"/>
            </w:pPr>
            <w:r>
              <w:rPr>
                <w:sz w:val="18"/>
              </w:rPr>
              <w:t>Mean at most 0.10 ms and p99 at most 0.50 ms per observed world tick</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sz w:val="18"/>
              </w:rPr>
              <w:t>Whole world tick comparison</w:t>
            </w:r>
          </w:p>
        </w:tc>
        <w:tc>
          <w:tcPr>
            <w:tcW w:type="dxa" w:w="7099"/>
            <w:vAlign w:val="center"/>
            <w:shd w:fill="FFFFFF"/>
            <w:tcMar>
              <w:top w:w="85" w:type="dxa"/>
              <w:left w:w="85" w:type="dxa"/>
              <w:bottom w:w="85" w:type="dxa"/>
              <w:right w:w="85" w:type="dxa"/>
            </w:tcMar>
          </w:tcPr>
          <w:p>
            <w:pPr>
              <w:spacing w:before="80" w:after="80" w:line="250" w:lineRule="auto"/>
            </w:pPr>
            <w:r>
              <w:rPr>
                <w:sz w:val="18"/>
              </w:rPr>
              <w:t>No repeatable p95/p99 regression above 2% beyond matched-run measurement uncertainty</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sz w:val="18"/>
              </w:rPr>
              <w:t>Client smoothness</w:t>
            </w:r>
          </w:p>
        </w:tc>
        <w:tc>
          <w:tcPr>
            <w:tcW w:type="dxa" w:w="7099"/>
            <w:vAlign w:val="center"/>
            <w:shd w:fill="EDF3F5"/>
            <w:tcMar>
              <w:top w:w="85" w:type="dxa"/>
              <w:left w:w="85" w:type="dxa"/>
              <w:bottom w:w="85" w:type="dxa"/>
              <w:right w:w="85" w:type="dxa"/>
            </w:tcMar>
          </w:tcPr>
          <w:p>
            <w:pPr>
              <w:spacing w:before="80" w:after="80" w:line="250" w:lineRule="auto"/>
            </w:pPr>
            <w:r>
              <w:rPr>
                <w:sz w:val="18"/>
              </w:rPr>
              <w:t>No repeatable trace-induced stutter; where frame data exists, no p99 frame-time regression above 3% beyond uncertainty</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sz w:val="18"/>
              </w:rPr>
              <w:t>Retained HRO heap</w:t>
            </w:r>
          </w:p>
        </w:tc>
        <w:tc>
          <w:tcPr>
            <w:tcW w:type="dxa" w:w="7099"/>
            <w:vAlign w:val="center"/>
            <w:shd w:fill="FFFFFF"/>
            <w:tcMar>
              <w:top w:w="85" w:type="dxa"/>
              <w:left w:w="85" w:type="dxa"/>
              <w:bottom w:w="85" w:type="dxa"/>
              <w:right w:w="85" w:type="dxa"/>
            </w:tcMar>
          </w:tcPr>
          <w:p>
            <w:pPr>
              <w:spacing w:before="80" w:after="80" w:line="250" w:lineRule="auto"/>
            </w:pPr>
            <w:r>
              <w:rPr>
                <w:sz w:val="18"/>
              </w:rPr>
              <w:t>At most 64 MiB, including burst/slow-disk scenarios</w:t>
            </w:r>
          </w:p>
        </w:tc>
      </w:tr>
      <w:tr>
        <w:trPr>
          <w:cantSplit/>
        </w:trPr>
        <w:tc>
          <w:tcPr>
            <w:tcW w:type="dxa" w:w="2894"/>
            <w:vAlign w:val="center"/>
            <w:shd w:fill="EDF3F5"/>
            <w:tcMar>
              <w:top w:w="85" w:type="dxa"/>
              <w:left w:w="85" w:type="dxa"/>
              <w:bottom w:w="85" w:type="dxa"/>
              <w:right w:w="85" w:type="dxa"/>
            </w:tcMar>
          </w:tcPr>
          <w:p>
            <w:pPr>
              <w:spacing w:before="80" w:after="80" w:line="250" w:lineRule="auto"/>
            </w:pPr>
            <w:r>
              <w:rPr>
                <w:sz w:val="18"/>
              </w:rPr>
              <w:t>Callback/stop behavior</w:t>
            </w:r>
          </w:p>
        </w:tc>
        <w:tc>
          <w:tcPr>
            <w:tcW w:type="dxa" w:w="7099"/>
            <w:vAlign w:val="center"/>
            <w:shd w:fill="EDF3F5"/>
            <w:tcMar>
              <w:top w:w="85" w:type="dxa"/>
              <w:left w:w="85" w:type="dxa"/>
              <w:bottom w:w="85" w:type="dxa"/>
              <w:right w:w="85" w:type="dxa"/>
            </w:tcMar>
          </w:tcPr>
          <w:p>
            <w:pPr>
              <w:spacing w:before="80" w:after="80" w:line="250" w:lineRule="auto"/>
            </w:pPr>
            <w:r>
              <w:rPr>
                <w:sz w:val="18"/>
              </w:rPr>
              <w:t>No diagnostic disk wait, worker drain, or blocking finalization on the world thread</w:t>
            </w:r>
          </w:p>
        </w:tc>
      </w:tr>
      <w:tr>
        <w:trPr>
          <w:cantSplit/>
        </w:trPr>
        <w:tc>
          <w:tcPr>
            <w:tcW w:type="dxa" w:w="2894"/>
            <w:vAlign w:val="center"/>
            <w:shd w:fill="FFFFFF"/>
            <w:tcMar>
              <w:top w:w="85" w:type="dxa"/>
              <w:left w:w="85" w:type="dxa"/>
              <w:bottom w:w="85" w:type="dxa"/>
              <w:right w:w="85" w:type="dxa"/>
            </w:tcMar>
          </w:tcPr>
          <w:p>
            <w:pPr>
              <w:spacing w:before="80" w:after="80" w:line="250" w:lineRule="auto"/>
            </w:pPr>
            <w:r>
              <w:rPr>
                <w:sz w:val="18"/>
              </w:rPr>
              <w:t>Disk/memory exhaustion</w:t>
            </w:r>
          </w:p>
        </w:tc>
        <w:tc>
          <w:tcPr>
            <w:tcW w:type="dxa" w:w="7099"/>
            <w:vAlign w:val="center"/>
            <w:shd w:fill="FFFFFF"/>
            <w:tcMar>
              <w:top w:w="85" w:type="dxa"/>
              <w:left w:w="85" w:type="dxa"/>
              <w:bottom w:w="85" w:type="dxa"/>
              <w:right w:w="85" w:type="dxa"/>
            </w:tcMar>
          </w:tcPr>
          <w:p>
            <w:pPr>
              <w:spacing w:before="80" w:after="80" w:line="250" w:lineRule="auto"/>
            </w:pPr>
            <w:r>
              <w:rPr>
                <w:sz w:val="18"/>
              </w:rPr>
              <w:t>Capture degrades or stops; gameplay continues unchanged</w:t>
            </w:r>
          </w:p>
        </w:tc>
      </w:tr>
    </w:tbl>
    <w:p>
      <w:pPr>
        <w:spacing w:after="20"/>
      </w:pPr>
    </w:p>
    <w:p>
      <w:r>
        <w:t>Measure both absolute and relative values. An apparently small average can conceal a large pause. Server tick timing does not establish client FPS or input latency; report the client side as unverified when no matching evidence is available. The combined end-to-end run includes worker CPU, allocation and garbage collection effects, not merely timer scopes around hook calls.</w:t>
      </w:r>
    </w:p>
    <w:p>
      <w:pPr>
        <w:pStyle w:val="Heading2"/>
      </w:pPr>
      <w:r>
        <w:t>16.3 Governor and budget exhaustion</w:t>
      </w:r>
    </w:p>
    <w:p>
      <w:r>
        <w:t>Begin with bounded semantic detail and cheap counters. Track observer time, allocations in qualification, queue occupancy, writer throughput, disk headroom and explicit losses. Under pressure, reduce the admission of new detailed operations, then disable optional stack/JFR detail, then retain only bounded control/failure/counter records. Suspend HRO if those cannot remain within budget.</w:t>
      </w:r>
    </w:p>
    <w:p>
      <w:r>
        <w:t>Use hysteresis and explicit timestamps for these transitions. The governor cannot undo a stall already caused by a callback or guarantee preemption; bounded code paths and testing are the primary protection. Threshold breaches make performance qualification fail or incomplete, even if later throttling recovers.</w:t>
      </w:r>
    </w:p>
    <w:p>
      <w:r>
        <w:t xml:space="preserve">Do not block a cast or inventory action because its trace reservation is unavailable. Record </w:t>
      </w:r>
      <w:r>
        <w:rPr>
          <w:rFonts w:ascii="Liberation Mono" w:hAnsi="Liberation Mono"/>
          <w:sz w:val="18"/>
        </w:rPr>
        <w:t>OBSERVATION_SKIPPED_BUDGET</w:t>
      </w:r>
      <w:r>
        <w:t xml:space="preserve"> in aggregate, and mark affected assertions incomplete. If the critical/gap lane is also full, a preallocated loss counter and terminal manifest record must still reveal incomplete capture when output resumes.</w:t>
      </w:r>
    </w:p>
    <w:p>
      <w:pPr>
        <w:pStyle w:val="Heading2"/>
      </w:pPr>
      <w:r>
        <w:t>16.4 JFR is optional, not the trace’s foundation</w:t>
      </w:r>
    </w:p>
    <w:p>
      <w:r>
        <w:t xml:space="preserve">Semantic JSONL is required. Programmatic bounded JFR can be an explicitly selected companion for native execution/lock/GC evidence when supported by the installed runtime. Use a conservative configuration, event thresholds and disabled-by-default expensive events. Avoid full exception stacks, allocations or every native method. Oracle documents gating expensive payload work with </w:t>
      </w:r>
      <w:r>
        <w:rPr>
          <w:rFonts w:ascii="Liberation Mono" w:hAnsi="Liberation Mono"/>
          <w:sz w:val="18"/>
        </w:rPr>
        <w:t>shouldCommit</w:t>
      </w:r>
      <w:r>
        <w:t>; this is a tool to qualify, not a blanket overhead guarantee. [J1][J2]</w:t>
      </w:r>
    </w:p>
    <w:p>
      <w:r>
        <w:t>Do not change JVM flags or require external instrumentation for ordinary HRO use. Absence of JFR must not disable semantic diagnosis. JFR sampling can suggest hotspots; it does not prove every method’s absence or complete native effect order.</w:t>
      </w:r>
    </w:p>
    <w:p>
      <w:bookmarkStart w:id="17" w:name="s17"/>
      <w:pPr>
        <w:pStyle w:val="Heading1"/>
      </w:pPr>
      <w:r>
        <w:t>17. Reports that reduce Codex work</w:t>
      </w:r>
      <w:bookmarkEnd w:id="17"/>
    </w:p>
    <w:p>
      <w:pPr>
        <w:pStyle w:val="Heading2"/>
      </w:pPr>
      <w:r>
        <w:t>17.1 Required finding structure</w:t>
      </w:r>
    </w:p>
    <w:p>
      <w:r>
        <w:t>Every finding contains severity, contract/version, current outcome, comparison status, strongest proof, affected scope, triggering operation, last successful boundary, earliest supported divergence, legal alternatives checked, exact evidence locators, source anchors, retained implementation recommendation and a minimal next test.</w:t>
      </w:r>
    </w:p>
    <w:p>
      <w:r>
        <w:t>Include the old/new implementation and asset/config changes relevant to that contract only. Generate the factual report deterministically. AI may interpret evidence afterwards, but an LLM must not decide whether a payment was durable, a sample was sufficient, or an expected boundary was observed during gameplay.</w:t>
      </w:r>
    </w:p>
    <w:p>
      <w:pPr>
        <w:pStyle w:val="Heading2"/>
      </w:pPr>
      <w:r>
        <w:t>17.2 Example report, illustrative rather than a new measurement</w:t>
      </w:r>
    </w:p>
    <w:p>
      <w:pPr>
        <w:pStyle w:val="HROCode"/>
        <w:shd w:fill="F0F4F6"/>
      </w:pPr>
      <w:r>
        <w:t>Finding: PLAYER.ADMISSION / FAIL</w:t>
        <w:br/>
        <w:t>Comparison: PERSISTING_FAILURE or NO_BASELINE, as evidence permits</w:t>
        <w:br/>
        <w:t>Observed: saved skills present; current connection entered world</w:t>
        <w:br/>
        <w:t>First failed boundary: prepared support lease admission</w:t>
        <w:br/>
        <w:t>Downstream: native skill projection and HUD installation not reached</w:t>
        <w:br/>
        <w:t>Reuse: keep saved loadout, skill compiler, ability projector and HUD model</w:t>
        <w:br/>
        <w:t>Inspect: production preload registration and owner-ready sequencing</w:t>
        <w:br/>
        <w:t>Not established: actual client rendering; unrelated window-error cause</w:t>
        <w:br/>
        <w:t>Evidence: admission segment, operation IDs, source commit and anchors</w:t>
      </w:r>
    </w:p>
    <w:p>
      <w:r>
        <w:t xml:space="preserve">A second report could identify a transfer’s raw index </w:t>
      </w:r>
      <w:r>
        <w:rPr>
          <w:rFonts w:ascii="Liberation Mono" w:hAnsi="Liberation Mono"/>
          <w:sz w:val="18"/>
        </w:rPr>
        <w:t>-1</w:t>
      </w:r>
      <w:r>
        <w:t>, intact spatial custody and unchanged transfer authority, then recommend a native-index adapter correction. The point is a narrow repair justified by evidence, not an automatic “rewrite inventory” ticket.</w:t>
      </w:r>
    </w:p>
    <w:p>
      <w:pPr>
        <w:pStyle w:val="Heading2"/>
      </w:pPr>
      <w:r>
        <w:t>17.3 Coverage and token-efficient navigation</w:t>
      </w:r>
    </w:p>
    <w:p>
      <w:r>
        <w:t xml:space="preserve">The top report lists primary blockers first, then passing assertions, known limitations, incomplete operations and unexercised scenarios. Avoid a single “95% healthy” score that hides one admission failure. Export the full feature/affix catalog with </w:t>
      </w:r>
      <w:r>
        <w:rPr>
          <w:rFonts w:ascii="Liberation Mono" w:hAnsi="Liberation Mono"/>
          <w:sz w:val="18"/>
        </w:rPr>
        <w:t>DEFINED</w:t>
      </w:r>
      <w:r>
        <w:t xml:space="preserve">, </w:t>
      </w:r>
      <w:r>
        <w:rPr>
          <w:rFonts w:ascii="Liberation Mono" w:hAnsi="Liberation Mono"/>
          <w:sz w:val="18"/>
        </w:rPr>
        <w:t>INSTRUMENTED</w:t>
      </w:r>
      <w:r>
        <w:t xml:space="preserve">, </w:t>
      </w:r>
      <w:r>
        <w:rPr>
          <w:rFonts w:ascii="Liberation Mono" w:hAnsi="Liberation Mono"/>
          <w:sz w:val="18"/>
        </w:rPr>
        <w:t>EXERCISED</w:t>
      </w:r>
      <w:r>
        <w:t xml:space="preserve">, </w:t>
      </w:r>
      <w:r>
        <w:rPr>
          <w:rFonts w:ascii="Liberation Mono" w:hAnsi="Liberation Mono"/>
          <w:sz w:val="18"/>
        </w:rPr>
        <w:t>OUTCOME_OBSERVED</w:t>
      </w:r>
      <w:r>
        <w:t xml:space="preserve">, and </w:t>
      </w:r>
      <w:r>
        <w:rPr>
          <w:rFonts w:ascii="Liberation Mono" w:hAnsi="Liberation Mono"/>
          <w:sz w:val="18"/>
        </w:rPr>
        <w:t>VISUAL_PENDING</w:t>
      </w:r>
      <w:r>
        <w:t xml:space="preserve"> dimensions as appropriate.</w:t>
      </w:r>
    </w:p>
    <w:p>
      <w:r>
        <w:rPr>
          <w:rFonts w:ascii="Liberation Mono" w:hAnsi="Liberation Mono"/>
          <w:sz w:val="18"/>
        </w:rPr>
        <w:t>summary.md</w:t>
      </w:r>
      <w:r>
        <w:t xml:space="preserve"> should normally fit within two readable pages. Detailed evidence remains large and expandable. Provide a bounded extractor by finding, operation, player alias, entity, item or time window. Codex should begin with the manifest, summary, coverage and implicated source anchors, not load hundreds of megabytes into context.</w:t>
      </w:r>
    </w:p>
    <w:p>
      <w:r>
        <w:t xml:space="preserve">An optional proposed offline CLI has </w:t>
      </w:r>
      <w:r>
        <w:rPr>
          <w:rFonts w:ascii="Liberation Mono" w:hAnsi="Liberation Mono"/>
          <w:sz w:val="18"/>
        </w:rPr>
        <w:t>analyze</w:t>
      </w:r>
      <w:r>
        <w:t xml:space="preserve">, </w:t>
      </w:r>
      <w:r>
        <w:rPr>
          <w:rFonts w:ascii="Liberation Mono" w:hAnsi="Liberation Mono"/>
          <w:sz w:val="18"/>
        </w:rPr>
        <w:t>compare</w:t>
      </w:r>
      <w:r>
        <w:t xml:space="preserve">, </w:t>
      </w:r>
      <w:r>
        <w:rPr>
          <w:rFonts w:ascii="Liberation Mono" w:hAnsi="Liberation Mono"/>
          <w:sz w:val="18"/>
        </w:rPr>
        <w:t>extract</w:t>
      </w:r>
      <w:r>
        <w:t xml:space="preserve">, and </w:t>
      </w:r>
      <w:r>
        <w:rPr>
          <w:rFonts w:ascii="Liberation Mono" w:hAnsi="Liberation Mono"/>
          <w:sz w:val="18"/>
        </w:rPr>
        <w:t>baseline-approve</w:t>
      </w:r>
      <w:r>
        <w:t xml:space="preserve"> operations. Implement it with the existing repository toolchain and document exact final syntax. No network lookup is required to analyze a completed bundle; online source lookup is an explicit follow-up.</w:t>
      </w:r>
    </w:p>
    <w:p>
      <w:r>
        <w:br w:type="page"/>
      </w:r>
    </w:p>
    <w:p>
      <w:bookmarkStart w:id="18" w:name="s18"/>
      <w:pPr>
        <w:pStyle w:val="Heading1"/>
      </w:pPr>
      <w:r>
        <w:t>18. Three-stage implementation plan</w:t>
      </w:r>
      <w:bookmarkEnd w:id="18"/>
    </w:p>
    <w:p>
      <w:r>
        <w:t>The stage boundary is a deliverable, not a request for another round of owner testing. Run focused checks while developing and the required complete gate at reviewed stage/release checkpoints. Do not run the entire suite after every file edit, weaken required checks, or manufacture sixteen micro-milestones. Total elapsed time depends on native adapter gaps; a three-stage plan is not a promise of a particular hour count.</w:t>
      </w:r>
    </w:p>
    <w:p>
      <w:pPr>
        <w:pStyle w:val="Heading2"/>
      </w:pPr>
      <w:r>
        <w:t>Stage 1: Coordinated recorder and the critical integration spine</w:t>
      </w:r>
    </w:p>
    <w:p>
      <w:r>
        <w:rPr>
          <w:b/>
        </w:rPr>
        <w:t>Goal:</w:t>
      </w:r>
      <w:r>
        <w:t xml:space="preserve"> Produce a usable cross-system capture and diagnose bootstrap, admission, skills/HUD and inventory ownership/transfer failures without perceptible lag.</w:t>
      </w:r>
    </w:p>
    <w:p>
      <w:r>
        <w:t xml:space="preserve">Start from the verified current Chapter I development ancestry, not an assumed </w:t>
      </w:r>
      <w:r>
        <w:rPr>
          <w:rFonts w:ascii="Liberation Mono" w:hAnsi="Liberation Mono"/>
          <w:sz w:val="18"/>
        </w:rPr>
        <w:t>main</w:t>
      </w:r>
      <w:r>
        <w:t xml:space="preserve">. Read current </w:t>
      </w:r>
      <w:r>
        <w:rPr>
          <w:rFonts w:ascii="Liberation Mono" w:hAnsi="Liberation Mono"/>
          <w:sz w:val="18"/>
        </w:rPr>
        <w:t>AGENTS.md</w:t>
      </w:r>
      <w:r>
        <w:t>, Guardian, trace documentation and source. Confirm the active installation/save without modifying it. Audit the packaged entrypoint and referenced native API/asset interfaces offline. Preserve all current gameplay corrections and unaccepted dependency status.</w:t>
      </w:r>
    </w:p>
    <w:p>
      <w:r>
        <w:t xml:space="preserve">Extend </w:t>
      </w:r>
      <w:r>
        <w:rPr>
          <w:rFonts w:ascii="Liberation Mono" w:hAnsi="Liberation Mono"/>
          <w:sz w:val="18"/>
        </w:rPr>
        <w:t>/rpg-trace</w:t>
      </w:r>
      <w:r>
        <w:t xml:space="preserve"> with the proposed </w:t>
      </w:r>
      <w:r>
        <w:rPr>
          <w:rFonts w:ascii="Liberation Mono" w:hAnsi="Liberation Mono"/>
          <w:sz w:val="18"/>
        </w:rPr>
        <w:t>patch</w:t>
      </w:r>
      <w:r>
        <w:t xml:space="preserve"> lifecycle. Implement the shared envelope, provider health/capability record, bounded scope/budget, immutable snapshots, asynchronous finalization, segmented bundle and source identity. Reuse existing providers instead of enabling their highest-volume modes independently. Add the optional one-shot arm only through diagnostic configuration; do not create another mandatory launch workflow.</w:t>
      </w:r>
    </w:p>
    <w:p>
      <w:r>
        <w:t xml:space="preserve">Implement </w:t>
      </w:r>
      <w:r>
        <w:rPr>
          <w:rFonts w:ascii="Liberation Mono" w:hAnsi="Liberation Mono"/>
          <w:sz w:val="18"/>
        </w:rPr>
        <w:t>BOOT.ARTIFACT</w:t>
      </w:r>
      <w:r>
        <w:t xml:space="preserve">, </w:t>
      </w:r>
      <w:r>
        <w:rPr>
          <w:rFonts w:ascii="Liberation Mono" w:hAnsi="Liberation Mono"/>
          <w:sz w:val="18"/>
        </w:rPr>
        <w:t>PLAYER.ADMISSION</w:t>
      </w:r>
      <w:r>
        <w:t xml:space="preserve">, </w:t>
      </w:r>
      <w:r>
        <w:rPr>
          <w:rFonts w:ascii="Liberation Mono" w:hAnsi="Liberation Mono"/>
          <w:sz w:val="18"/>
        </w:rPr>
        <w:t>SKILL.ASSIGN</w:t>
      </w:r>
      <w:r>
        <w:t xml:space="preserve">, </w:t>
      </w:r>
      <w:r>
        <w:rPr>
          <w:rFonts w:ascii="Liberation Mono" w:hAnsi="Liberation Mono"/>
          <w:sz w:val="18"/>
        </w:rPr>
        <w:t>SKILL.PROJECTION</w:t>
      </w:r>
      <w:r>
        <w:t xml:space="preserve">, </w:t>
      </w:r>
      <w:r>
        <w:rPr>
          <w:rFonts w:ascii="Liberation Mono" w:hAnsi="Liberation Mono"/>
          <w:sz w:val="18"/>
        </w:rPr>
        <w:t>SKILL.EXECUTION</w:t>
      </w:r>
      <w:r>
        <w:t xml:space="preserve">, </w:t>
      </w:r>
      <w:r>
        <w:rPr>
          <w:rFonts w:ascii="Liberation Mono" w:hAnsi="Liberation Mono"/>
          <w:sz w:val="18"/>
        </w:rPr>
        <w:t>HUD.PUBLICATION</w:t>
      </w:r>
      <w:r>
        <w:t xml:space="preserve">, </w:t>
      </w:r>
      <w:r>
        <w:rPr>
          <w:rFonts w:ascii="Liberation Mono" w:hAnsi="Liberation Mono"/>
          <w:sz w:val="18"/>
        </w:rPr>
        <w:t>UI.LIFECYCLE</w:t>
      </w:r>
      <w:r>
        <w:t xml:space="preserve">, </w:t>
      </w:r>
      <w:r>
        <w:rPr>
          <w:rFonts w:ascii="Liberation Mono" w:hAnsi="Liberation Mono"/>
          <w:sz w:val="18"/>
        </w:rPr>
        <w:t>INVENTORY.OWNER</w:t>
      </w:r>
      <w:r>
        <w:t xml:space="preserve">, and </w:t>
      </w:r>
      <w:r>
        <w:rPr>
          <w:rFonts w:ascii="Liberation Mono" w:hAnsi="Liberation Mono"/>
          <w:sz w:val="18"/>
        </w:rPr>
        <w:t>INVENTORY.TRANSFER</w:t>
      </w:r>
      <w:r>
        <w:t xml:space="preserve"> with narrowly bounded evaluation. If some existing source cannot provide an outcome, expose that gap explicitly and add a small owner-boundary observation where safe.</w:t>
      </w:r>
    </w:p>
    <w:p>
      <w:r>
        <w:t>Qualify the writer path before increasing coverage. Ensure stop/expiry/disconnect cannot serialize or wait on the live world thread. Preserve capture provenance during interrupted recovery. Build initial historical-failure fixtures for omitted production hooks, absent expected bag state, stale admission generation, native index sentinel, expired provider and dropped evidence.</w:t>
      </w:r>
    </w:p>
    <w:p>
      <w:r>
        <w:rPr>
          <w:b/>
        </w:rPr>
        <w:t>Stage completion:</w:t>
      </w:r>
      <w:r>
        <w:t xml:space="preserve"> One valid bundle can explain these faults or precisely report a missing boundary; normal APIs/commands still work; overload and disabled-path tests pass. Deliver an executable recorder and analyzer subset, not just scaffolding. No extra owner QA is required solely to begin Stage 2.</w:t>
      </w:r>
    </w:p>
    <w:p>
      <w:pPr>
        <w:pStyle w:val="Heading2"/>
      </w:pPr>
      <w:r>
        <w:t>Stage 2: Mechanical evidence for affixes, combat and elites</w:t>
      </w:r>
    </w:p>
    <w:p>
      <w:r>
        <w:rPr>
          <w:b/>
        </w:rPr>
        <w:t>Goal:</w:t>
      </w:r>
      <w:r>
        <w:t xml:space="preserve"> Convert “the skill/affix/elite seems to work” into contract results with actual effect evidence.</w:t>
      </w:r>
    </w:p>
    <w:p>
      <w:r>
        <w:t xml:space="preserve">Connect existing gear, combat, skill, spawn and resource events to the same run and operation model. Implement </w:t>
      </w:r>
      <w:r>
        <w:rPr>
          <w:rFonts w:ascii="Liberation Mono" w:hAnsi="Liberation Mono"/>
          <w:sz w:val="18"/>
        </w:rPr>
        <w:t>GEAR.EQUIPPED</w:t>
      </w:r>
      <w:r>
        <w:t xml:space="preserve">, </w:t>
      </w:r>
      <w:r>
        <w:rPr>
          <w:rFonts w:ascii="Liberation Mono" w:hAnsi="Liberation Mono"/>
          <w:sz w:val="18"/>
        </w:rPr>
        <w:t>AFFIX.MODIFIER</w:t>
      </w:r>
      <w:r>
        <w:t xml:space="preserve">, </w:t>
      </w:r>
      <w:r>
        <w:rPr>
          <w:rFonts w:ascii="Liberation Mono" w:hAnsi="Liberation Mono"/>
          <w:sz w:val="18"/>
        </w:rPr>
        <w:t>AFFIX.PROC</w:t>
      </w:r>
      <w:r>
        <w:t xml:space="preserve">, </w:t>
      </w:r>
      <w:r>
        <w:rPr>
          <w:rFonts w:ascii="Liberation Mono" w:hAnsi="Liberation Mono"/>
          <w:sz w:val="18"/>
        </w:rPr>
        <w:t>COMBAT.RECONCILE</w:t>
      </w:r>
      <w:r>
        <w:t xml:space="preserve">, </w:t>
      </w:r>
      <w:r>
        <w:rPr>
          <w:rFonts w:ascii="Liberation Mono" w:hAnsi="Liberation Mono"/>
          <w:sz w:val="18"/>
        </w:rPr>
        <w:t>CYCLONE.ACCOUNTING</w:t>
      </w:r>
      <w:r>
        <w:t xml:space="preserve">, </w:t>
      </w:r>
      <w:r>
        <w:rPr>
          <w:rFonts w:ascii="Liberation Mono" w:hAnsi="Liberation Mono"/>
          <w:sz w:val="18"/>
        </w:rPr>
        <w:t>SPAWN.ADMISSION</w:t>
      </w:r>
      <w:r>
        <w:t xml:space="preserve">, </w:t>
      </w:r>
      <w:r>
        <w:rPr>
          <w:rFonts w:ascii="Liberation Mono" w:hAnsi="Liberation Mono"/>
          <w:sz w:val="18"/>
        </w:rPr>
        <w:t>SPAWN.PROMOTION</w:t>
      </w:r>
      <w:r>
        <w:t xml:space="preserve">, and observed </w:t>
      </w:r>
      <w:r>
        <w:rPr>
          <w:rFonts w:ascii="Liberation Mono" w:hAnsi="Liberation Mono"/>
          <w:sz w:val="18"/>
        </w:rPr>
        <w:t>PERSISTENCE.RECOVERY</w:t>
      </w:r>
      <w:r>
        <w:t>.</w:t>
      </w:r>
    </w:p>
    <w:p>
      <w:r>
        <w:t>Preserve actual production formula stages and receipts. Add bounded contribution source references only where missing. Cover deterministic modifier, conditional modifier, random proc, debuff/DoT and resource/defense families using existing representative fixtures. Generate the catalog coverage matrix; do not claim every affix is validated because one member of its family passed. Do not implement unavailable gameplay or native hooks merely to turn the report green.</w:t>
      </w:r>
    </w:p>
    <w:p>
      <w:r>
        <w:t>For spawning, record the actual eligible denominator and legal exclusions, retain native/QA/event provenance, and support deterministic promotion-publication checks. Add cautious statistical summaries only for a justified decision model. For persistent state, compare real load/save observations and offline recovery fixtures, without live fault injection.</w:t>
      </w:r>
    </w:p>
    <w:p>
      <w:r>
        <w:t>Add failure fixtures for wrong affix units/value, valid immunity, selected proc without native effect, double dispatch/debit, barrier overflow mismatch, closed native admission gate, normal rarity result, accepted elite plan without publication, and insufficient stochastic opportunity. Include matched passing controls so the analyzer is tested for false positives.</w:t>
      </w:r>
    </w:p>
    <w:p>
      <w:r>
        <w:rPr>
          <w:b/>
        </w:rPr>
        <w:t>Stage completion:</w:t>
      </w:r>
      <w:r>
        <w:t xml:space="preserve"> All seventeen contract families are implemented or explicitly capability-blocked with tested evidence semantics; the standard capture remains within performance/memory/disk budgets. The existing game systems are not replaced or rebalanced.</w:t>
      </w:r>
    </w:p>
    <w:p>
      <w:pPr>
        <w:pStyle w:val="Heading2"/>
      </w:pPr>
      <w:r>
        <w:t>Stage 3: Baseline comparison, reuse maps and release qualification</w:t>
      </w:r>
    </w:p>
    <w:p>
      <w:r>
        <w:rPr>
          <w:b/>
        </w:rPr>
        <w:t>Goal:</w:t>
      </w:r>
      <w:r>
        <w:t xml:space="preserve"> Deliver the complete old-versus-new diagnostic workflow and one ordinary owner QA release.</w:t>
      </w:r>
    </w:p>
    <w:p>
      <w:r>
        <w:t>Implement immutable per-contract baselines, approved expectation changes, versioned legacy import, semantic operation matching, compatibility/source maps, cascade grouping and token-efficient extraction. Distinguish actual regression, persisting failure, intentional change and incomparability. Test mixed build/config/clock evidence and lost originating metadata.</w:t>
      </w:r>
    </w:p>
    <w:p>
      <w:r>
        <w:t>Add the backend-neutral UI behavior fixtures and offline parity seam for a future Noesis adapter. No live Noesis implementation or broad UI rewrite. Generate reuse recommendations tied to current source locations and preserved contracts.</w:t>
      </w:r>
    </w:p>
    <w:p>
      <w:r>
        <w:t>Run fault-injected offline replay plus realistic recorder load tests, including slow/full disk, burst traffic, many role/item IDs, interrupted archives, long sessions, concurrent manual recorders and asynchronous stop. Use repeated matched trace-off/trace-on workloads; publish producer and whole-process results. All instrumentation-related stalls block qualification. Native/client gaps remain visible rather than being “solved” by assertions.</w:t>
      </w:r>
    </w:p>
    <w:p>
      <w:r>
        <w:t>Run the required full applicable Gradle/JUnit gate, JaCoCo review of critical paths, strict SpotBugs, current release asset/CustomUI/package checks and Guardian. Package a versioned candidate, verify its embedded source and checksum, and deploy through the already established authorized backup/deployment procedure. Do not launch Hytale or modify gameplay save data. If a genuine authorization boundary is not already covered, report only that specific boundary; do not demand new configuration steps from the owner.</w:t>
      </w:r>
    </w:p>
    <w:p>
      <w:r>
        <w:rPr>
          <w:b/>
        </w:rPr>
        <w:t>Stage completion:</w:t>
      </w:r>
      <w:r>
        <w:t xml:space="preserve"> A single normal launch can produce a coherent bundle, deterministic report and comparative findings. Source publication, deployment and connected acceptance are reported separately. Do not merge unaccepted dependent gameplay branches merely because HRO’s offline suite passes; obey current repository promotion policy. [G7]</w:t>
      </w:r>
    </w:p>
    <w:p>
      <w:bookmarkStart w:id="19" w:name="s19"/>
      <w:pPr>
        <w:pStyle w:val="Heading1"/>
      </w:pPr>
      <w:r>
        <w:t>19. Release tests and acceptance</w:t>
      </w:r>
      <w:bookmarkEnd w:id="19"/>
    </w:p>
    <w:p>
      <w:pPr>
        <w:pStyle w:val="Heading2"/>
      </w:pPr>
      <w:r>
        <w:t>19.1 The analyzer must be tested as aggressively as the recorder</w:t>
      </w:r>
    </w:p>
    <w:p>
      <w:r>
        <w:t>Create a small golden corpus of normalized passing and failing operations. Perturb one boundary at a time: remove registration, drop a terminal event, change a revision, switch a native slot, lose a component, duplicate a receipt, alter a coefficient, close a capability gate, replace a UI generation and truncate an archive. Expected diagnoses and proof limits are asserted offline.</w:t>
      </w:r>
    </w:p>
    <w:p>
      <w:r>
        <w:t>The corpus must include expected cancellations, insufficient Mana, no eligible natural spawns, legitimate normal-rarity decisions, immunity, sampled-out operations, missing client confirmation and an explicitly unbound slot. These must not become fabricated regressions. Test numeric tolerances at their boundary and assert that traces never adjust observed values to make reconciliation pass.</w:t>
      </w:r>
    </w:p>
    <w:p>
      <w:r>
        <w:t>Exercise actual production registration/package paths and native-equivalent codecs where available. Mock-only success does not prove the deployed entrypoint is wired. Conversely, a recorded source-level failure fixture is not proof a live new build still has the same defect.</w:t>
      </w:r>
    </w:p>
    <w:p>
      <w:pPr>
        <w:pStyle w:val="Heading2"/>
      </w:pPr>
      <w:r>
        <w:t>19.2 Noninterference and boundedness</w:t>
      </w:r>
    </w:p>
    <w:p>
      <w:r>
        <w:t>With identical inputs and RNG state, trace on/off must leave the same authoritative results, receipts, inventory custody, accepted casts, random decisions and world mutations. Verify no extra random draws, no replayed effects, no diagnostic calls into mutators, and no additional durability operations on the gameplay path.</w:t>
      </w:r>
    </w:p>
    <w:p>
      <w:r>
        <w:t>Measure disabled/active/overload/stop behavior after warmup, and separately qualify first-capture initialization. Include high-cardinality and long-tail cases, not only one quiet player. Preallocate or defer initialization that would otherwise create a first-use hitch. End-to-end client smoothness remains owner acceptance unless matched client measurements exist.</w:t>
      </w:r>
    </w:p>
    <w:p>
      <w:pPr>
        <w:pStyle w:val="Heading2"/>
      </w:pPr>
      <w:r>
        <w:t>19.3 One owner-facing acceptance pass</w:t>
      </w:r>
    </w:p>
    <w:p>
      <w:r>
        <w:t>The final handoff is: launch normally, enter Hywind, start HRO, perform ordinary QA, stop, and provide the resulting folder/bundle. Suggested activities are a valid skill assignment/cast; one valid and one rejected gear transfer; a hit with a known equipped affix; ordinary travel offering natural-spawn opportunities; and a normal UI open/close cycle. Reconnect is optional but required before claiming recovery coverage.</w:t>
      </w:r>
    </w:p>
    <w:p>
      <w:r>
        <w:t>The report should identify these activities itself and state what remains unexercised. The owner does not need to run a separate command for every subsystem or manually inspect thousands of lines. Do not reset the character or spawn a test population merely to satisfy a coverage percentage.</w:t>
      </w:r>
    </w:p>
    <w:p>
      <w:r>
        <w:t>Accept HRO when the resulting findings are traceable, the known-failure corpus is detected without the passing controls becoming failures, the release obeys noninterference and performance budgets, and the ordinary capture feels unchanged to the owner. A smooth capture with missing essential evidence is incomplete; a complete capture that visibly lags is also unacceptable.</w:t>
      </w:r>
    </w:p>
    <w:p>
      <w:r>
        <w:br w:type="page"/>
      </w:r>
    </w:p>
    <w:p>
      <w:bookmarkStart w:id="20" w:name="s20"/>
      <w:pPr>
        <w:pStyle w:val="Heading1"/>
      </w:pPr>
      <w:r>
        <w:t>20. Codex execution charter</w:t>
      </w:r>
      <w:bookmarkEnd w:id="20"/>
    </w:p>
    <w:p>
      <w:r>
        <w:t>Use this document as one three-stage engineering assignment. Complete the stages sequentially with internal verification checkpoints, without asking the owner to test each stage. Discover the current source baseline and respect active work/deployment policy. Do not use the dated Project command reference to resurrect retired syntax.</w:t>
      </w:r>
    </w:p>
    <w:p>
      <w:r>
        <w:t>Keep the diagnostic layer independent of gameplay authority. Reuse existing instrumentation and pure tests; add only the fields, adapters and small evaluators needed for the seventeen contracts. Preserve known native limitations and report coverage gaps. Do not create a live dashboard, remote collector, database, general-purpose rule language, LLM agent, client patch or new inventory/combat implementation.</w:t>
      </w:r>
    </w:p>
    <w:p>
      <w:r>
        <w:t>Do not expand this task into fixing every gameplay bug the trace discovers. Record findings and source anchors; only repair recorder/integration defects needed to make HRO trustworthy. A minimal gameplay wiring fix discovered incidentally belongs in a separately reviewed focused change, not an undocumented diagnostic side effect.</w:t>
      </w:r>
    </w:p>
    <w:p>
      <w:r>
        <w:t xml:space="preserve">Deliver the implementation commits, exact tested/deployed artifact identity, updated </w:t>
      </w:r>
      <w:r>
        <w:rPr>
          <w:rFonts w:ascii="Liberation Mono" w:hAnsi="Liberation Mono"/>
          <w:sz w:val="18"/>
        </w:rPr>
        <w:t>COMMANDS.md</w:t>
      </w:r>
      <w:r>
        <w:t>, contract/source map, example sanitized bundle, analyzer tests, performance qualification, known capability gaps and one owner QA checklist. Distinguish implemented, verified offline, deployed, exercised, mechanically confirmed and visually accepted.</w:t>
      </w:r>
    </w:p>
    <w:p>
      <w:r>
        <w:rPr>
          <w:b/>
        </w:rPr>
        <w:t>Definition of done:</w:t>
      </w:r>
      <w:r>
        <w:t xml:space="preserve"> Hywind has a sparsely activated, cross-system recorder and offline comparison tool that locates supported failure boundaries, preserves old/new provenance, shows mechanical outcomes instead of guesses, directs repairs toward reusable existing code, and degrades recording rather than degrading gameplay.</w:t>
      </w:r>
    </w:p>
    <w:p>
      <w:r>
        <w:br w:type="page"/>
      </w:r>
    </w:p>
    <w:p>
      <w:bookmarkStart w:id="21" w:name="s21"/>
      <w:pPr>
        <w:pStyle w:val="Heading1"/>
      </w:pPr>
      <w:r>
        <w:t>Appendix A. Evidence and source register</w:t>
      </w:r>
      <w:bookmarkEnd w:id="21"/>
    </w:p>
    <w:p>
      <w:pPr>
        <w:pStyle w:val="HROSource"/>
      </w:pPr>
      <w:r>
        <w:t>Source labels distinguish reviewed facts from the proposed design. The proposals, limits, contract names and stages are engineering recommendations authored for this task. They are not claims that Hytale or Hywind already implements HRO. GitHub links are pinned where used as implementation evidence; refresh the actual development baseline before making changes.</w:t>
      </w:r>
    </w:p>
    <w:p>
      <w:pPr>
        <w:pStyle w:val="HROSource"/>
        <w:keepNext/>
      </w:pPr>
      <w:r>
        <w:rPr>
          <w:b/>
        </w:rPr>
        <w:t>[G1] Hywind development baseline and Chapter I failure history.</w:t>
      </w:r>
      <w:r>
        <w:t xml:space="preserve"> Reviewed revision </w:t>
      </w:r>
      <w:r>
        <w:rPr>
          <w:rFonts w:ascii="Liberation Mono" w:hAnsi="Liberation Mono"/>
          <w:sz w:val="18"/>
        </w:rPr>
        <w:t>afdf9bfbce9d5fb395bd68848833480a849f0e0b</w:t>
      </w:r>
      <w:r>
        <w:t xml:space="preserve">, </w:t>
      </w:r>
      <w:r>
        <w:rPr>
          <w:rFonts w:ascii="Liberation Mono" w:hAnsi="Liberation Mono"/>
          <w:sz w:val="18"/>
        </w:rPr>
        <w:t>docs/DEVELOPMENT_BASELINE.md</w:t>
      </w:r>
      <w:r>
        <w:t>, especially the inventory owner-state, inactive-slot, skill-bar preload, instance admission and four-slot candidate sections. These are repository-authored engineering records with stated QA limitations, not independent connected verification.</w:t>
      </w:r>
    </w:p>
    <w:p>
      <w:pPr>
        <w:pStyle w:val="HROSource"/>
      </w:pPr>
      <w:hyperlink r:id="rId11">
        <w:r>
          <w:rPr>
            <w:color w:val="177F88"/>
            <w:u w:val="single"/>
          </w:rPr>
          <w:t>Open source: DEVELOPMENT_BASELINE.md</w:t>
        </w:r>
      </w:hyperlink>
    </w:p>
    <w:p>
      <w:pPr>
        <w:pStyle w:val="HROSource"/>
        <w:keepNext/>
      </w:pPr>
      <w:r>
        <w:rPr>
          <w:b/>
        </w:rPr>
        <w:t>[G2] Existing diagnostic command consolidation and provider inventory.</w:t>
      </w:r>
      <w:r>
        <w:t xml:space="preserve"> </w:t>
      </w:r>
      <w:r>
        <w:rPr>
          <w:rFonts w:ascii="Liberation Mono" w:hAnsi="Liberation Mono"/>
          <w:sz w:val="18"/>
        </w:rPr>
        <w:t>docs/TRACE_HOUSEKEEPING.md</w:t>
      </w:r>
      <w:r>
        <w:t>. Grounds reuse of the current command family and the separation of observational recorders from state-changing fixtures.</w:t>
      </w:r>
    </w:p>
    <w:p>
      <w:pPr>
        <w:pStyle w:val="HROSource"/>
      </w:pPr>
      <w:hyperlink r:id="rId12">
        <w:r>
          <w:rPr>
            <w:color w:val="177F88"/>
            <w:u w:val="single"/>
          </w:rPr>
          <w:t>Open source: TRACE_HOUSEKEEPING.md</w:t>
        </w:r>
      </w:hyperlink>
    </w:p>
    <w:p>
      <w:pPr>
        <w:pStyle w:val="HROSource"/>
        <w:keepNext/>
      </w:pPr>
      <w:r>
        <w:rPr>
          <w:b/>
        </w:rPr>
        <w:t>[G3] Existing writer implementation.</w:t>
      </w:r>
      <w:r>
        <w:t xml:space="preserve"> </w:t>
      </w:r>
      <w:r>
        <w:rPr>
          <w:rFonts w:ascii="Liberation Mono" w:hAnsi="Liberation Mono"/>
          <w:sz w:val="18"/>
        </w:rPr>
        <w:t>BoundedTraceWriter.java</w:t>
      </w:r>
      <w:r>
        <w:t xml:space="preserve">; inspect </w:t>
      </w:r>
      <w:r>
        <w:rPr>
          <w:rFonts w:ascii="Liberation Mono" w:hAnsi="Liberation Mono"/>
          <w:sz w:val="18"/>
        </w:rPr>
        <w:t>submit</w:t>
      </w:r>
      <w:r>
        <w:t xml:space="preserve">, </w:t>
      </w:r>
      <w:r>
        <w:rPr>
          <w:rFonts w:ascii="Liberation Mono" w:hAnsi="Liberation Mono"/>
          <w:sz w:val="18"/>
        </w:rPr>
        <w:t>submitDeferred</w:t>
      </w:r>
      <w:r>
        <w:t xml:space="preserve">, queue/reservation limits, error handling and </w:t>
      </w:r>
      <w:r>
        <w:rPr>
          <w:rFonts w:ascii="Liberation Mono" w:hAnsi="Liberation Mono"/>
          <w:sz w:val="18"/>
        </w:rPr>
        <w:t>close</w:t>
      </w:r>
      <w:r>
        <w:t>. Supports the caller/deferred serialization distinction and the need to keep blocking drain off live owner threads.</w:t>
      </w:r>
    </w:p>
    <w:p>
      <w:pPr>
        <w:pStyle w:val="HROSource"/>
      </w:pPr>
      <w:hyperlink r:id="rId13">
        <w:r>
          <w:rPr>
            <w:color w:val="177F88"/>
            <w:u w:val="single"/>
          </w:rPr>
          <w:t>Open source: BoundedTraceWriter.java</w:t>
        </w:r>
      </w:hyperlink>
    </w:p>
    <w:p>
      <w:pPr>
        <w:pStyle w:val="HROSource"/>
        <w:keepNext/>
      </w:pPr>
      <w:r>
        <w:rPr>
          <w:b/>
        </w:rPr>
        <w:t>[G4] Existing archive implementation.</w:t>
      </w:r>
      <w:r>
        <w:t xml:space="preserve"> </w:t>
      </w:r>
      <w:r>
        <w:rPr>
          <w:rFonts w:ascii="Liberation Mono" w:hAnsi="Liberation Mono"/>
          <w:sz w:val="18"/>
        </w:rPr>
        <w:t>TraceArchiveManager.java</w:t>
      </w:r>
      <w:r>
        <w:t xml:space="preserve">; inspect archive verification, bounded worker, </w:t>
      </w:r>
      <w:r>
        <w:rPr>
          <w:rFonts w:ascii="Liberation Mono" w:hAnsi="Liberation Mono"/>
          <w:sz w:val="18"/>
        </w:rPr>
        <w:t>manifest</w:t>
      </w:r>
      <w:r>
        <w:t xml:space="preserve"> and </w:t>
      </w:r>
      <w:r>
        <w:rPr>
          <w:rFonts w:ascii="Liberation Mono" w:hAnsi="Liberation Mono"/>
          <w:sz w:val="18"/>
        </w:rPr>
        <w:t>recoverFinalWithoutManifest</w:t>
      </w:r>
      <w:r>
        <w:t>. Supports the origin-versus-recovery provenance qualification and streaming/working-set review.</w:t>
      </w:r>
    </w:p>
    <w:p>
      <w:pPr>
        <w:pStyle w:val="HROSource"/>
      </w:pPr>
      <w:hyperlink r:id="rId14">
        <w:r>
          <w:rPr>
            <w:color w:val="177F88"/>
            <w:u w:val="single"/>
          </w:rPr>
          <w:t>Open source: TraceArchiveManager.java</w:t>
        </w:r>
      </w:hyperlink>
    </w:p>
    <w:p>
      <w:pPr>
        <w:pStyle w:val="HROSource"/>
        <w:keepNext/>
      </w:pPr>
      <w:r>
        <w:rPr>
          <w:b/>
        </w:rPr>
        <w:t>[G5] Existing natural-spawn trace.</w:t>
      </w:r>
      <w:r>
        <w:t xml:space="preserve"> </w:t>
      </w:r>
      <w:r>
        <w:rPr>
          <w:rFonts w:ascii="Liberation Mono" w:hAnsi="Liberation Mono"/>
          <w:sz w:val="18"/>
        </w:rPr>
        <w:t>MonsterSpawnTrace.java</w:t>
      </w:r>
      <w:r>
        <w:t>; reviewed duration/detail limits, job and population counters, priority categories, cardinality bounds and finish path. Native provider labels and actual coverage are version-specific.</w:t>
      </w:r>
    </w:p>
    <w:p>
      <w:pPr>
        <w:pStyle w:val="HROSource"/>
      </w:pPr>
      <w:hyperlink r:id="rId15">
        <w:r>
          <w:rPr>
            <w:color w:val="177F88"/>
            <w:u w:val="single"/>
          </w:rPr>
          <w:t>Open source: MonsterSpawnTrace.java</w:t>
        </w:r>
      </w:hyperlink>
    </w:p>
    <w:p>
      <w:pPr>
        <w:pStyle w:val="HROSource"/>
        <w:keepNext/>
      </w:pPr>
      <w:r>
        <w:rPr>
          <w:b/>
        </w:rPr>
        <w:t>[G6] Existing combat trace contract.</w:t>
      </w:r>
      <w:r>
        <w:t xml:space="preserve"> </w:t>
      </w:r>
      <w:r>
        <w:rPr>
          <w:rFonts w:ascii="Liberation Mono" w:hAnsi="Liberation Mono"/>
          <w:sz w:val="18"/>
        </w:rPr>
        <w:t>docs/COMBAT_TRACE.md</w:t>
      </w:r>
      <w:r>
        <w:t>; per-hit native values, correlation, reconciliation tolerance and explicitly unobservable native internals. Its historical Goblin example remains pre-release evidence, not a statement about every current release spawn route.</w:t>
      </w:r>
    </w:p>
    <w:p>
      <w:pPr>
        <w:pStyle w:val="HROSource"/>
      </w:pPr>
      <w:hyperlink r:id="rId16">
        <w:r>
          <w:rPr>
            <w:color w:val="177F88"/>
            <w:u w:val="single"/>
          </w:rPr>
          <w:t>Open source: COMBAT_TRACE.md</w:t>
        </w:r>
      </w:hyperlink>
    </w:p>
    <w:p>
      <w:pPr>
        <w:pStyle w:val="HROSource"/>
        <w:keepNext/>
      </w:pPr>
      <w:r>
        <w:rPr>
          <w:b/>
        </w:rPr>
        <w:t>[G7] Guardian engineering/deployment distinction.</w:t>
      </w:r>
      <w:r>
        <w:t xml:space="preserve"> </w:t>
      </w:r>
      <w:r>
        <w:rPr>
          <w:rFonts w:ascii="Liberation Mono" w:hAnsi="Liberation Mono"/>
          <w:sz w:val="18"/>
        </w:rPr>
        <w:t>docs/GUARDIAN.md</w:t>
      </w:r>
      <w:r>
        <w:t xml:space="preserve">; exact-source verification, publication/integration status, limits of local evidence and separate connected acceptance. Current </w:t>
      </w:r>
      <w:r>
        <w:rPr>
          <w:rFonts w:ascii="Liberation Mono" w:hAnsi="Liberation Mono"/>
          <w:sz w:val="18"/>
        </w:rPr>
        <w:t>AGENTS.md</w:t>
      </w:r>
      <w:r>
        <w:t xml:space="preserve"> remains the execution policy to read at implementation time.</w:t>
      </w:r>
    </w:p>
    <w:p>
      <w:pPr>
        <w:pStyle w:val="HROSource"/>
      </w:pPr>
      <w:hyperlink r:id="rId17">
        <w:r>
          <w:rPr>
            <w:color w:val="177F88"/>
            <w:u w:val="single"/>
          </w:rPr>
          <w:t>Open source: GUARDIAN.md</w:t>
        </w:r>
      </w:hyperlink>
    </w:p>
    <w:p>
      <w:pPr>
        <w:pStyle w:val="HROSource"/>
        <w:keepNext/>
      </w:pPr>
      <w:r>
        <w:rPr>
          <w:b/>
        </w:rPr>
        <w:t>[H1] Official Hytale Server API.</w:t>
      </w:r>
      <w:r>
        <w:t xml:space="preserve"> Release 0.7.0 overview, including plugin, ECS and event references. Consult the release matching the actual installed runtime.</w:t>
      </w:r>
    </w:p>
    <w:p>
      <w:pPr>
        <w:pStyle w:val="HROSource"/>
      </w:pPr>
      <w:hyperlink r:id="rId18">
        <w:r>
          <w:rPr>
            <w:color w:val="177F88"/>
            <w:u w:val="single"/>
          </w:rPr>
          <w:t>Open source: docs.hytale.com/api</w:t>
        </w:r>
      </w:hyperlink>
    </w:p>
    <w:p>
      <w:pPr>
        <w:pStyle w:val="HROSource"/>
        <w:keepNext/>
      </w:pPr>
      <w:r>
        <w:rPr>
          <w:b/>
        </w:rPr>
        <w:t>[H2] Official Hytale Asset Reference and documentation entry.</w:t>
      </w:r>
      <w:r>
        <w:t xml:space="preserve"> Asset formats are generated from server codecs. Match version, then compare the actual resolved installed assets and inheritance; do not infer semantics from a filename alone.</w:t>
      </w:r>
    </w:p>
    <w:p>
      <w:pPr>
        <w:pStyle w:val="HROSource"/>
      </w:pPr>
      <w:hyperlink r:id="rId19">
        <w:r>
          <w:rPr>
            <w:color w:val="177F88"/>
            <w:u w:val="single"/>
          </w:rPr>
          <w:t>Open source: docs.hytale.com/assets</w:t>
        </w:r>
      </w:hyperlink>
    </w:p>
    <w:p>
      <w:pPr>
        <w:pStyle w:val="HROSource"/>
      </w:pPr>
      <w:hyperlink r:id="rId20">
        <w:r>
          <w:rPr>
            <w:color w:val="177F88"/>
            <w:u w:val="single"/>
          </w:rPr>
          <w:t>Open source: docs.hytale.com</w:t>
        </w:r>
      </w:hyperlink>
    </w:p>
    <w:p>
      <w:pPr>
        <w:pStyle w:val="HROSource"/>
        <w:keepNext/>
      </w:pPr>
      <w:r>
        <w:rPr>
          <w:b/>
        </w:rPr>
        <w:t>[H3] Official Update 7 modder-facing patch notes, October 12, 2026.</w:t>
      </w:r>
      <w:r>
        <w:t xml:space="preserve"> Relevant sections: Abilities &amp; Keywords; Weapons &amp; Ability Slots; Ability System; Worlds, Instances &amp; Lifecycle; UI &amp; Noesis. The Noesis section explicitly marks server-side </w:t>
      </w:r>
      <w:r>
        <w:rPr>
          <w:rFonts w:ascii="Liberation Mono" w:hAnsi="Liberation Mono"/>
          <w:sz w:val="18"/>
        </w:rPr>
        <w:t>dev_</w:t>
      </w:r>
      <w:r>
        <w:t xml:space="preserve"> APIs unusable at publication.</w:t>
      </w:r>
    </w:p>
    <w:p>
      <w:pPr>
        <w:pStyle w:val="HROSource"/>
      </w:pPr>
      <w:hyperlink r:id="rId21">
        <w:r>
          <w:rPr>
            <w:color w:val="177F88"/>
            <w:u w:val="single"/>
          </w:rPr>
          <w:t>Open source: hytale.com/news/2026/10/modder-facing-patch-notes-update-7</w:t>
        </w:r>
      </w:hyperlink>
    </w:p>
    <w:p>
      <w:pPr>
        <w:pStyle w:val="HROSource"/>
        <w:keepNext/>
      </w:pPr>
      <w:r>
        <w:rPr>
          <w:b/>
        </w:rPr>
        <w:t>[H4] Official Chapter I release notes, October 12, 2026.</w:t>
      </w:r>
      <w:r>
        <w:t xml:space="preserve"> Release context; not a substitute for local compatibility or gameplay evidence.</w:t>
      </w:r>
    </w:p>
    <w:p>
      <w:pPr>
        <w:pStyle w:val="HROSource"/>
      </w:pPr>
      <w:hyperlink r:id="rId22">
        <w:r>
          <w:rPr>
            <w:color w:val="177F88"/>
            <w:u w:val="single"/>
          </w:rPr>
          <w:t>Open source: hytale.com/news/2026/10/chapter-i-out-of-the-breach</w:t>
        </w:r>
      </w:hyperlink>
    </w:p>
    <w:p>
      <w:pPr>
        <w:pStyle w:val="HROSource"/>
        <w:keepNext/>
      </w:pPr>
      <w:r>
        <w:rPr>
          <w:b/>
        </w:rPr>
        <w:t>[J1] Oracle Java Flight Recorder Event API.</w:t>
      </w:r>
      <w:r>
        <w:t xml:space="preserve"> </w:t>
      </w:r>
      <w:r>
        <w:rPr>
          <w:rFonts w:ascii="Liberation Mono" w:hAnsi="Liberation Mono"/>
          <w:sz w:val="18"/>
        </w:rPr>
        <w:t>isEnabled</w:t>
      </w:r>
      <w:r>
        <w:t xml:space="preserve">, </w:t>
      </w:r>
      <w:r>
        <w:rPr>
          <w:rFonts w:ascii="Liberation Mono" w:hAnsi="Liberation Mono"/>
          <w:sz w:val="18"/>
        </w:rPr>
        <w:t>shouldCommit</w:t>
      </w:r>
      <w:r>
        <w:t>, begin/end and commit semantics. Use the installed JDK’s supported API.</w:t>
      </w:r>
    </w:p>
    <w:p>
      <w:pPr>
        <w:pStyle w:val="HROSource"/>
      </w:pPr>
      <w:hyperlink r:id="rId23">
        <w:r>
          <w:rPr>
            <w:color w:val="177F88"/>
            <w:u w:val="single"/>
          </w:rPr>
          <w:t>Open source: docs.oracle.com/en/java/javase/25/docs/api/jdk.jfr/jdk/jfr/Event.html</w:t>
        </w:r>
      </w:hyperlink>
    </w:p>
    <w:p>
      <w:pPr>
        <w:pStyle w:val="HROSource"/>
        <w:keepNext/>
      </w:pPr>
      <w:r>
        <w:rPr>
          <w:b/>
        </w:rPr>
        <w:t>[J2] Oracle Flight Recorder configurations.</w:t>
      </w:r>
      <w:r>
        <w:t xml:space="preserve"> Default and profile configurations collect different amounts of data. No documented typical overhead is adopted here as a Hywind performance guarantee.</w:t>
      </w:r>
    </w:p>
    <w:p>
      <w:pPr>
        <w:pStyle w:val="HROSource"/>
      </w:pPr>
      <w:hyperlink r:id="rId24">
        <w:r>
          <w:rPr>
            <w:color w:val="177F88"/>
            <w:u w:val="single"/>
          </w:rPr>
          <w:t>Open source: docs.oracle.com/en/java/javase/24/jfapi/flight-recorder-configurations.html</w:t>
        </w:r>
      </w:hyperlink>
    </w:p>
    <w:p>
      <w:pPr>
        <w:pStyle w:val="HROSource"/>
        <w:keepNext/>
      </w:pPr>
      <w:r>
        <w:rPr>
          <w:b/>
        </w:rPr>
        <w:t>[P1] Project attachment `monster-role-catalog.md`.</w:t>
      </w:r>
      <w:r>
        <w:t xml:space="preserve"> Based on installed pre-release assets inspected September 25, 2026. The document explicitly distinguishes role identities from natural encounter counts and learning/design eligibility.</w:t>
      </w:r>
    </w:p>
    <w:p>
      <w:pPr>
        <w:pStyle w:val="HROSource"/>
        <w:keepNext/>
      </w:pPr>
      <w:r>
        <w:rPr>
          <w:b/>
        </w:rPr>
        <w:t>[P2] Project attachment `COMMANDS.md`.</w:t>
      </w:r>
      <w:r>
        <w:t xml:space="preserve"> Historical gameplay/QA command reference. Its instruction that actual command registration determines syntax remains useful; its individual commands must be checked against the current Chapter I source.</w:t>
      </w:r>
    </w:p>
    <w:sectPr w:rsidR="00FC693F" w:rsidRPr="0006063C" w:rsidSect="00034616">
      <w:headerReference w:type="default" r:id="rId9"/>
      <w:footerReference w:type="default" r:id="rId10"/>
      <w:pgSz w:w="12240" w:h="15840"/>
      <w:pgMar w:top="1123" w:right="1123" w:bottom="1037" w:left="1123"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ROSmall"/>
      <w:tabs>
        <w:tab w:pos="8640" w:val="left"/>
      </w:tabs>
    </w:pPr>
    <w:r>
      <w:t>Design 1.0  |  12 October 2026</w:t>
    </w:r>
    <w:r>
      <w:tab/>
    </w:r>
    <w:r>
      <w:t xml:space="preserve">Page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ROSmall"/>
      <w:spacing w:after="0"/>
      <w:pBdr>
        <w:bottom w:val="single" w:sz="5" w:color="CBD8DF"/>
      </w:pBdr>
    </w:pPr>
    <w:r>
      <w:t>HYWIND  /  REGRESSION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83545"/>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7F88"/>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83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8354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77F88"/>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ROCode">
    <w:name w:val="HRO Code"/>
    <w:pPr>
      <w:keepLines/>
      <w:spacing w:line="240" w:lineRule="auto" w:before="120" w:after="160"/>
      <w:ind w:left="173" w:right="144"/>
    </w:pPr>
    <w:rPr>
      <w:rFonts w:ascii="Liberation Mono" w:hAnsi="Liberation Mono"/>
      <w:color w:val="243746"/>
      <w:sz w:val="16"/>
    </w:rPr>
  </w:style>
  <w:style w:type="paragraph" w:customStyle="1" w:styleId="HRONote">
    <w:name w:val="HRO Note"/>
    <w:pPr>
      <w:keepLines/>
      <w:spacing w:before="240" w:after="240"/>
      <w:ind w:left="187" w:right="187"/>
    </w:pPr>
    <w:rPr>
      <w:rFonts w:ascii="Calibri" w:hAnsi="Calibri"/>
      <w:sz w:val="22"/>
    </w:rPr>
  </w:style>
  <w:style w:type="paragraph" w:customStyle="1" w:styleId="HROSource">
    <w:name w:val="HRO Source"/>
    <w:pPr>
      <w:spacing w:line="250" w:lineRule="auto" w:after="80"/>
    </w:pPr>
    <w:rPr>
      <w:rFonts w:ascii="Calibri" w:hAnsi="Calibri"/>
      <w:sz w:val="18"/>
    </w:rPr>
  </w:style>
  <w:style w:type="paragraph" w:customStyle="1" w:styleId="HROSmall">
    <w:name w:val="HRO Small"/>
    <w:rPr>
      <w:rFonts w:ascii="Calibri" w:hAnsi="Calibri"/>
      <w:color w:val="53656F"/>
      <w:sz w:val="18"/>
    </w:rPr>
  </w:style>
  <w:style w:type="paragraph" w:customStyle="1" w:styleId="HROCover">
    <w:name w:val="HRO Cover"/>
    <w:pPr>
      <w:spacing w:line="276" w:lineRule="auto" w:after="240"/>
    </w:pPr>
    <w:rPr>
      <w:rFonts w:ascii="Calibri" w:hAnsi="Calibr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raham3D/Hytale/blob/afdf9bfbce9d5fb395bd68848833480a849f0e0b/docs/DEVELOPMENT_BASELINE.md" TargetMode="External"/><Relationship Id="rId12" Type="http://schemas.openxmlformats.org/officeDocument/2006/relationships/hyperlink" Target="https://github.com/Graham3D/Hytale/blob/afdf9bfbce9d5fb395bd68848833480a849f0e0b/docs/TRACE_HOUSEKEEPING.md" TargetMode="External"/><Relationship Id="rId13" Type="http://schemas.openxmlformats.org/officeDocument/2006/relationships/hyperlink" Target="https://github.com/Graham3D/Hytale/blob/afdf9bfbce9d5fb395bd68848833480a849f0e0b/src/main/java/com/inigmasgames/hytalerpg/diagnostics/BoundedTraceWriter.java" TargetMode="External"/><Relationship Id="rId14" Type="http://schemas.openxmlformats.org/officeDocument/2006/relationships/hyperlink" Target="https://github.com/Graham3D/Hytale/blob/afdf9bfbce9d5fb395bd68848833480a849f0e0b/src/main/java/com/inigmasgames/hytalerpg/diagnostics/TraceArchiveManager.java" TargetMode="External"/><Relationship Id="rId15" Type="http://schemas.openxmlformats.org/officeDocument/2006/relationships/hyperlink" Target="https://github.com/Graham3D/Hytale/blob/afdf9bfbce9d5fb395bd68848833480a849f0e0b/src/main/java/com/inigmasgames/hytalerpg/diagnostics/MonsterSpawnTrace.java" TargetMode="External"/><Relationship Id="rId16" Type="http://schemas.openxmlformats.org/officeDocument/2006/relationships/hyperlink" Target="https://github.com/Graham3D/Hytale/blob/afdf9bfbce9d5fb395bd68848833480a849f0e0b/docs/COMBAT_TRACE.md" TargetMode="External"/><Relationship Id="rId17" Type="http://schemas.openxmlformats.org/officeDocument/2006/relationships/hyperlink" Target="https://github.com/Graham3D/Hytale/blob/afdf9bfbce9d5fb395bd68848833480a849f0e0b/docs/GUARDIAN.md" TargetMode="External"/><Relationship Id="rId18" Type="http://schemas.openxmlformats.org/officeDocument/2006/relationships/hyperlink" Target="https://docs.hytale.com/api/" TargetMode="External"/><Relationship Id="rId19" Type="http://schemas.openxmlformats.org/officeDocument/2006/relationships/hyperlink" Target="https://docs.hytale.com/assets/" TargetMode="External"/><Relationship Id="rId20" Type="http://schemas.openxmlformats.org/officeDocument/2006/relationships/hyperlink" Target="https://docs.hytale.com/" TargetMode="External"/><Relationship Id="rId21" Type="http://schemas.openxmlformats.org/officeDocument/2006/relationships/hyperlink" Target="https://hytale.com/news/2026/10/modder-facing-patch-notes-update-7" TargetMode="External"/><Relationship Id="rId22" Type="http://schemas.openxmlformats.org/officeDocument/2006/relationships/hyperlink" Target="https://hytale.com/news/2026/10/chapter-i-out-of-the-breach" TargetMode="External"/><Relationship Id="rId23" Type="http://schemas.openxmlformats.org/officeDocument/2006/relationships/hyperlink" Target="https://docs.oracle.com/en/java/javase/25/docs/api/jdk.jfr/jdk/jfr/Event.html" TargetMode="External"/><Relationship Id="rId24" Type="http://schemas.openxmlformats.org/officeDocument/2006/relationships/hyperlink" Target="https://docs.oracle.com/en/java/javase/24/jfapi/flight-recorder-configura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Hywind Regression Observatory: Engineering Design</dc:title>
  <dc:subject>Cross-system diagnostics, semantic regression comparison, and three-stage implementation plan</dc:subject>
  <dc:creator>Hywind</dc:creator>
  <cp:keywords>Hywind, HRO, diagnostics, regression, Hytale, Codex, Noesis</cp:keywords>
  <dc:description>Design specification. Proposed APIs and performance budgets are not implementation claims.</dc:description>
  <cp:lastModifiedBy/>
  <cp:revision>1</cp:revision>
  <dcterms:created xsi:type="dcterms:W3CDTF">2013-12-23T23:15:00Z</dcterms:created>
  <dcterms:modified xsi:type="dcterms:W3CDTF">2013-12-23T23:15:00Z</dcterms:modified>
  <cp:category/>
</cp:coreProperties>
</file>