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AdClarity</w:t>
      </w:r>
    </w:p>
    <w:p>
      <w:pPr>
        <w:spacing w:after="200"/>
      </w:pPr>
      <w:r>
        <w:rPr>
          <w:b/>
          <w:bCs/>
          <w:color w:val="B8873A"/>
          <w:sz w:val="24"/>
          <w:szCs w:val="24"/>
        </w:rPr>
        <w:t xml:space="preserve">Brand &amp; Organic Presence Build — for Dental Practices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00"/>
      </w:pPr>
      <w:r>
        <w:rPr>
          <w:color w:val="1F3A5F"/>
        </w:rPr>
        <w:t xml:space="preserve">The Problem</w:t>
      </w:r>
    </w:p>
    <w:p>
      <w:pPr>
        <w:spacing w:after="160"/>
      </w:pPr>
      <w:r>
        <w:rPr>
          <w:sz w:val="21"/>
          <w:szCs w:val="21"/>
        </w:rPr>
        <w:t xml:space="preserve">Most practices either have no real marketing presence — no consistent brand look, no sales materials, no organic content — or they're paying for ad campaigns that stop working the moment the spend stops. Nothing durable gets built. This is not an ad service: we build the look, materials, and always-on organic content presence a practice owns outright.</w:t>
      </w:r>
    </w:p>
    <w:p>
      <w:pPr>
        <w:pStyle w:val="Heading2"/>
        <w:spacing w:after="100" w:before="120"/>
      </w:pPr>
      <w:r>
        <w:rPr>
          <w:color w:val="1F3A5F"/>
        </w:rPr>
        <w:t xml:space="preserve">What We Build</w:t>
      </w:r>
    </w:p>
    <w:p>
      <w:pPr>
        <w:spacing w:after="60" w:before="60"/>
      </w:pPr>
      <w:r>
        <w:rPr>
          <w:b/>
          <w:bCs/>
          <w:color w:val="1F3A5F"/>
          <w:sz w:val="21"/>
          <w:szCs w:val="21"/>
        </w:rPr>
        <w:t xml:space="preserve">1. Brand &amp; Collateral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Visual identity refinement — logo, colors, fonts, consistent look across every touchpoint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One-pagers &amp; sales sheets for the front desk, referrals, and new-patient packets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Website/landing page copy &amp; design refresh so the practice's online presence matches the in-office experience</w:t>
      </w:r>
    </w:p>
    <w:p>
      <w:pPr>
        <w:spacing w:after="60" w:before="100"/>
      </w:pPr>
      <w:r>
        <w:rPr>
          <w:b/>
          <w:bCs/>
          <w:color w:val="1F3A5F"/>
          <w:sz w:val="21"/>
          <w:szCs w:val="21"/>
        </w:rPr>
        <w:t xml:space="preserve">2. Organic Content Agents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An always-on system that generates and publishes on-brand short-form video and posts — no camera crew, no ad spend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Every piece grounded in the practice's real services and voice, never generic stock content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Builds a durable, owned audience over time instead of renting attention per click</w:t>
      </w:r>
    </w:p>
    <w:p>
      <w:pPr>
        <w:pStyle w:val="Heading2"/>
        <w:spacing w:after="100" w:before="200"/>
      </w:pPr>
      <w:r>
        <w:rPr>
          <w:color w:val="1F3A5F"/>
        </w:rPr>
        <w:t xml:space="preserve">Why Organic, Not Ads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No spend disappears the moment a campaign ends — content and brand assets are owned permanently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Compounds over time: a growing library of content and a consistent look build trust ads alone can't buy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Pairs naturally with AdClarity's AI receptionist implementation — look right and operate right, together</w:t>
      </w:r>
    </w:p>
    <w:p>
      <w:pPr>
        <w:pStyle w:val="Heading2"/>
        <w:spacing w:after="100" w:before="200"/>
      </w:pPr>
      <w:r>
        <w:rPr>
          <w:color w:val="1F3A5F"/>
        </w:rPr>
        <w:t xml:space="preserve">Pricing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Brand &amp; Collateral Build</w:t>
            </w:r>
          </w:p>
        </w:tc>
        <w:tc>
          <w:tcPr>
            <w:tcW w:type="dxa" w:w="5220"/>
            <w:shd w:fill="1F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Organic Content Management</w:t>
            </w:r>
          </w:p>
        </w:tc>
      </w:tr>
      <w:tr>
        <w:tc>
          <w:tcPr>
            <w:tcW w:type="dxa" w:w="522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$1,500 – $5,000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one-time — identity, one-pagers, site refresh</w:t>
            </w:r>
          </w:p>
        </w:tc>
        <w:tc>
          <w:tcPr>
            <w:tcW w:type="dxa" w:w="522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$500 – $2,000/mo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ongoing content generation, review, and publishing</w:t>
            </w:r>
          </w:p>
        </w:tc>
      </w:tr>
    </w:tbl>
    <w:p>
      <w:pPr>
        <w:spacing w:after="0" w:before="120"/>
      </w:pPr>
      <w:r>
        <w:rPr>
          <w:i/>
          <w:iCs/>
          <w:color w:val="5A5A5A"/>
          <w:sz w:val="19"/>
          <w:szCs w:val="19"/>
        </w:rPr>
        <w:t xml:space="preserve">Most clients start with the Brand &amp; Collateral Build, then move to ongoing Organic Content Management once the look and materials are in place.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2026-07-25T00:07:32.598Z</dcterms:created>
  <dcterms:modified xsi:type="dcterms:W3CDTF">2026-07-25T00:07:32.610Z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